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17C0C" w14:textId="2F49AD02" w:rsidR="008D4374" w:rsidRPr="00AA1D3E" w:rsidRDefault="006B18EF">
      <w:pPr>
        <w:rPr>
          <w:rFonts w:cs="Times New Roman"/>
          <w:color w:val="FF0000"/>
          <w:szCs w:val="24"/>
        </w:rPr>
      </w:pPr>
      <w:r w:rsidRPr="00E8518E">
        <w:rPr>
          <w:color w:val="FF0000"/>
        </w:rPr>
        <w:t xml:space="preserve"> </w:t>
      </w:r>
      <w:r w:rsidR="002D7CC6" w:rsidRPr="00E8518E">
        <w:rPr>
          <w:rFonts w:cs="Times New Roman"/>
          <w:b/>
          <w:noProof/>
          <w:color w:val="FF0000"/>
          <w:lang w:eastAsia="cs-CZ"/>
        </w:rPr>
        <w:drawing>
          <wp:inline distT="0" distB="0" distL="0" distR="0" wp14:anchorId="6A413579" wp14:editId="62AD4663">
            <wp:extent cx="2171700" cy="542925"/>
            <wp:effectExtent l="0" t="0" r="0" b="9525"/>
            <wp:docPr id="1" name="Obrázek 1"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42925"/>
                    </a:xfrm>
                    <a:prstGeom prst="rect">
                      <a:avLst/>
                    </a:prstGeom>
                    <a:noFill/>
                    <a:ln>
                      <a:noFill/>
                    </a:ln>
                  </pic:spPr>
                </pic:pic>
              </a:graphicData>
            </a:graphic>
          </wp:inline>
        </w:drawing>
      </w:r>
      <w:r w:rsidR="002D7CC6" w:rsidRPr="00E8518E">
        <w:rPr>
          <w:color w:val="FF0000"/>
        </w:rPr>
        <w:t xml:space="preserve"> </w:t>
      </w:r>
      <w:r w:rsidR="000339E1" w:rsidRPr="00E8518E">
        <w:rPr>
          <w:color w:val="FF0000"/>
        </w:rPr>
        <w:tab/>
      </w:r>
      <w:r w:rsidR="000339E1" w:rsidRPr="00E8518E">
        <w:rPr>
          <w:color w:val="FF0000"/>
        </w:rPr>
        <w:tab/>
      </w:r>
      <w:r w:rsidR="000339E1" w:rsidRPr="00E8518E">
        <w:rPr>
          <w:color w:val="FF0000"/>
        </w:rPr>
        <w:tab/>
      </w:r>
      <w:r w:rsidR="0088307E" w:rsidRPr="00552C2C">
        <w:rPr>
          <w:rFonts w:cs="Times New Roman"/>
          <w:szCs w:val="24"/>
        </w:rPr>
        <w:t>Č.j.:</w:t>
      </w:r>
      <w:r w:rsidR="009B78BE" w:rsidRPr="00552C2C">
        <w:rPr>
          <w:rFonts w:cs="Times New Roman"/>
          <w:szCs w:val="24"/>
        </w:rPr>
        <w:t>MD-</w:t>
      </w:r>
      <w:r w:rsidR="00552C2C" w:rsidRPr="00552C2C">
        <w:rPr>
          <w:rFonts w:cs="Times New Roman"/>
          <w:szCs w:val="24"/>
        </w:rPr>
        <w:t>56551/2024-410</w:t>
      </w:r>
    </w:p>
    <w:p w14:paraId="3F80CC46" w14:textId="77777777" w:rsidR="00F3318F" w:rsidRPr="00AA1D3E" w:rsidRDefault="00F3318F">
      <w:pPr>
        <w:rPr>
          <w:rFonts w:cs="Times New Roman"/>
          <w:color w:val="FF0000"/>
          <w:szCs w:val="24"/>
        </w:rPr>
      </w:pPr>
    </w:p>
    <w:p w14:paraId="4B297332" w14:textId="77777777" w:rsidR="00F3318F" w:rsidRPr="00AA1D3E" w:rsidRDefault="00F3318F">
      <w:pPr>
        <w:rPr>
          <w:rFonts w:cs="Times New Roman"/>
          <w:color w:val="FF0000"/>
          <w:szCs w:val="24"/>
        </w:rPr>
      </w:pPr>
    </w:p>
    <w:p w14:paraId="10350FDF" w14:textId="77777777" w:rsidR="00DA42E9" w:rsidRPr="00AA1D3E" w:rsidRDefault="00DA42E9">
      <w:pPr>
        <w:rPr>
          <w:rFonts w:cs="Times New Roman"/>
          <w:color w:val="FF0000"/>
          <w:szCs w:val="24"/>
        </w:rPr>
      </w:pPr>
    </w:p>
    <w:p w14:paraId="5EAE9528" w14:textId="77777777" w:rsidR="00F3318F" w:rsidRPr="00AA1D3E" w:rsidRDefault="00F3318F">
      <w:pPr>
        <w:rPr>
          <w:rFonts w:cs="Times New Roman"/>
          <w:color w:val="FF0000"/>
          <w:szCs w:val="24"/>
        </w:rPr>
      </w:pPr>
    </w:p>
    <w:p w14:paraId="6A9D13BE" w14:textId="77777777" w:rsidR="00F3318F" w:rsidRPr="00AA1D3E" w:rsidRDefault="00F3318F">
      <w:pPr>
        <w:rPr>
          <w:rFonts w:cs="Times New Roman"/>
          <w:color w:val="FF0000"/>
          <w:szCs w:val="24"/>
        </w:rPr>
      </w:pPr>
    </w:p>
    <w:p w14:paraId="270B55AA" w14:textId="77777777" w:rsidR="0007574C" w:rsidRPr="00AA1D3E" w:rsidRDefault="0007574C">
      <w:pPr>
        <w:rPr>
          <w:rFonts w:cs="Times New Roman"/>
          <w:color w:val="FF0000"/>
          <w:szCs w:val="24"/>
        </w:rPr>
      </w:pPr>
    </w:p>
    <w:p w14:paraId="78E214F9" w14:textId="77777777" w:rsidR="0007574C" w:rsidRPr="00AA1D3E" w:rsidRDefault="0007574C">
      <w:pPr>
        <w:rPr>
          <w:rFonts w:cs="Times New Roman"/>
          <w:color w:val="FF0000"/>
          <w:szCs w:val="24"/>
        </w:rPr>
      </w:pPr>
    </w:p>
    <w:p w14:paraId="144B99D5" w14:textId="77777777" w:rsidR="000771EB" w:rsidRPr="00AA1D3E" w:rsidRDefault="000771EB">
      <w:pPr>
        <w:rPr>
          <w:rFonts w:cs="Times New Roman"/>
          <w:szCs w:val="24"/>
        </w:rPr>
      </w:pPr>
    </w:p>
    <w:p w14:paraId="33594025" w14:textId="77777777" w:rsidR="00F3318F" w:rsidRPr="00AA1D3E" w:rsidRDefault="00F3318F" w:rsidP="00F3318F">
      <w:pPr>
        <w:spacing w:line="240" w:lineRule="auto"/>
        <w:jc w:val="center"/>
        <w:rPr>
          <w:rFonts w:cs="Times New Roman"/>
          <w:b/>
          <w:sz w:val="28"/>
          <w:szCs w:val="28"/>
        </w:rPr>
      </w:pPr>
      <w:r w:rsidRPr="00AA1D3E">
        <w:rPr>
          <w:rFonts w:cs="Times New Roman"/>
          <w:b/>
          <w:sz w:val="28"/>
          <w:szCs w:val="28"/>
        </w:rPr>
        <w:t xml:space="preserve">NÁVRH </w:t>
      </w:r>
    </w:p>
    <w:p w14:paraId="01FE9506" w14:textId="25D3ADA2" w:rsidR="00F3318F" w:rsidRPr="00AA1D3E" w:rsidRDefault="00852382" w:rsidP="00F3318F">
      <w:pPr>
        <w:spacing w:line="240" w:lineRule="auto"/>
        <w:jc w:val="center"/>
        <w:rPr>
          <w:rFonts w:cs="Times New Roman"/>
          <w:b/>
          <w:sz w:val="28"/>
          <w:szCs w:val="28"/>
        </w:rPr>
      </w:pPr>
      <w:r w:rsidRPr="00AA1D3E">
        <w:rPr>
          <w:rFonts w:cs="Times New Roman"/>
          <w:b/>
          <w:sz w:val="28"/>
          <w:szCs w:val="28"/>
        </w:rPr>
        <w:t>státního rozpočtu na rok 202</w:t>
      </w:r>
      <w:r w:rsidR="000010DC">
        <w:rPr>
          <w:rFonts w:cs="Times New Roman"/>
          <w:b/>
          <w:sz w:val="28"/>
          <w:szCs w:val="28"/>
        </w:rPr>
        <w:t>5</w:t>
      </w:r>
    </w:p>
    <w:p w14:paraId="1EA7C8E5" w14:textId="77777777" w:rsidR="00F3318F" w:rsidRPr="00AA1D3E" w:rsidRDefault="00F3318F" w:rsidP="00F3318F">
      <w:pPr>
        <w:spacing w:line="240" w:lineRule="auto"/>
        <w:jc w:val="center"/>
        <w:rPr>
          <w:rFonts w:cs="Times New Roman"/>
          <w:b/>
          <w:sz w:val="28"/>
          <w:szCs w:val="28"/>
        </w:rPr>
      </w:pPr>
      <w:r w:rsidRPr="00AA1D3E">
        <w:rPr>
          <w:rFonts w:cs="Times New Roman"/>
          <w:b/>
          <w:sz w:val="28"/>
          <w:szCs w:val="28"/>
        </w:rPr>
        <w:t>za kapitolu 327 Ministerstvo dopravy</w:t>
      </w:r>
    </w:p>
    <w:p w14:paraId="25D2B823" w14:textId="77777777" w:rsidR="00F3318F" w:rsidRPr="00AA1D3E" w:rsidRDefault="00F3318F" w:rsidP="00F3318F">
      <w:pPr>
        <w:spacing w:line="240" w:lineRule="auto"/>
        <w:rPr>
          <w:color w:val="FF0000"/>
        </w:rPr>
      </w:pPr>
    </w:p>
    <w:p w14:paraId="1FEED103" w14:textId="77777777" w:rsidR="00F3318F" w:rsidRPr="00AA1D3E" w:rsidRDefault="00F3318F" w:rsidP="00F3318F">
      <w:pPr>
        <w:spacing w:line="240" w:lineRule="auto"/>
        <w:rPr>
          <w:color w:val="FF0000"/>
        </w:rPr>
      </w:pPr>
    </w:p>
    <w:p w14:paraId="27D51FB5" w14:textId="77777777" w:rsidR="00F3318F" w:rsidRPr="00AA1D3E" w:rsidRDefault="00F3318F" w:rsidP="00F3318F">
      <w:pPr>
        <w:spacing w:line="240" w:lineRule="auto"/>
        <w:rPr>
          <w:color w:val="FF0000"/>
        </w:rPr>
      </w:pPr>
    </w:p>
    <w:p w14:paraId="362E1E66" w14:textId="77777777" w:rsidR="00F3318F" w:rsidRPr="00AA1D3E" w:rsidRDefault="00F3318F" w:rsidP="00F3318F">
      <w:pPr>
        <w:spacing w:line="240" w:lineRule="auto"/>
        <w:jc w:val="center"/>
        <w:rPr>
          <w:color w:val="FF0000"/>
        </w:rPr>
      </w:pPr>
      <w:r w:rsidRPr="00AA1D3E">
        <w:rPr>
          <w:noProof/>
          <w:color w:val="FF0000"/>
          <w:lang w:eastAsia="cs-CZ"/>
        </w:rPr>
        <w:drawing>
          <wp:inline distT="0" distB="0" distL="0" distR="0" wp14:anchorId="2C721F3B" wp14:editId="3124D70D">
            <wp:extent cx="1438275" cy="952500"/>
            <wp:effectExtent l="0" t="0" r="9525" b="0"/>
            <wp:docPr id="5" name="Obrázek 5" descr="letadl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adlo-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a:ln>
                      <a:noFill/>
                    </a:ln>
                  </pic:spPr>
                </pic:pic>
              </a:graphicData>
            </a:graphic>
          </wp:inline>
        </w:drawing>
      </w:r>
      <w:r w:rsidRPr="00AA1D3E">
        <w:rPr>
          <w:noProof/>
          <w:color w:val="FF0000"/>
          <w:lang w:eastAsia="cs-CZ"/>
        </w:rPr>
        <w:drawing>
          <wp:inline distT="0" distB="0" distL="0" distR="0" wp14:anchorId="6D5AE589" wp14:editId="5324B47A">
            <wp:extent cx="1295400" cy="971550"/>
            <wp:effectExtent l="0" t="0" r="0" b="0"/>
            <wp:docPr id="4" name="Obrázek 4" descr="želez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železn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AA1D3E">
        <w:rPr>
          <w:noProof/>
          <w:color w:val="FF0000"/>
          <w:lang w:eastAsia="cs-CZ"/>
        </w:rPr>
        <w:drawing>
          <wp:inline distT="0" distB="0" distL="0" distR="0" wp14:anchorId="422C81F7" wp14:editId="4082ABCF">
            <wp:extent cx="1285875" cy="962025"/>
            <wp:effectExtent l="0" t="0" r="9525" b="9525"/>
            <wp:docPr id="3" name="Obrázek 3" descr="silni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lnic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pic:spPr>
                </pic:pic>
              </a:graphicData>
            </a:graphic>
          </wp:inline>
        </w:drawing>
      </w:r>
      <w:r w:rsidRPr="00AA1D3E">
        <w:rPr>
          <w:noProof/>
          <w:color w:val="FF0000"/>
          <w:lang w:eastAsia="cs-CZ"/>
        </w:rPr>
        <w:drawing>
          <wp:inline distT="0" distB="0" distL="0" distR="0" wp14:anchorId="7005FE2F" wp14:editId="728823D7">
            <wp:extent cx="1514475" cy="962025"/>
            <wp:effectExtent l="0" t="0" r="9525" b="9525"/>
            <wp:docPr id="2" name="Obrázek 2" descr="vodní doprav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dní doprava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962025"/>
                    </a:xfrm>
                    <a:prstGeom prst="rect">
                      <a:avLst/>
                    </a:prstGeom>
                    <a:noFill/>
                    <a:ln>
                      <a:noFill/>
                    </a:ln>
                  </pic:spPr>
                </pic:pic>
              </a:graphicData>
            </a:graphic>
          </wp:inline>
        </w:drawing>
      </w:r>
    </w:p>
    <w:p w14:paraId="2250F903" w14:textId="77777777" w:rsidR="00F3318F" w:rsidRPr="00AA1D3E" w:rsidRDefault="00F3318F" w:rsidP="00F3318F">
      <w:pPr>
        <w:spacing w:line="240" w:lineRule="auto"/>
        <w:rPr>
          <w:color w:val="FF0000"/>
        </w:rPr>
      </w:pPr>
    </w:p>
    <w:p w14:paraId="176DA648" w14:textId="77777777" w:rsidR="00F3318F" w:rsidRPr="00AA1D3E" w:rsidRDefault="00F3318F" w:rsidP="00F3318F">
      <w:pPr>
        <w:spacing w:line="240" w:lineRule="auto"/>
        <w:rPr>
          <w:color w:val="FF0000"/>
        </w:rPr>
      </w:pPr>
    </w:p>
    <w:p w14:paraId="6490E8DA" w14:textId="77777777" w:rsidR="00F3318F" w:rsidRPr="00AA1D3E" w:rsidRDefault="00F3318F" w:rsidP="00F3318F">
      <w:pPr>
        <w:spacing w:line="240" w:lineRule="auto"/>
        <w:rPr>
          <w:color w:val="FF0000"/>
        </w:rPr>
      </w:pPr>
    </w:p>
    <w:p w14:paraId="2641E517" w14:textId="77777777" w:rsidR="00F3318F" w:rsidRPr="00AA1D3E" w:rsidRDefault="00F3318F" w:rsidP="00F3318F">
      <w:pPr>
        <w:spacing w:line="240" w:lineRule="auto"/>
        <w:rPr>
          <w:color w:val="FF0000"/>
        </w:rPr>
      </w:pPr>
    </w:p>
    <w:p w14:paraId="48FE5A6D" w14:textId="77777777" w:rsidR="00F3318F" w:rsidRPr="00AA1D3E" w:rsidRDefault="00F3318F" w:rsidP="00F3318F">
      <w:pPr>
        <w:spacing w:line="240" w:lineRule="auto"/>
        <w:rPr>
          <w:color w:val="FF0000"/>
        </w:rPr>
      </w:pPr>
    </w:p>
    <w:p w14:paraId="60DFF4D7" w14:textId="77777777" w:rsidR="00F3318F" w:rsidRPr="001C7EAA" w:rsidRDefault="00F3318F" w:rsidP="00F3318F">
      <w:pPr>
        <w:spacing w:line="240" w:lineRule="auto"/>
        <w:rPr>
          <w:rFonts w:cs="Times New Roman"/>
          <w:b/>
          <w:szCs w:val="24"/>
        </w:rPr>
      </w:pP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AA1D3E">
        <w:rPr>
          <w:color w:val="FF0000"/>
        </w:rPr>
        <w:tab/>
      </w:r>
      <w:r w:rsidRPr="001C7EAA">
        <w:tab/>
      </w:r>
      <w:r w:rsidRPr="001C7EAA">
        <w:rPr>
          <w:rFonts w:cs="Times New Roman"/>
          <w:b/>
          <w:szCs w:val="24"/>
        </w:rPr>
        <w:t>Obsah:</w:t>
      </w:r>
    </w:p>
    <w:p w14:paraId="0AC0D5DE" w14:textId="77777777" w:rsidR="00F3318F" w:rsidRPr="001C7EAA" w:rsidRDefault="00F3318F"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p>
    <w:p w14:paraId="22D95F7F" w14:textId="77777777" w:rsidR="00F3318F" w:rsidRPr="001C7EAA" w:rsidRDefault="00F3318F"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t>A. Zpráva</w:t>
      </w:r>
    </w:p>
    <w:p w14:paraId="0831474F" w14:textId="77777777" w:rsidR="00F3318F" w:rsidRPr="001C7EAA" w:rsidRDefault="00F3318F"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t>B. Tabulková část</w:t>
      </w:r>
    </w:p>
    <w:p w14:paraId="65894FB4" w14:textId="77777777" w:rsidR="00F3318F" w:rsidRPr="001C7EAA" w:rsidRDefault="00B0044D" w:rsidP="00F3318F">
      <w:pPr>
        <w:spacing w:line="240" w:lineRule="auto"/>
        <w:rPr>
          <w:rFonts w:cs="Times New Roman"/>
          <w:b/>
          <w:szCs w:val="24"/>
        </w:rPr>
      </w:pP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Pr="001C7EAA">
        <w:rPr>
          <w:rFonts w:cs="Times New Roman"/>
          <w:b/>
          <w:szCs w:val="24"/>
        </w:rPr>
        <w:tab/>
      </w:r>
      <w:r w:rsidR="00CF4BB2" w:rsidRPr="001C7EAA">
        <w:rPr>
          <w:rFonts w:cs="Times New Roman"/>
          <w:b/>
          <w:szCs w:val="24"/>
        </w:rPr>
        <w:t>C. Přílohy</w:t>
      </w:r>
    </w:p>
    <w:p w14:paraId="5FC39A75" w14:textId="77777777" w:rsidR="00F3318F" w:rsidRPr="001C7EAA" w:rsidRDefault="00F3318F" w:rsidP="00F3318F">
      <w:pPr>
        <w:spacing w:line="240" w:lineRule="auto"/>
        <w:rPr>
          <w:rFonts w:cs="Times New Roman"/>
          <w:b/>
        </w:rPr>
      </w:pPr>
    </w:p>
    <w:p w14:paraId="6E09742F" w14:textId="77777777" w:rsidR="00F3318F" w:rsidRPr="001C7EAA" w:rsidRDefault="00F3318F" w:rsidP="00F3318F">
      <w:pPr>
        <w:spacing w:line="240" w:lineRule="auto"/>
        <w:rPr>
          <w:rFonts w:cs="Times New Roman"/>
          <w:b/>
          <w:szCs w:val="24"/>
        </w:rPr>
      </w:pPr>
      <w:r w:rsidRPr="001C7EAA">
        <w:rPr>
          <w:rFonts w:cs="Times New Roman"/>
          <w:b/>
          <w:szCs w:val="24"/>
        </w:rPr>
        <w:t>Předkládá:</w:t>
      </w:r>
    </w:p>
    <w:p w14:paraId="7BBB2EAC" w14:textId="77777777" w:rsidR="00F40E65" w:rsidRPr="001C7EAA" w:rsidRDefault="00F40E65" w:rsidP="00F3318F">
      <w:pPr>
        <w:spacing w:line="240" w:lineRule="auto"/>
        <w:rPr>
          <w:rFonts w:cs="Times New Roman"/>
          <w:szCs w:val="24"/>
        </w:rPr>
      </w:pPr>
      <w:r w:rsidRPr="001C7EAA">
        <w:rPr>
          <w:rFonts w:cs="Times New Roman"/>
          <w:szCs w:val="24"/>
        </w:rPr>
        <w:t>Mgr. Martin Kupka</w:t>
      </w:r>
    </w:p>
    <w:p w14:paraId="56FA8993" w14:textId="77777777" w:rsidR="00F3318F" w:rsidRPr="001C7EAA" w:rsidRDefault="00F3318F" w:rsidP="00F3318F">
      <w:pPr>
        <w:spacing w:line="240" w:lineRule="auto"/>
        <w:rPr>
          <w:rFonts w:cs="Times New Roman"/>
          <w:szCs w:val="24"/>
        </w:rPr>
      </w:pPr>
      <w:r w:rsidRPr="001C7EAA">
        <w:rPr>
          <w:rFonts w:cs="Times New Roman"/>
          <w:szCs w:val="24"/>
        </w:rPr>
        <w:t>ministr dopravy</w:t>
      </w:r>
    </w:p>
    <w:p w14:paraId="647CA770" w14:textId="77777777" w:rsidR="00F3318F" w:rsidRPr="00AA1D3E" w:rsidRDefault="00F3318F" w:rsidP="00F3318F">
      <w:pPr>
        <w:spacing w:line="240" w:lineRule="auto"/>
        <w:rPr>
          <w:rFonts w:cs="Times New Roman"/>
          <w:color w:val="FF0000"/>
        </w:rPr>
      </w:pPr>
    </w:p>
    <w:p w14:paraId="1D306821" w14:textId="77777777" w:rsidR="00F3318F" w:rsidRPr="00AA1D3E" w:rsidRDefault="00F3318F" w:rsidP="00F3318F">
      <w:pPr>
        <w:spacing w:line="240" w:lineRule="auto"/>
        <w:rPr>
          <w:color w:val="FF0000"/>
        </w:rPr>
      </w:pPr>
    </w:p>
    <w:p w14:paraId="651777CD" w14:textId="77777777" w:rsidR="00F3318F" w:rsidRPr="00AA1D3E" w:rsidRDefault="00F3318F" w:rsidP="00F3318F">
      <w:pPr>
        <w:spacing w:line="240" w:lineRule="auto"/>
        <w:rPr>
          <w:color w:val="FF0000"/>
        </w:rPr>
      </w:pPr>
    </w:p>
    <w:p w14:paraId="505BEE0E" w14:textId="77777777" w:rsidR="00F3318F" w:rsidRPr="00AA1D3E" w:rsidRDefault="00F3318F" w:rsidP="00F3318F">
      <w:pPr>
        <w:spacing w:line="240" w:lineRule="auto"/>
        <w:jc w:val="center"/>
        <w:rPr>
          <w:color w:val="FF0000"/>
        </w:rPr>
      </w:pPr>
    </w:p>
    <w:p w14:paraId="71C86F37" w14:textId="77777777" w:rsidR="00F40E65" w:rsidRPr="00AA1D3E" w:rsidRDefault="00F40E65" w:rsidP="00F3318F">
      <w:pPr>
        <w:spacing w:line="240" w:lineRule="auto"/>
        <w:jc w:val="center"/>
        <w:rPr>
          <w:color w:val="FF0000"/>
        </w:rPr>
      </w:pPr>
    </w:p>
    <w:p w14:paraId="315F92E8" w14:textId="77777777" w:rsidR="002F735C" w:rsidRPr="00AA1D3E" w:rsidRDefault="002F735C" w:rsidP="00134C47">
      <w:pPr>
        <w:pStyle w:val="Obsah1"/>
      </w:pPr>
    </w:p>
    <w:p w14:paraId="3A93A6EC" w14:textId="77777777" w:rsidR="002F735C" w:rsidRPr="00AA1D3E" w:rsidRDefault="002F735C" w:rsidP="00134C47">
      <w:pPr>
        <w:pStyle w:val="Obsah1"/>
      </w:pPr>
    </w:p>
    <w:p w14:paraId="4D778101" w14:textId="01A70E28" w:rsidR="00AF5225" w:rsidRPr="00AA1D3E" w:rsidRDefault="008A7590" w:rsidP="00134C47">
      <w:pPr>
        <w:pStyle w:val="Obsah1"/>
        <w:rPr>
          <w:color w:val="FF0000"/>
        </w:rPr>
      </w:pPr>
      <w:r w:rsidRPr="00134C47">
        <w:t>říjen</w:t>
      </w:r>
      <w:r w:rsidR="00E24034" w:rsidRPr="00134C47">
        <w:t xml:space="preserve"> </w:t>
      </w:r>
      <w:r w:rsidR="00F40E65" w:rsidRPr="00134C47">
        <w:t>202</w:t>
      </w:r>
      <w:r w:rsidR="000010DC">
        <w:t>4</w:t>
      </w:r>
      <w:r w:rsidR="00AF5225" w:rsidRPr="00AA1D3E">
        <w:rPr>
          <w:color w:val="FF0000"/>
        </w:rPr>
        <w:br w:type="page"/>
      </w:r>
    </w:p>
    <w:p w14:paraId="7C9CD1F6" w14:textId="77777777" w:rsidR="00110C1B" w:rsidRPr="00AA1D3E" w:rsidRDefault="00110C1B" w:rsidP="009F7B53">
      <w:pPr>
        <w:jc w:val="center"/>
        <w:rPr>
          <w:rFonts w:eastAsia="Times New Roman" w:cs="Times New Roman"/>
          <w:noProof/>
          <w:color w:val="FF0000"/>
          <w:szCs w:val="24"/>
          <w:lang w:eastAsia="cs-CZ"/>
        </w:rPr>
      </w:pPr>
      <w:r w:rsidRPr="00AA1D3E">
        <w:rPr>
          <w:color w:val="FF0000"/>
        </w:rPr>
        <w:lastRenderedPageBreak/>
        <w:br w:type="page"/>
      </w:r>
    </w:p>
    <w:sdt>
      <w:sdtPr>
        <w:rPr>
          <w:rFonts w:asciiTheme="minorHAnsi" w:eastAsiaTheme="minorHAnsi" w:hAnsiTheme="minorHAnsi" w:cstheme="minorBidi"/>
          <w:bCs/>
          <w:caps w:val="0"/>
          <w:noProof/>
          <w:color w:val="FF0000"/>
          <w:sz w:val="22"/>
          <w:szCs w:val="22"/>
          <w:lang w:eastAsia="en-US"/>
        </w:rPr>
        <w:id w:val="489529023"/>
        <w:docPartObj>
          <w:docPartGallery w:val="Table of Contents"/>
          <w:docPartUnique/>
        </w:docPartObj>
      </w:sdtPr>
      <w:sdtEndPr>
        <w:rPr>
          <w:rFonts w:ascii="Times New Roman" w:eastAsia="Times New Roman" w:hAnsi="Times New Roman" w:cs="Times New Roman"/>
          <w:sz w:val="24"/>
          <w:szCs w:val="24"/>
          <w:lang w:eastAsia="cs-CZ"/>
        </w:rPr>
      </w:sdtEndPr>
      <w:sdtContent>
        <w:p w14:paraId="272FB8F7" w14:textId="77777777" w:rsidR="00CD5258" w:rsidRPr="00B0242B" w:rsidRDefault="00DB5031" w:rsidP="00DB5031">
          <w:pPr>
            <w:pStyle w:val="Nadpisobsahu"/>
            <w:jc w:val="center"/>
            <w:rPr>
              <w:rFonts w:ascii="Times New Roman" w:hAnsi="Times New Roman" w:cs="Times New Roman"/>
              <w:bCs/>
              <w:color w:val="auto"/>
              <w:sz w:val="28"/>
              <w:szCs w:val="28"/>
              <w:u w:val="single"/>
            </w:rPr>
          </w:pPr>
          <w:r w:rsidRPr="00B0242B">
            <w:rPr>
              <w:rFonts w:ascii="Times New Roman" w:hAnsi="Times New Roman" w:cs="Times New Roman"/>
              <w:bCs/>
              <w:color w:val="auto"/>
              <w:sz w:val="28"/>
              <w:szCs w:val="28"/>
            </w:rPr>
            <w:t xml:space="preserve">A. </w:t>
          </w:r>
          <w:r w:rsidRPr="00B0242B">
            <w:rPr>
              <w:rFonts w:ascii="Times New Roman" w:hAnsi="Times New Roman" w:cs="Times New Roman"/>
              <w:bCs/>
              <w:color w:val="auto"/>
              <w:sz w:val="28"/>
              <w:szCs w:val="28"/>
              <w:u w:val="single"/>
            </w:rPr>
            <w:t>Z P R Á V A</w:t>
          </w:r>
        </w:p>
        <w:p w14:paraId="6CD7931A" w14:textId="77777777" w:rsidR="00DB5031" w:rsidRPr="00B0242B" w:rsidRDefault="00DB5031" w:rsidP="00DB5031">
          <w:pPr>
            <w:rPr>
              <w:bCs/>
              <w:lang w:eastAsia="cs-CZ"/>
            </w:rPr>
          </w:pPr>
        </w:p>
        <w:p w14:paraId="4EF33EFC" w14:textId="34907354" w:rsidR="00EB0209" w:rsidRPr="00EB0209" w:rsidRDefault="00CD5258">
          <w:pPr>
            <w:pStyle w:val="Obsah1"/>
            <w:rPr>
              <w:rFonts w:asciiTheme="minorHAnsi" w:eastAsiaTheme="minorEastAsia" w:hAnsiTheme="minorHAnsi" w:cstheme="minorBidi"/>
              <w:b w:val="0"/>
              <w:bCs/>
              <w:kern w:val="2"/>
              <w14:ligatures w14:val="standardContextual"/>
            </w:rPr>
          </w:pPr>
          <w:r w:rsidRPr="00EB0209">
            <w:rPr>
              <w:b w:val="0"/>
              <w:bCs/>
            </w:rPr>
            <w:fldChar w:fldCharType="begin"/>
          </w:r>
          <w:r w:rsidRPr="00EB0209">
            <w:rPr>
              <w:b w:val="0"/>
              <w:bCs/>
            </w:rPr>
            <w:instrText xml:space="preserve"> TOC \o "1-3" \h \z \u </w:instrText>
          </w:r>
          <w:r w:rsidRPr="00EB0209">
            <w:rPr>
              <w:b w:val="0"/>
              <w:bCs/>
            </w:rPr>
            <w:fldChar w:fldCharType="separate"/>
          </w:r>
          <w:hyperlink w:anchor="_Toc179964085" w:history="1">
            <w:r w:rsidR="00EB0209" w:rsidRPr="00EB0209">
              <w:rPr>
                <w:rStyle w:val="Hypertextovodkaz"/>
                <w:b w:val="0"/>
                <w:bCs/>
                <w:smallCaps/>
              </w:rPr>
              <w:t>1</w:t>
            </w:r>
            <w:r w:rsidR="00EB0209" w:rsidRPr="00EB0209">
              <w:rPr>
                <w:rFonts w:asciiTheme="minorHAnsi" w:eastAsiaTheme="minorEastAsia" w:hAnsiTheme="minorHAnsi" w:cstheme="minorBidi"/>
                <w:b w:val="0"/>
                <w:bCs/>
                <w:kern w:val="2"/>
                <w14:ligatures w14:val="standardContextual"/>
              </w:rPr>
              <w:tab/>
            </w:r>
            <w:r w:rsidR="00EB0209" w:rsidRPr="00EB0209">
              <w:rPr>
                <w:rStyle w:val="Hypertextovodkaz"/>
                <w:b w:val="0"/>
                <w:bCs/>
                <w:smallCaps/>
              </w:rPr>
              <w:t>Úvod</w:t>
            </w:r>
            <w:r w:rsidR="00EB0209" w:rsidRPr="00EB0209">
              <w:rPr>
                <w:b w:val="0"/>
                <w:bCs/>
                <w:webHidden/>
              </w:rPr>
              <w:tab/>
            </w:r>
            <w:r w:rsidR="00EB0209" w:rsidRPr="00EB0209">
              <w:rPr>
                <w:b w:val="0"/>
                <w:bCs/>
                <w:webHidden/>
              </w:rPr>
              <w:fldChar w:fldCharType="begin"/>
            </w:r>
            <w:r w:rsidR="00EB0209" w:rsidRPr="00EB0209">
              <w:rPr>
                <w:b w:val="0"/>
                <w:bCs/>
                <w:webHidden/>
              </w:rPr>
              <w:instrText xml:space="preserve"> PAGEREF _Toc179964085 \h </w:instrText>
            </w:r>
            <w:r w:rsidR="00EB0209" w:rsidRPr="00EB0209">
              <w:rPr>
                <w:b w:val="0"/>
                <w:bCs/>
                <w:webHidden/>
              </w:rPr>
            </w:r>
            <w:r w:rsidR="00EB0209" w:rsidRPr="00EB0209">
              <w:rPr>
                <w:b w:val="0"/>
                <w:bCs/>
                <w:webHidden/>
              </w:rPr>
              <w:fldChar w:fldCharType="separate"/>
            </w:r>
            <w:r w:rsidR="00EB0209" w:rsidRPr="00EB0209">
              <w:rPr>
                <w:b w:val="0"/>
                <w:bCs/>
                <w:webHidden/>
              </w:rPr>
              <w:t>1</w:t>
            </w:r>
            <w:r w:rsidR="00EB0209" w:rsidRPr="00EB0209">
              <w:rPr>
                <w:b w:val="0"/>
                <w:bCs/>
                <w:webHidden/>
              </w:rPr>
              <w:fldChar w:fldCharType="end"/>
            </w:r>
          </w:hyperlink>
        </w:p>
        <w:p w14:paraId="64C42B40" w14:textId="1DE6D9F1" w:rsidR="00EB0209" w:rsidRPr="00EB0209" w:rsidRDefault="00EB0209">
          <w:pPr>
            <w:pStyle w:val="Obsah1"/>
            <w:rPr>
              <w:rFonts w:asciiTheme="minorHAnsi" w:eastAsiaTheme="minorEastAsia" w:hAnsiTheme="minorHAnsi" w:cstheme="minorBidi"/>
              <w:b w:val="0"/>
              <w:bCs/>
              <w:kern w:val="2"/>
              <w14:ligatures w14:val="standardContextual"/>
            </w:rPr>
          </w:pPr>
          <w:hyperlink w:anchor="_Toc179964086" w:history="1">
            <w:r w:rsidRPr="00EB0209">
              <w:rPr>
                <w:rStyle w:val="Hypertextovodkaz"/>
                <w:b w:val="0"/>
                <w:bCs/>
              </w:rPr>
              <w:t>2</w:t>
            </w:r>
            <w:r w:rsidRPr="00EB0209">
              <w:rPr>
                <w:rFonts w:asciiTheme="minorHAnsi" w:eastAsiaTheme="minorEastAsia" w:hAnsiTheme="minorHAnsi" w:cstheme="minorBidi"/>
                <w:b w:val="0"/>
                <w:bCs/>
                <w:kern w:val="2"/>
                <w14:ligatures w14:val="standardContextual"/>
              </w:rPr>
              <w:tab/>
            </w:r>
            <w:r w:rsidRPr="00EB0209">
              <w:rPr>
                <w:rStyle w:val="Hypertextovodkaz"/>
                <w:b w:val="0"/>
                <w:bCs/>
              </w:rPr>
              <w:t>ROZPOČET PŘÍJMŮ NA ROK 2025</w:t>
            </w:r>
            <w:r w:rsidRPr="00EB0209">
              <w:rPr>
                <w:b w:val="0"/>
                <w:bCs/>
                <w:webHidden/>
              </w:rPr>
              <w:tab/>
            </w:r>
            <w:r w:rsidRPr="00EB0209">
              <w:rPr>
                <w:b w:val="0"/>
                <w:bCs/>
                <w:webHidden/>
              </w:rPr>
              <w:fldChar w:fldCharType="begin"/>
            </w:r>
            <w:r w:rsidRPr="00EB0209">
              <w:rPr>
                <w:b w:val="0"/>
                <w:bCs/>
                <w:webHidden/>
              </w:rPr>
              <w:instrText xml:space="preserve"> PAGEREF _Toc179964086 \h </w:instrText>
            </w:r>
            <w:r w:rsidRPr="00EB0209">
              <w:rPr>
                <w:b w:val="0"/>
                <w:bCs/>
                <w:webHidden/>
              </w:rPr>
            </w:r>
            <w:r w:rsidRPr="00EB0209">
              <w:rPr>
                <w:b w:val="0"/>
                <w:bCs/>
                <w:webHidden/>
              </w:rPr>
              <w:fldChar w:fldCharType="separate"/>
            </w:r>
            <w:r w:rsidRPr="00EB0209">
              <w:rPr>
                <w:b w:val="0"/>
                <w:bCs/>
                <w:webHidden/>
              </w:rPr>
              <w:t>3</w:t>
            </w:r>
            <w:r w:rsidRPr="00EB0209">
              <w:rPr>
                <w:b w:val="0"/>
                <w:bCs/>
                <w:webHidden/>
              </w:rPr>
              <w:fldChar w:fldCharType="end"/>
            </w:r>
          </w:hyperlink>
        </w:p>
        <w:p w14:paraId="54BC310E" w14:textId="31CEFE5A" w:rsidR="00EB0209" w:rsidRPr="00EB0209" w:rsidRDefault="00EB0209">
          <w:pPr>
            <w:pStyle w:val="Obsah2"/>
            <w:rPr>
              <w:rFonts w:asciiTheme="minorHAnsi" w:eastAsiaTheme="minorEastAsia" w:hAnsiTheme="minorHAnsi" w:cstheme="minorBidi"/>
              <w:kern w:val="2"/>
              <w14:ligatures w14:val="standardContextual"/>
            </w:rPr>
          </w:pPr>
          <w:hyperlink w:anchor="_Toc179964087" w:history="1">
            <w:r w:rsidRPr="00EB0209">
              <w:rPr>
                <w:rStyle w:val="Hypertextovodkaz"/>
              </w:rPr>
              <w:t>2.1</w:t>
            </w:r>
            <w:r w:rsidRPr="00EB0209">
              <w:rPr>
                <w:rFonts w:asciiTheme="minorHAnsi" w:eastAsiaTheme="minorEastAsia" w:hAnsiTheme="minorHAnsi" w:cstheme="minorBidi"/>
                <w:kern w:val="2"/>
                <w14:ligatures w14:val="standardContextual"/>
              </w:rPr>
              <w:tab/>
            </w:r>
            <w:r w:rsidRPr="00EB0209">
              <w:rPr>
                <w:rStyle w:val="Hypertextovodkaz"/>
              </w:rPr>
              <w:t>Specifické ukazatele – příjmy</w:t>
            </w:r>
            <w:r w:rsidRPr="00EB0209">
              <w:rPr>
                <w:webHidden/>
              </w:rPr>
              <w:tab/>
            </w:r>
            <w:r w:rsidRPr="00EB0209">
              <w:rPr>
                <w:webHidden/>
              </w:rPr>
              <w:fldChar w:fldCharType="begin"/>
            </w:r>
            <w:r w:rsidRPr="00EB0209">
              <w:rPr>
                <w:webHidden/>
              </w:rPr>
              <w:instrText xml:space="preserve"> PAGEREF _Toc179964087 \h </w:instrText>
            </w:r>
            <w:r w:rsidRPr="00EB0209">
              <w:rPr>
                <w:webHidden/>
              </w:rPr>
            </w:r>
            <w:r w:rsidRPr="00EB0209">
              <w:rPr>
                <w:webHidden/>
              </w:rPr>
              <w:fldChar w:fldCharType="separate"/>
            </w:r>
            <w:r w:rsidRPr="00EB0209">
              <w:rPr>
                <w:webHidden/>
              </w:rPr>
              <w:t>3</w:t>
            </w:r>
            <w:r w:rsidRPr="00EB0209">
              <w:rPr>
                <w:webHidden/>
              </w:rPr>
              <w:fldChar w:fldCharType="end"/>
            </w:r>
          </w:hyperlink>
        </w:p>
        <w:p w14:paraId="52B2DB20" w14:textId="5E4EBB4E" w:rsidR="00EB0209" w:rsidRPr="00EB0209" w:rsidRDefault="00EB0209">
          <w:pPr>
            <w:pStyle w:val="Obsah2"/>
            <w:rPr>
              <w:rFonts w:asciiTheme="minorHAnsi" w:eastAsiaTheme="minorEastAsia" w:hAnsiTheme="minorHAnsi" w:cstheme="minorBidi"/>
              <w:kern w:val="2"/>
              <w14:ligatures w14:val="standardContextual"/>
            </w:rPr>
          </w:pPr>
          <w:hyperlink w:anchor="_Toc179964088" w:history="1">
            <w:r w:rsidRPr="00EB0209">
              <w:rPr>
                <w:rStyle w:val="Hypertextovodkaz"/>
              </w:rPr>
              <w:t>2.2</w:t>
            </w:r>
            <w:r w:rsidRPr="00EB0209">
              <w:rPr>
                <w:rFonts w:asciiTheme="minorHAnsi" w:eastAsiaTheme="minorEastAsia" w:hAnsiTheme="minorHAnsi" w:cstheme="minorBidi"/>
                <w:kern w:val="2"/>
                <w14:ligatures w14:val="standardContextual"/>
              </w:rPr>
              <w:tab/>
            </w:r>
            <w:r w:rsidRPr="00EB0209">
              <w:rPr>
                <w:rStyle w:val="Hypertextovodkaz"/>
              </w:rPr>
              <w:t>Druhové členění příjmů</w:t>
            </w:r>
            <w:r w:rsidRPr="00EB0209">
              <w:rPr>
                <w:webHidden/>
              </w:rPr>
              <w:tab/>
            </w:r>
            <w:r w:rsidRPr="00EB0209">
              <w:rPr>
                <w:webHidden/>
              </w:rPr>
              <w:fldChar w:fldCharType="begin"/>
            </w:r>
            <w:r w:rsidRPr="00EB0209">
              <w:rPr>
                <w:webHidden/>
              </w:rPr>
              <w:instrText xml:space="preserve"> PAGEREF _Toc179964088 \h </w:instrText>
            </w:r>
            <w:r w:rsidRPr="00EB0209">
              <w:rPr>
                <w:webHidden/>
              </w:rPr>
            </w:r>
            <w:r w:rsidRPr="00EB0209">
              <w:rPr>
                <w:webHidden/>
              </w:rPr>
              <w:fldChar w:fldCharType="separate"/>
            </w:r>
            <w:r w:rsidRPr="00EB0209">
              <w:rPr>
                <w:webHidden/>
              </w:rPr>
              <w:t>3</w:t>
            </w:r>
            <w:r w:rsidRPr="00EB0209">
              <w:rPr>
                <w:webHidden/>
              </w:rPr>
              <w:fldChar w:fldCharType="end"/>
            </w:r>
          </w:hyperlink>
        </w:p>
        <w:p w14:paraId="328D29D3" w14:textId="3AFE7DF9" w:rsidR="00EB0209" w:rsidRPr="00EB0209" w:rsidRDefault="00EB0209">
          <w:pPr>
            <w:pStyle w:val="Obsah1"/>
            <w:rPr>
              <w:rFonts w:asciiTheme="minorHAnsi" w:eastAsiaTheme="minorEastAsia" w:hAnsiTheme="minorHAnsi" w:cstheme="minorBidi"/>
              <w:b w:val="0"/>
              <w:bCs/>
              <w:kern w:val="2"/>
              <w14:ligatures w14:val="standardContextual"/>
            </w:rPr>
          </w:pPr>
          <w:hyperlink w:anchor="_Toc179964089" w:history="1">
            <w:r w:rsidRPr="00EB0209">
              <w:rPr>
                <w:rStyle w:val="Hypertextovodkaz"/>
                <w:b w:val="0"/>
                <w:bCs/>
              </w:rPr>
              <w:t>3</w:t>
            </w:r>
            <w:r w:rsidRPr="00EB0209">
              <w:rPr>
                <w:rFonts w:asciiTheme="minorHAnsi" w:eastAsiaTheme="minorEastAsia" w:hAnsiTheme="minorHAnsi" w:cstheme="minorBidi"/>
                <w:b w:val="0"/>
                <w:bCs/>
                <w:kern w:val="2"/>
                <w14:ligatures w14:val="standardContextual"/>
              </w:rPr>
              <w:tab/>
            </w:r>
            <w:r w:rsidRPr="00EB0209">
              <w:rPr>
                <w:rStyle w:val="Hypertextovodkaz"/>
                <w:b w:val="0"/>
                <w:bCs/>
              </w:rPr>
              <w:t>Rozpočet výdajů na rok 2025</w:t>
            </w:r>
            <w:r w:rsidRPr="00EB0209">
              <w:rPr>
                <w:b w:val="0"/>
                <w:bCs/>
                <w:webHidden/>
              </w:rPr>
              <w:tab/>
            </w:r>
            <w:r w:rsidRPr="00EB0209">
              <w:rPr>
                <w:b w:val="0"/>
                <w:bCs/>
                <w:webHidden/>
              </w:rPr>
              <w:fldChar w:fldCharType="begin"/>
            </w:r>
            <w:r w:rsidRPr="00EB0209">
              <w:rPr>
                <w:b w:val="0"/>
                <w:bCs/>
                <w:webHidden/>
              </w:rPr>
              <w:instrText xml:space="preserve"> PAGEREF _Toc179964089 \h </w:instrText>
            </w:r>
            <w:r w:rsidRPr="00EB0209">
              <w:rPr>
                <w:b w:val="0"/>
                <w:bCs/>
                <w:webHidden/>
              </w:rPr>
            </w:r>
            <w:r w:rsidRPr="00EB0209">
              <w:rPr>
                <w:b w:val="0"/>
                <w:bCs/>
                <w:webHidden/>
              </w:rPr>
              <w:fldChar w:fldCharType="separate"/>
            </w:r>
            <w:r w:rsidRPr="00EB0209">
              <w:rPr>
                <w:b w:val="0"/>
                <w:bCs/>
                <w:webHidden/>
              </w:rPr>
              <w:t>8</w:t>
            </w:r>
            <w:r w:rsidRPr="00EB0209">
              <w:rPr>
                <w:b w:val="0"/>
                <w:bCs/>
                <w:webHidden/>
              </w:rPr>
              <w:fldChar w:fldCharType="end"/>
            </w:r>
          </w:hyperlink>
        </w:p>
        <w:p w14:paraId="6C8A5D44" w14:textId="43881555" w:rsidR="00EB0209" w:rsidRPr="00EB0209" w:rsidRDefault="00EB0209">
          <w:pPr>
            <w:pStyle w:val="Obsah2"/>
            <w:rPr>
              <w:rFonts w:asciiTheme="minorHAnsi" w:eastAsiaTheme="minorEastAsia" w:hAnsiTheme="minorHAnsi" w:cstheme="minorBidi"/>
              <w:kern w:val="2"/>
              <w14:ligatures w14:val="standardContextual"/>
            </w:rPr>
          </w:pPr>
          <w:hyperlink w:anchor="_Toc179964090" w:history="1">
            <w:r w:rsidRPr="00EB0209">
              <w:rPr>
                <w:rStyle w:val="Hypertextovodkaz"/>
              </w:rPr>
              <w:t>3.1</w:t>
            </w:r>
            <w:r w:rsidRPr="00EB0209">
              <w:rPr>
                <w:rFonts w:asciiTheme="minorHAnsi" w:eastAsiaTheme="minorEastAsia" w:hAnsiTheme="minorHAnsi" w:cstheme="minorBidi"/>
                <w:kern w:val="2"/>
                <w14:ligatures w14:val="standardContextual"/>
              </w:rPr>
              <w:tab/>
            </w:r>
            <w:r w:rsidRPr="00EB0209">
              <w:rPr>
                <w:rStyle w:val="Hypertextovodkaz"/>
              </w:rPr>
              <w:t>Struktura výdajů</w:t>
            </w:r>
            <w:r w:rsidRPr="00EB0209">
              <w:rPr>
                <w:webHidden/>
              </w:rPr>
              <w:tab/>
            </w:r>
            <w:r w:rsidRPr="00EB0209">
              <w:rPr>
                <w:webHidden/>
              </w:rPr>
              <w:fldChar w:fldCharType="begin"/>
            </w:r>
            <w:r w:rsidRPr="00EB0209">
              <w:rPr>
                <w:webHidden/>
              </w:rPr>
              <w:instrText xml:space="preserve"> PAGEREF _Toc179964090 \h </w:instrText>
            </w:r>
            <w:r w:rsidRPr="00EB0209">
              <w:rPr>
                <w:webHidden/>
              </w:rPr>
            </w:r>
            <w:r w:rsidRPr="00EB0209">
              <w:rPr>
                <w:webHidden/>
              </w:rPr>
              <w:fldChar w:fldCharType="separate"/>
            </w:r>
            <w:r w:rsidRPr="00EB0209">
              <w:rPr>
                <w:webHidden/>
              </w:rPr>
              <w:t>8</w:t>
            </w:r>
            <w:r w:rsidRPr="00EB0209">
              <w:rPr>
                <w:webHidden/>
              </w:rPr>
              <w:fldChar w:fldCharType="end"/>
            </w:r>
          </w:hyperlink>
        </w:p>
        <w:p w14:paraId="1328DCD6" w14:textId="2ADD1C34"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1" w:history="1">
            <w:r w:rsidRPr="00EB0209">
              <w:rPr>
                <w:rStyle w:val="Hypertextovodkaz"/>
                <w:b w:val="0"/>
                <w:bCs/>
              </w:rPr>
              <w:t>3.1.1</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Specifické ukazatele</w:t>
            </w:r>
            <w:r w:rsidRPr="00EB0209">
              <w:rPr>
                <w:b w:val="0"/>
                <w:bCs/>
                <w:webHidden/>
              </w:rPr>
              <w:tab/>
            </w:r>
            <w:r w:rsidRPr="00EB0209">
              <w:rPr>
                <w:b w:val="0"/>
                <w:bCs/>
                <w:webHidden/>
              </w:rPr>
              <w:fldChar w:fldCharType="begin"/>
            </w:r>
            <w:r w:rsidRPr="00EB0209">
              <w:rPr>
                <w:b w:val="0"/>
                <w:bCs/>
                <w:webHidden/>
              </w:rPr>
              <w:instrText xml:space="preserve"> PAGEREF _Toc179964091 \h </w:instrText>
            </w:r>
            <w:r w:rsidRPr="00EB0209">
              <w:rPr>
                <w:b w:val="0"/>
                <w:bCs/>
                <w:webHidden/>
              </w:rPr>
            </w:r>
            <w:r w:rsidRPr="00EB0209">
              <w:rPr>
                <w:b w:val="0"/>
                <w:bCs/>
                <w:webHidden/>
              </w:rPr>
              <w:fldChar w:fldCharType="separate"/>
            </w:r>
            <w:r w:rsidRPr="00EB0209">
              <w:rPr>
                <w:b w:val="0"/>
                <w:bCs/>
                <w:webHidden/>
              </w:rPr>
              <w:t>10</w:t>
            </w:r>
            <w:r w:rsidRPr="00EB0209">
              <w:rPr>
                <w:b w:val="0"/>
                <w:bCs/>
                <w:webHidden/>
              </w:rPr>
              <w:fldChar w:fldCharType="end"/>
            </w:r>
          </w:hyperlink>
        </w:p>
        <w:p w14:paraId="21ACBD35" w14:textId="2B5B3917" w:rsidR="00EB0209" w:rsidRPr="00EB0209" w:rsidRDefault="00EB0209">
          <w:pPr>
            <w:pStyle w:val="Obsah2"/>
            <w:rPr>
              <w:rFonts w:asciiTheme="minorHAnsi" w:eastAsiaTheme="minorEastAsia" w:hAnsiTheme="minorHAnsi" w:cstheme="minorBidi"/>
              <w:kern w:val="2"/>
              <w14:ligatures w14:val="standardContextual"/>
            </w:rPr>
          </w:pPr>
          <w:hyperlink w:anchor="_Toc179964092" w:history="1">
            <w:r w:rsidRPr="00EB0209">
              <w:rPr>
                <w:rStyle w:val="Hypertextovodkaz"/>
              </w:rPr>
              <w:t>3.2</w:t>
            </w:r>
            <w:r w:rsidRPr="00EB0209">
              <w:rPr>
                <w:rFonts w:asciiTheme="minorHAnsi" w:eastAsiaTheme="minorEastAsia" w:hAnsiTheme="minorHAnsi" w:cstheme="minorBidi"/>
                <w:kern w:val="2"/>
                <w14:ligatures w14:val="standardContextual"/>
              </w:rPr>
              <w:tab/>
            </w:r>
            <w:r w:rsidRPr="00EB0209">
              <w:rPr>
                <w:rStyle w:val="Hypertextovodkaz"/>
              </w:rPr>
              <w:t>Běžné výdaje</w:t>
            </w:r>
            <w:r w:rsidRPr="00EB0209">
              <w:rPr>
                <w:webHidden/>
              </w:rPr>
              <w:tab/>
            </w:r>
            <w:r w:rsidRPr="00EB0209">
              <w:rPr>
                <w:webHidden/>
              </w:rPr>
              <w:fldChar w:fldCharType="begin"/>
            </w:r>
            <w:r w:rsidRPr="00EB0209">
              <w:rPr>
                <w:webHidden/>
              </w:rPr>
              <w:instrText xml:space="preserve"> PAGEREF _Toc179964092 \h </w:instrText>
            </w:r>
            <w:r w:rsidRPr="00EB0209">
              <w:rPr>
                <w:webHidden/>
              </w:rPr>
            </w:r>
            <w:r w:rsidRPr="00EB0209">
              <w:rPr>
                <w:webHidden/>
              </w:rPr>
              <w:fldChar w:fldCharType="separate"/>
            </w:r>
            <w:r w:rsidRPr="00EB0209">
              <w:rPr>
                <w:webHidden/>
              </w:rPr>
              <w:t>13</w:t>
            </w:r>
            <w:r w:rsidRPr="00EB0209">
              <w:rPr>
                <w:webHidden/>
              </w:rPr>
              <w:fldChar w:fldCharType="end"/>
            </w:r>
          </w:hyperlink>
        </w:p>
        <w:p w14:paraId="7AE36E52" w14:textId="139D6CFD"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3" w:history="1">
            <w:r w:rsidRPr="00EB0209">
              <w:rPr>
                <w:rStyle w:val="Hypertextovodkaz"/>
                <w:b w:val="0"/>
                <w:bCs/>
              </w:rPr>
              <w:t>3.2.1</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Běžné výdaje organizačních složek státu bez podseskupení položek 521, 522, 531, 532, 533, 551, 553 a 554</w:t>
            </w:r>
            <w:r w:rsidRPr="00EB0209">
              <w:rPr>
                <w:b w:val="0"/>
                <w:bCs/>
                <w:webHidden/>
              </w:rPr>
              <w:tab/>
            </w:r>
            <w:r w:rsidRPr="00EB0209">
              <w:rPr>
                <w:b w:val="0"/>
                <w:bCs/>
                <w:webHidden/>
              </w:rPr>
              <w:fldChar w:fldCharType="begin"/>
            </w:r>
            <w:r w:rsidRPr="00EB0209">
              <w:rPr>
                <w:b w:val="0"/>
                <w:bCs/>
                <w:webHidden/>
              </w:rPr>
              <w:instrText xml:space="preserve"> PAGEREF _Toc179964093 \h </w:instrText>
            </w:r>
            <w:r w:rsidRPr="00EB0209">
              <w:rPr>
                <w:b w:val="0"/>
                <w:bCs/>
                <w:webHidden/>
              </w:rPr>
            </w:r>
            <w:r w:rsidRPr="00EB0209">
              <w:rPr>
                <w:b w:val="0"/>
                <w:bCs/>
                <w:webHidden/>
              </w:rPr>
              <w:fldChar w:fldCharType="separate"/>
            </w:r>
            <w:r w:rsidRPr="00EB0209">
              <w:rPr>
                <w:b w:val="0"/>
                <w:bCs/>
                <w:webHidden/>
              </w:rPr>
              <w:t>14</w:t>
            </w:r>
            <w:r w:rsidRPr="00EB0209">
              <w:rPr>
                <w:b w:val="0"/>
                <w:bCs/>
                <w:webHidden/>
              </w:rPr>
              <w:fldChar w:fldCharType="end"/>
            </w:r>
          </w:hyperlink>
        </w:p>
        <w:p w14:paraId="020C385A" w14:textId="54AFE2DC"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4" w:history="1">
            <w:r w:rsidRPr="00EB0209">
              <w:rPr>
                <w:rStyle w:val="Hypertextovodkaz"/>
                <w:b w:val="0"/>
                <w:bCs/>
              </w:rPr>
              <w:t>3.2.2</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Výdaje na platy a počty pracovníků za OSS a PO</w:t>
            </w:r>
            <w:r w:rsidRPr="00EB0209">
              <w:rPr>
                <w:b w:val="0"/>
                <w:bCs/>
                <w:webHidden/>
              </w:rPr>
              <w:tab/>
            </w:r>
            <w:r w:rsidRPr="00EB0209">
              <w:rPr>
                <w:b w:val="0"/>
                <w:bCs/>
                <w:webHidden/>
              </w:rPr>
              <w:fldChar w:fldCharType="begin"/>
            </w:r>
            <w:r w:rsidRPr="00EB0209">
              <w:rPr>
                <w:b w:val="0"/>
                <w:bCs/>
                <w:webHidden/>
              </w:rPr>
              <w:instrText xml:space="preserve"> PAGEREF _Toc179964094 \h </w:instrText>
            </w:r>
            <w:r w:rsidRPr="00EB0209">
              <w:rPr>
                <w:b w:val="0"/>
                <w:bCs/>
                <w:webHidden/>
              </w:rPr>
            </w:r>
            <w:r w:rsidRPr="00EB0209">
              <w:rPr>
                <w:b w:val="0"/>
                <w:bCs/>
                <w:webHidden/>
              </w:rPr>
              <w:fldChar w:fldCharType="separate"/>
            </w:r>
            <w:r w:rsidRPr="00EB0209">
              <w:rPr>
                <w:b w:val="0"/>
                <w:bCs/>
                <w:webHidden/>
              </w:rPr>
              <w:t>15</w:t>
            </w:r>
            <w:r w:rsidRPr="00EB0209">
              <w:rPr>
                <w:b w:val="0"/>
                <w:bCs/>
                <w:webHidden/>
              </w:rPr>
              <w:fldChar w:fldCharType="end"/>
            </w:r>
          </w:hyperlink>
        </w:p>
        <w:p w14:paraId="29DA9237" w14:textId="7ABB8C42"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5" w:history="1">
            <w:r w:rsidRPr="00EB0209">
              <w:rPr>
                <w:rStyle w:val="Hypertextovodkaz"/>
                <w:b w:val="0"/>
                <w:bCs/>
              </w:rPr>
              <w:t>3.2.3</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Organizační složky státu</w:t>
            </w:r>
            <w:r w:rsidRPr="00EB0209">
              <w:rPr>
                <w:b w:val="0"/>
                <w:bCs/>
                <w:webHidden/>
              </w:rPr>
              <w:tab/>
            </w:r>
            <w:r w:rsidRPr="00EB0209">
              <w:rPr>
                <w:b w:val="0"/>
                <w:bCs/>
                <w:webHidden/>
              </w:rPr>
              <w:fldChar w:fldCharType="begin"/>
            </w:r>
            <w:r w:rsidRPr="00EB0209">
              <w:rPr>
                <w:b w:val="0"/>
                <w:bCs/>
                <w:webHidden/>
              </w:rPr>
              <w:instrText xml:space="preserve"> PAGEREF _Toc179964095 \h </w:instrText>
            </w:r>
            <w:r w:rsidRPr="00EB0209">
              <w:rPr>
                <w:b w:val="0"/>
                <w:bCs/>
                <w:webHidden/>
              </w:rPr>
            </w:r>
            <w:r w:rsidRPr="00EB0209">
              <w:rPr>
                <w:b w:val="0"/>
                <w:bCs/>
                <w:webHidden/>
              </w:rPr>
              <w:fldChar w:fldCharType="separate"/>
            </w:r>
            <w:r w:rsidRPr="00EB0209">
              <w:rPr>
                <w:b w:val="0"/>
                <w:bCs/>
                <w:webHidden/>
              </w:rPr>
              <w:t>22</w:t>
            </w:r>
            <w:r w:rsidRPr="00EB0209">
              <w:rPr>
                <w:b w:val="0"/>
                <w:bCs/>
                <w:webHidden/>
              </w:rPr>
              <w:fldChar w:fldCharType="end"/>
            </w:r>
          </w:hyperlink>
        </w:p>
        <w:p w14:paraId="41280054" w14:textId="59A75684"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6" w:history="1">
            <w:r w:rsidRPr="00EB0209">
              <w:rPr>
                <w:rStyle w:val="Hypertextovodkaz"/>
                <w:b w:val="0"/>
                <w:bCs/>
              </w:rPr>
              <w:t>3.2.4</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Zřízené příspěvkové organizace</w:t>
            </w:r>
            <w:r w:rsidRPr="00EB0209">
              <w:rPr>
                <w:b w:val="0"/>
                <w:bCs/>
                <w:webHidden/>
              </w:rPr>
              <w:tab/>
            </w:r>
            <w:r w:rsidRPr="00EB0209">
              <w:rPr>
                <w:b w:val="0"/>
                <w:bCs/>
                <w:webHidden/>
              </w:rPr>
              <w:fldChar w:fldCharType="begin"/>
            </w:r>
            <w:r w:rsidRPr="00EB0209">
              <w:rPr>
                <w:b w:val="0"/>
                <w:bCs/>
                <w:webHidden/>
              </w:rPr>
              <w:instrText xml:space="preserve"> PAGEREF _Toc179964096 \h </w:instrText>
            </w:r>
            <w:r w:rsidRPr="00EB0209">
              <w:rPr>
                <w:b w:val="0"/>
                <w:bCs/>
                <w:webHidden/>
              </w:rPr>
            </w:r>
            <w:r w:rsidRPr="00EB0209">
              <w:rPr>
                <w:b w:val="0"/>
                <w:bCs/>
                <w:webHidden/>
              </w:rPr>
              <w:fldChar w:fldCharType="separate"/>
            </w:r>
            <w:r w:rsidRPr="00EB0209">
              <w:rPr>
                <w:b w:val="0"/>
                <w:bCs/>
                <w:webHidden/>
              </w:rPr>
              <w:t>33</w:t>
            </w:r>
            <w:r w:rsidRPr="00EB0209">
              <w:rPr>
                <w:b w:val="0"/>
                <w:bCs/>
                <w:webHidden/>
              </w:rPr>
              <w:fldChar w:fldCharType="end"/>
            </w:r>
          </w:hyperlink>
        </w:p>
        <w:p w14:paraId="36A177C6" w14:textId="4A46943D"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7" w:history="1">
            <w:r w:rsidRPr="00EB0209">
              <w:rPr>
                <w:rStyle w:val="Hypertextovodkaz"/>
                <w:b w:val="0"/>
                <w:bCs/>
              </w:rPr>
              <w:t>3.2.5</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Neinvestiční transfery ostatním příspěvkovým a podobným organizacím</w:t>
            </w:r>
            <w:r w:rsidRPr="00EB0209">
              <w:rPr>
                <w:b w:val="0"/>
                <w:bCs/>
                <w:webHidden/>
              </w:rPr>
              <w:tab/>
            </w:r>
            <w:r w:rsidRPr="00EB0209">
              <w:rPr>
                <w:b w:val="0"/>
                <w:bCs/>
                <w:webHidden/>
              </w:rPr>
              <w:fldChar w:fldCharType="begin"/>
            </w:r>
            <w:r w:rsidRPr="00EB0209">
              <w:rPr>
                <w:b w:val="0"/>
                <w:bCs/>
                <w:webHidden/>
              </w:rPr>
              <w:instrText xml:space="preserve"> PAGEREF _Toc179964097 \h </w:instrText>
            </w:r>
            <w:r w:rsidRPr="00EB0209">
              <w:rPr>
                <w:b w:val="0"/>
                <w:bCs/>
                <w:webHidden/>
              </w:rPr>
            </w:r>
            <w:r w:rsidRPr="00EB0209">
              <w:rPr>
                <w:b w:val="0"/>
                <w:bCs/>
                <w:webHidden/>
              </w:rPr>
              <w:fldChar w:fldCharType="separate"/>
            </w:r>
            <w:r w:rsidRPr="00EB0209">
              <w:rPr>
                <w:b w:val="0"/>
                <w:bCs/>
                <w:webHidden/>
              </w:rPr>
              <w:t>35</w:t>
            </w:r>
            <w:r w:rsidRPr="00EB0209">
              <w:rPr>
                <w:b w:val="0"/>
                <w:bCs/>
                <w:webHidden/>
              </w:rPr>
              <w:fldChar w:fldCharType="end"/>
            </w:r>
          </w:hyperlink>
        </w:p>
        <w:p w14:paraId="6B7CB7ED" w14:textId="28A66BAC"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8" w:history="1">
            <w:r w:rsidRPr="00EB0209">
              <w:rPr>
                <w:rStyle w:val="Hypertextovodkaz"/>
                <w:b w:val="0"/>
                <w:bCs/>
              </w:rPr>
              <w:t>3.2.6</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Neinvestiční transfery podnikatelským subjektům</w:t>
            </w:r>
            <w:r w:rsidRPr="00EB0209">
              <w:rPr>
                <w:b w:val="0"/>
                <w:bCs/>
                <w:webHidden/>
              </w:rPr>
              <w:tab/>
            </w:r>
            <w:r w:rsidRPr="00EB0209">
              <w:rPr>
                <w:b w:val="0"/>
                <w:bCs/>
                <w:webHidden/>
              </w:rPr>
              <w:fldChar w:fldCharType="begin"/>
            </w:r>
            <w:r w:rsidRPr="00EB0209">
              <w:rPr>
                <w:b w:val="0"/>
                <w:bCs/>
                <w:webHidden/>
              </w:rPr>
              <w:instrText xml:space="preserve"> PAGEREF _Toc179964098 \h </w:instrText>
            </w:r>
            <w:r w:rsidRPr="00EB0209">
              <w:rPr>
                <w:b w:val="0"/>
                <w:bCs/>
                <w:webHidden/>
              </w:rPr>
            </w:r>
            <w:r w:rsidRPr="00EB0209">
              <w:rPr>
                <w:b w:val="0"/>
                <w:bCs/>
                <w:webHidden/>
              </w:rPr>
              <w:fldChar w:fldCharType="separate"/>
            </w:r>
            <w:r w:rsidRPr="00EB0209">
              <w:rPr>
                <w:b w:val="0"/>
                <w:bCs/>
                <w:webHidden/>
              </w:rPr>
              <w:t>36</w:t>
            </w:r>
            <w:r w:rsidRPr="00EB0209">
              <w:rPr>
                <w:b w:val="0"/>
                <w:bCs/>
                <w:webHidden/>
              </w:rPr>
              <w:fldChar w:fldCharType="end"/>
            </w:r>
          </w:hyperlink>
        </w:p>
        <w:p w14:paraId="2AA8E680" w14:textId="54C96EF9"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099" w:history="1">
            <w:r w:rsidRPr="00EB0209">
              <w:rPr>
                <w:rStyle w:val="Hypertextovodkaz"/>
                <w:b w:val="0"/>
                <w:bCs/>
              </w:rPr>
              <w:t>3.2.7</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Neinvestiční transfery veřejným rozpočtům územní úrovně</w:t>
            </w:r>
            <w:r w:rsidRPr="00EB0209">
              <w:rPr>
                <w:b w:val="0"/>
                <w:bCs/>
                <w:webHidden/>
              </w:rPr>
              <w:tab/>
            </w:r>
            <w:r w:rsidRPr="00EB0209">
              <w:rPr>
                <w:b w:val="0"/>
                <w:bCs/>
                <w:webHidden/>
              </w:rPr>
              <w:fldChar w:fldCharType="begin"/>
            </w:r>
            <w:r w:rsidRPr="00EB0209">
              <w:rPr>
                <w:b w:val="0"/>
                <w:bCs/>
                <w:webHidden/>
              </w:rPr>
              <w:instrText xml:space="preserve"> PAGEREF _Toc179964099 \h </w:instrText>
            </w:r>
            <w:r w:rsidRPr="00EB0209">
              <w:rPr>
                <w:b w:val="0"/>
                <w:bCs/>
                <w:webHidden/>
              </w:rPr>
            </w:r>
            <w:r w:rsidRPr="00EB0209">
              <w:rPr>
                <w:b w:val="0"/>
                <w:bCs/>
                <w:webHidden/>
              </w:rPr>
              <w:fldChar w:fldCharType="separate"/>
            </w:r>
            <w:r w:rsidRPr="00EB0209">
              <w:rPr>
                <w:b w:val="0"/>
                <w:bCs/>
                <w:webHidden/>
              </w:rPr>
              <w:t>38</w:t>
            </w:r>
            <w:r w:rsidRPr="00EB0209">
              <w:rPr>
                <w:b w:val="0"/>
                <w:bCs/>
                <w:webHidden/>
              </w:rPr>
              <w:fldChar w:fldCharType="end"/>
            </w:r>
          </w:hyperlink>
        </w:p>
        <w:p w14:paraId="2C9F8974" w14:textId="6783A633"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0" w:history="1">
            <w:r w:rsidRPr="00EB0209">
              <w:rPr>
                <w:rStyle w:val="Hypertextovodkaz"/>
                <w:b w:val="0"/>
                <w:bCs/>
              </w:rPr>
              <w:t>3.2.8</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Neinvestiční transfery neziskovým a podobným organizacím</w:t>
            </w:r>
            <w:r w:rsidRPr="00EB0209">
              <w:rPr>
                <w:b w:val="0"/>
                <w:bCs/>
                <w:webHidden/>
              </w:rPr>
              <w:tab/>
            </w:r>
            <w:r w:rsidRPr="00EB0209">
              <w:rPr>
                <w:b w:val="0"/>
                <w:bCs/>
                <w:webHidden/>
              </w:rPr>
              <w:fldChar w:fldCharType="begin"/>
            </w:r>
            <w:r w:rsidRPr="00EB0209">
              <w:rPr>
                <w:b w:val="0"/>
                <w:bCs/>
                <w:webHidden/>
              </w:rPr>
              <w:instrText xml:space="preserve"> PAGEREF _Toc179964100 \h </w:instrText>
            </w:r>
            <w:r w:rsidRPr="00EB0209">
              <w:rPr>
                <w:b w:val="0"/>
                <w:bCs/>
                <w:webHidden/>
              </w:rPr>
            </w:r>
            <w:r w:rsidRPr="00EB0209">
              <w:rPr>
                <w:b w:val="0"/>
                <w:bCs/>
                <w:webHidden/>
              </w:rPr>
              <w:fldChar w:fldCharType="separate"/>
            </w:r>
            <w:r w:rsidRPr="00EB0209">
              <w:rPr>
                <w:b w:val="0"/>
                <w:bCs/>
                <w:webHidden/>
              </w:rPr>
              <w:t>39</w:t>
            </w:r>
            <w:r w:rsidRPr="00EB0209">
              <w:rPr>
                <w:b w:val="0"/>
                <w:bCs/>
                <w:webHidden/>
              </w:rPr>
              <w:fldChar w:fldCharType="end"/>
            </w:r>
          </w:hyperlink>
        </w:p>
        <w:p w14:paraId="7F68EF85" w14:textId="5FF71BD7"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1" w:history="1">
            <w:r w:rsidRPr="00EB0209">
              <w:rPr>
                <w:rStyle w:val="Hypertextovodkaz"/>
                <w:b w:val="0"/>
                <w:bCs/>
              </w:rPr>
              <w:t>3.2.9</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Neinvestiční transfery do zahraničí</w:t>
            </w:r>
            <w:r w:rsidRPr="00EB0209">
              <w:rPr>
                <w:b w:val="0"/>
                <w:bCs/>
                <w:webHidden/>
              </w:rPr>
              <w:tab/>
            </w:r>
            <w:r w:rsidRPr="00EB0209">
              <w:rPr>
                <w:b w:val="0"/>
                <w:bCs/>
                <w:webHidden/>
              </w:rPr>
              <w:fldChar w:fldCharType="begin"/>
            </w:r>
            <w:r w:rsidRPr="00EB0209">
              <w:rPr>
                <w:b w:val="0"/>
                <w:bCs/>
                <w:webHidden/>
              </w:rPr>
              <w:instrText xml:space="preserve"> PAGEREF _Toc179964101 \h </w:instrText>
            </w:r>
            <w:r w:rsidRPr="00EB0209">
              <w:rPr>
                <w:b w:val="0"/>
                <w:bCs/>
                <w:webHidden/>
              </w:rPr>
            </w:r>
            <w:r w:rsidRPr="00EB0209">
              <w:rPr>
                <w:b w:val="0"/>
                <w:bCs/>
                <w:webHidden/>
              </w:rPr>
              <w:fldChar w:fldCharType="separate"/>
            </w:r>
            <w:r w:rsidRPr="00EB0209">
              <w:rPr>
                <w:b w:val="0"/>
                <w:bCs/>
                <w:webHidden/>
              </w:rPr>
              <w:t>40</w:t>
            </w:r>
            <w:r w:rsidRPr="00EB0209">
              <w:rPr>
                <w:b w:val="0"/>
                <w:bCs/>
                <w:webHidden/>
              </w:rPr>
              <w:fldChar w:fldCharType="end"/>
            </w:r>
          </w:hyperlink>
        </w:p>
        <w:p w14:paraId="77B9ACFC" w14:textId="1C456F9F"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2" w:history="1">
            <w:r w:rsidRPr="00EB0209">
              <w:rPr>
                <w:rStyle w:val="Hypertextovodkaz"/>
                <w:b w:val="0"/>
                <w:bCs/>
              </w:rPr>
              <w:t>3.2.10</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Neinvestiční transfery státním fondům</w:t>
            </w:r>
            <w:r w:rsidRPr="00EB0209">
              <w:rPr>
                <w:b w:val="0"/>
                <w:bCs/>
                <w:webHidden/>
              </w:rPr>
              <w:tab/>
            </w:r>
            <w:r w:rsidRPr="00EB0209">
              <w:rPr>
                <w:b w:val="0"/>
                <w:bCs/>
                <w:webHidden/>
              </w:rPr>
              <w:fldChar w:fldCharType="begin"/>
            </w:r>
            <w:r w:rsidRPr="00EB0209">
              <w:rPr>
                <w:b w:val="0"/>
                <w:bCs/>
                <w:webHidden/>
              </w:rPr>
              <w:instrText xml:space="preserve"> PAGEREF _Toc179964102 \h </w:instrText>
            </w:r>
            <w:r w:rsidRPr="00EB0209">
              <w:rPr>
                <w:b w:val="0"/>
                <w:bCs/>
                <w:webHidden/>
              </w:rPr>
            </w:r>
            <w:r w:rsidRPr="00EB0209">
              <w:rPr>
                <w:b w:val="0"/>
                <w:bCs/>
                <w:webHidden/>
              </w:rPr>
              <w:fldChar w:fldCharType="separate"/>
            </w:r>
            <w:r w:rsidRPr="00EB0209">
              <w:rPr>
                <w:b w:val="0"/>
                <w:bCs/>
                <w:webHidden/>
              </w:rPr>
              <w:t>40</w:t>
            </w:r>
            <w:r w:rsidRPr="00EB0209">
              <w:rPr>
                <w:b w:val="0"/>
                <w:bCs/>
                <w:webHidden/>
              </w:rPr>
              <w:fldChar w:fldCharType="end"/>
            </w:r>
          </w:hyperlink>
        </w:p>
        <w:p w14:paraId="292E4080" w14:textId="10F5D869" w:rsidR="00EB0209" w:rsidRPr="00EB0209" w:rsidRDefault="00EB0209">
          <w:pPr>
            <w:pStyle w:val="Obsah2"/>
            <w:rPr>
              <w:rFonts w:asciiTheme="minorHAnsi" w:eastAsiaTheme="minorEastAsia" w:hAnsiTheme="minorHAnsi" w:cstheme="minorBidi"/>
              <w:kern w:val="2"/>
              <w14:ligatures w14:val="standardContextual"/>
            </w:rPr>
          </w:pPr>
          <w:hyperlink w:anchor="_Toc179964103" w:history="1">
            <w:r w:rsidRPr="00EB0209">
              <w:rPr>
                <w:rStyle w:val="Hypertextovodkaz"/>
              </w:rPr>
              <w:t>3.3</w:t>
            </w:r>
            <w:r w:rsidRPr="00EB0209">
              <w:rPr>
                <w:rFonts w:asciiTheme="minorHAnsi" w:eastAsiaTheme="minorEastAsia" w:hAnsiTheme="minorHAnsi" w:cstheme="minorBidi"/>
                <w:kern w:val="2"/>
                <w14:ligatures w14:val="standardContextual"/>
              </w:rPr>
              <w:tab/>
            </w:r>
            <w:r w:rsidRPr="00EB0209">
              <w:rPr>
                <w:rStyle w:val="Hypertextovodkaz"/>
              </w:rPr>
              <w:t>Kapitálové výdaje</w:t>
            </w:r>
            <w:r w:rsidRPr="00EB0209">
              <w:rPr>
                <w:webHidden/>
              </w:rPr>
              <w:tab/>
            </w:r>
            <w:r w:rsidRPr="00EB0209">
              <w:rPr>
                <w:webHidden/>
              </w:rPr>
              <w:fldChar w:fldCharType="begin"/>
            </w:r>
            <w:r w:rsidRPr="00EB0209">
              <w:rPr>
                <w:webHidden/>
              </w:rPr>
              <w:instrText xml:space="preserve"> PAGEREF _Toc179964103 \h </w:instrText>
            </w:r>
            <w:r w:rsidRPr="00EB0209">
              <w:rPr>
                <w:webHidden/>
              </w:rPr>
            </w:r>
            <w:r w:rsidRPr="00EB0209">
              <w:rPr>
                <w:webHidden/>
              </w:rPr>
              <w:fldChar w:fldCharType="separate"/>
            </w:r>
            <w:r w:rsidRPr="00EB0209">
              <w:rPr>
                <w:webHidden/>
              </w:rPr>
              <w:t>42</w:t>
            </w:r>
            <w:r w:rsidRPr="00EB0209">
              <w:rPr>
                <w:webHidden/>
              </w:rPr>
              <w:fldChar w:fldCharType="end"/>
            </w:r>
          </w:hyperlink>
        </w:p>
        <w:p w14:paraId="6E6D3933" w14:textId="61B9E1CB"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4" w:history="1">
            <w:r w:rsidRPr="00EB0209">
              <w:rPr>
                <w:rStyle w:val="Hypertextovodkaz"/>
                <w:b w:val="0"/>
                <w:bCs/>
              </w:rPr>
              <w:t>3.3.1</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Investiční transfery veřejným výzkumným institucím</w:t>
            </w:r>
            <w:r w:rsidRPr="00EB0209">
              <w:rPr>
                <w:b w:val="0"/>
                <w:bCs/>
                <w:webHidden/>
              </w:rPr>
              <w:tab/>
            </w:r>
            <w:r w:rsidRPr="00EB0209">
              <w:rPr>
                <w:b w:val="0"/>
                <w:bCs/>
                <w:webHidden/>
              </w:rPr>
              <w:fldChar w:fldCharType="begin"/>
            </w:r>
            <w:r w:rsidRPr="00EB0209">
              <w:rPr>
                <w:b w:val="0"/>
                <w:bCs/>
                <w:webHidden/>
              </w:rPr>
              <w:instrText xml:space="preserve"> PAGEREF _Toc179964104 \h </w:instrText>
            </w:r>
            <w:r w:rsidRPr="00EB0209">
              <w:rPr>
                <w:b w:val="0"/>
                <w:bCs/>
                <w:webHidden/>
              </w:rPr>
            </w:r>
            <w:r w:rsidRPr="00EB0209">
              <w:rPr>
                <w:b w:val="0"/>
                <w:bCs/>
                <w:webHidden/>
              </w:rPr>
              <w:fldChar w:fldCharType="separate"/>
            </w:r>
            <w:r w:rsidRPr="00EB0209">
              <w:rPr>
                <w:b w:val="0"/>
                <w:bCs/>
                <w:webHidden/>
              </w:rPr>
              <w:t>43</w:t>
            </w:r>
            <w:r w:rsidRPr="00EB0209">
              <w:rPr>
                <w:b w:val="0"/>
                <w:bCs/>
                <w:webHidden/>
              </w:rPr>
              <w:fldChar w:fldCharType="end"/>
            </w:r>
          </w:hyperlink>
        </w:p>
        <w:p w14:paraId="6F385D66" w14:textId="08C6A402"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5" w:history="1">
            <w:r w:rsidRPr="00EB0209">
              <w:rPr>
                <w:rStyle w:val="Hypertextovodkaz"/>
                <w:b w:val="0"/>
                <w:bCs/>
              </w:rPr>
              <w:t>3.3.2</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Kapitálové výdaje (prostředky EU– programovací období 2021-2027 a prostředky SR k EU), vedené mimo programové financování EDS/SMVS</w:t>
            </w:r>
            <w:r w:rsidRPr="00EB0209">
              <w:rPr>
                <w:b w:val="0"/>
                <w:bCs/>
                <w:webHidden/>
              </w:rPr>
              <w:tab/>
            </w:r>
            <w:r w:rsidRPr="00EB0209">
              <w:rPr>
                <w:b w:val="0"/>
                <w:bCs/>
                <w:webHidden/>
              </w:rPr>
              <w:fldChar w:fldCharType="begin"/>
            </w:r>
            <w:r w:rsidRPr="00EB0209">
              <w:rPr>
                <w:b w:val="0"/>
                <w:bCs/>
                <w:webHidden/>
              </w:rPr>
              <w:instrText xml:space="preserve"> PAGEREF _Toc179964105 \h </w:instrText>
            </w:r>
            <w:r w:rsidRPr="00EB0209">
              <w:rPr>
                <w:b w:val="0"/>
                <w:bCs/>
                <w:webHidden/>
              </w:rPr>
            </w:r>
            <w:r w:rsidRPr="00EB0209">
              <w:rPr>
                <w:b w:val="0"/>
                <w:bCs/>
                <w:webHidden/>
              </w:rPr>
              <w:fldChar w:fldCharType="separate"/>
            </w:r>
            <w:r w:rsidRPr="00EB0209">
              <w:rPr>
                <w:b w:val="0"/>
                <w:bCs/>
                <w:webHidden/>
              </w:rPr>
              <w:t>44</w:t>
            </w:r>
            <w:r w:rsidRPr="00EB0209">
              <w:rPr>
                <w:b w:val="0"/>
                <w:bCs/>
                <w:webHidden/>
              </w:rPr>
              <w:fldChar w:fldCharType="end"/>
            </w:r>
          </w:hyperlink>
        </w:p>
        <w:p w14:paraId="60640644" w14:textId="703A6F62" w:rsidR="00EB0209" w:rsidRPr="00EB0209" w:rsidRDefault="00EB0209">
          <w:pPr>
            <w:pStyle w:val="Obsah2"/>
            <w:rPr>
              <w:rFonts w:asciiTheme="minorHAnsi" w:eastAsiaTheme="minorEastAsia" w:hAnsiTheme="minorHAnsi" w:cstheme="minorBidi"/>
              <w:kern w:val="2"/>
              <w14:ligatures w14:val="standardContextual"/>
            </w:rPr>
          </w:pPr>
          <w:hyperlink w:anchor="_Toc179964106" w:history="1">
            <w:r w:rsidRPr="00EB0209">
              <w:rPr>
                <w:rStyle w:val="Hypertextovodkaz"/>
              </w:rPr>
              <w:t>3.4</w:t>
            </w:r>
            <w:r w:rsidRPr="00EB0209">
              <w:rPr>
                <w:rFonts w:asciiTheme="minorHAnsi" w:eastAsiaTheme="minorEastAsia" w:hAnsiTheme="minorHAnsi" w:cstheme="minorBidi"/>
                <w:kern w:val="2"/>
                <w14:ligatures w14:val="standardContextual"/>
              </w:rPr>
              <w:tab/>
            </w:r>
            <w:r w:rsidRPr="00EB0209">
              <w:rPr>
                <w:rStyle w:val="Hypertextovodkaz"/>
              </w:rPr>
              <w:t>Výdaje vedené v informačním systému programového financování EDS/SMVS</w:t>
            </w:r>
            <w:r w:rsidRPr="00EB0209">
              <w:rPr>
                <w:webHidden/>
              </w:rPr>
              <w:tab/>
            </w:r>
            <w:r w:rsidRPr="00EB0209">
              <w:rPr>
                <w:webHidden/>
              </w:rPr>
              <w:fldChar w:fldCharType="begin"/>
            </w:r>
            <w:r w:rsidRPr="00EB0209">
              <w:rPr>
                <w:webHidden/>
              </w:rPr>
              <w:instrText xml:space="preserve"> PAGEREF _Toc179964106 \h </w:instrText>
            </w:r>
            <w:r w:rsidRPr="00EB0209">
              <w:rPr>
                <w:webHidden/>
              </w:rPr>
            </w:r>
            <w:r w:rsidRPr="00EB0209">
              <w:rPr>
                <w:webHidden/>
              </w:rPr>
              <w:fldChar w:fldCharType="separate"/>
            </w:r>
            <w:r w:rsidRPr="00EB0209">
              <w:rPr>
                <w:webHidden/>
              </w:rPr>
              <w:t>45</w:t>
            </w:r>
            <w:r w:rsidRPr="00EB0209">
              <w:rPr>
                <w:webHidden/>
              </w:rPr>
              <w:fldChar w:fldCharType="end"/>
            </w:r>
          </w:hyperlink>
        </w:p>
        <w:p w14:paraId="7851546A" w14:textId="0001E9CA"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7" w:history="1">
            <w:r w:rsidRPr="00EB0209">
              <w:rPr>
                <w:rStyle w:val="Hypertextovodkaz"/>
                <w:b w:val="0"/>
                <w:bCs/>
              </w:rPr>
              <w:t>3.4.1</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Organizační složky státu</w:t>
            </w:r>
            <w:r w:rsidRPr="00EB0209">
              <w:rPr>
                <w:b w:val="0"/>
                <w:bCs/>
                <w:webHidden/>
              </w:rPr>
              <w:tab/>
            </w:r>
            <w:r w:rsidRPr="00EB0209">
              <w:rPr>
                <w:b w:val="0"/>
                <w:bCs/>
                <w:webHidden/>
              </w:rPr>
              <w:fldChar w:fldCharType="begin"/>
            </w:r>
            <w:r w:rsidRPr="00EB0209">
              <w:rPr>
                <w:b w:val="0"/>
                <w:bCs/>
                <w:webHidden/>
              </w:rPr>
              <w:instrText xml:space="preserve"> PAGEREF _Toc179964107 \h </w:instrText>
            </w:r>
            <w:r w:rsidRPr="00EB0209">
              <w:rPr>
                <w:b w:val="0"/>
                <w:bCs/>
                <w:webHidden/>
              </w:rPr>
            </w:r>
            <w:r w:rsidRPr="00EB0209">
              <w:rPr>
                <w:b w:val="0"/>
                <w:bCs/>
                <w:webHidden/>
              </w:rPr>
              <w:fldChar w:fldCharType="separate"/>
            </w:r>
            <w:r w:rsidRPr="00EB0209">
              <w:rPr>
                <w:b w:val="0"/>
                <w:bCs/>
                <w:webHidden/>
              </w:rPr>
              <w:t>45</w:t>
            </w:r>
            <w:r w:rsidRPr="00EB0209">
              <w:rPr>
                <w:b w:val="0"/>
                <w:bCs/>
                <w:webHidden/>
              </w:rPr>
              <w:fldChar w:fldCharType="end"/>
            </w:r>
          </w:hyperlink>
        </w:p>
        <w:p w14:paraId="63204E0F" w14:textId="3A733BFF"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8" w:history="1">
            <w:r w:rsidRPr="00EB0209">
              <w:rPr>
                <w:rStyle w:val="Hypertextovodkaz"/>
                <w:b w:val="0"/>
                <w:bCs/>
              </w:rPr>
              <w:t>3.4.2</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Zřízené příspěvkové organizace</w:t>
            </w:r>
            <w:r w:rsidRPr="00EB0209">
              <w:rPr>
                <w:b w:val="0"/>
                <w:bCs/>
                <w:webHidden/>
              </w:rPr>
              <w:tab/>
            </w:r>
            <w:r w:rsidRPr="00EB0209">
              <w:rPr>
                <w:b w:val="0"/>
                <w:bCs/>
                <w:webHidden/>
              </w:rPr>
              <w:fldChar w:fldCharType="begin"/>
            </w:r>
            <w:r w:rsidRPr="00EB0209">
              <w:rPr>
                <w:b w:val="0"/>
                <w:bCs/>
                <w:webHidden/>
              </w:rPr>
              <w:instrText xml:space="preserve"> PAGEREF _Toc179964108 \h </w:instrText>
            </w:r>
            <w:r w:rsidRPr="00EB0209">
              <w:rPr>
                <w:b w:val="0"/>
                <w:bCs/>
                <w:webHidden/>
              </w:rPr>
            </w:r>
            <w:r w:rsidRPr="00EB0209">
              <w:rPr>
                <w:b w:val="0"/>
                <w:bCs/>
                <w:webHidden/>
              </w:rPr>
              <w:fldChar w:fldCharType="separate"/>
            </w:r>
            <w:r w:rsidRPr="00EB0209">
              <w:rPr>
                <w:b w:val="0"/>
                <w:bCs/>
                <w:webHidden/>
              </w:rPr>
              <w:t>49</w:t>
            </w:r>
            <w:r w:rsidRPr="00EB0209">
              <w:rPr>
                <w:b w:val="0"/>
                <w:bCs/>
                <w:webHidden/>
              </w:rPr>
              <w:fldChar w:fldCharType="end"/>
            </w:r>
          </w:hyperlink>
        </w:p>
        <w:p w14:paraId="695F707C" w14:textId="685A829F"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09" w:history="1">
            <w:r w:rsidRPr="00EB0209">
              <w:rPr>
                <w:rStyle w:val="Hypertextovodkaz"/>
                <w:b w:val="0"/>
                <w:bCs/>
              </w:rPr>
              <w:t>3.4.3</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Podnikatelské subjekty</w:t>
            </w:r>
            <w:r w:rsidRPr="00EB0209">
              <w:rPr>
                <w:b w:val="0"/>
                <w:bCs/>
                <w:webHidden/>
              </w:rPr>
              <w:tab/>
            </w:r>
            <w:r w:rsidRPr="00EB0209">
              <w:rPr>
                <w:b w:val="0"/>
                <w:bCs/>
                <w:webHidden/>
              </w:rPr>
              <w:fldChar w:fldCharType="begin"/>
            </w:r>
            <w:r w:rsidRPr="00EB0209">
              <w:rPr>
                <w:b w:val="0"/>
                <w:bCs/>
                <w:webHidden/>
              </w:rPr>
              <w:instrText xml:space="preserve"> PAGEREF _Toc179964109 \h </w:instrText>
            </w:r>
            <w:r w:rsidRPr="00EB0209">
              <w:rPr>
                <w:b w:val="0"/>
                <w:bCs/>
                <w:webHidden/>
              </w:rPr>
            </w:r>
            <w:r w:rsidRPr="00EB0209">
              <w:rPr>
                <w:b w:val="0"/>
                <w:bCs/>
                <w:webHidden/>
              </w:rPr>
              <w:fldChar w:fldCharType="separate"/>
            </w:r>
            <w:r w:rsidRPr="00EB0209">
              <w:rPr>
                <w:b w:val="0"/>
                <w:bCs/>
                <w:webHidden/>
              </w:rPr>
              <w:t>51</w:t>
            </w:r>
            <w:r w:rsidRPr="00EB0209">
              <w:rPr>
                <w:b w:val="0"/>
                <w:bCs/>
                <w:webHidden/>
              </w:rPr>
              <w:fldChar w:fldCharType="end"/>
            </w:r>
          </w:hyperlink>
        </w:p>
        <w:p w14:paraId="0D6B397D" w14:textId="49DDB18C"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10" w:history="1">
            <w:r w:rsidRPr="00EB0209">
              <w:rPr>
                <w:rStyle w:val="Hypertextovodkaz"/>
                <w:b w:val="0"/>
                <w:bCs/>
              </w:rPr>
              <w:t>3.4.4</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Státní fondy</w:t>
            </w:r>
            <w:r w:rsidRPr="00EB0209">
              <w:rPr>
                <w:b w:val="0"/>
                <w:bCs/>
                <w:webHidden/>
              </w:rPr>
              <w:tab/>
            </w:r>
            <w:r w:rsidRPr="00EB0209">
              <w:rPr>
                <w:b w:val="0"/>
                <w:bCs/>
                <w:webHidden/>
              </w:rPr>
              <w:fldChar w:fldCharType="begin"/>
            </w:r>
            <w:r w:rsidRPr="00EB0209">
              <w:rPr>
                <w:b w:val="0"/>
                <w:bCs/>
                <w:webHidden/>
              </w:rPr>
              <w:instrText xml:space="preserve"> PAGEREF _Toc179964110 \h </w:instrText>
            </w:r>
            <w:r w:rsidRPr="00EB0209">
              <w:rPr>
                <w:b w:val="0"/>
                <w:bCs/>
                <w:webHidden/>
              </w:rPr>
            </w:r>
            <w:r w:rsidRPr="00EB0209">
              <w:rPr>
                <w:b w:val="0"/>
                <w:bCs/>
                <w:webHidden/>
              </w:rPr>
              <w:fldChar w:fldCharType="separate"/>
            </w:r>
            <w:r w:rsidRPr="00EB0209">
              <w:rPr>
                <w:b w:val="0"/>
                <w:bCs/>
                <w:webHidden/>
              </w:rPr>
              <w:t>51</w:t>
            </w:r>
            <w:r w:rsidRPr="00EB0209">
              <w:rPr>
                <w:b w:val="0"/>
                <w:bCs/>
                <w:webHidden/>
              </w:rPr>
              <w:fldChar w:fldCharType="end"/>
            </w:r>
          </w:hyperlink>
        </w:p>
        <w:p w14:paraId="65892E39" w14:textId="2743318F"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11" w:history="1">
            <w:r w:rsidRPr="00EB0209">
              <w:rPr>
                <w:rStyle w:val="Hypertextovodkaz"/>
                <w:b w:val="0"/>
                <w:bCs/>
              </w:rPr>
              <w:t>3.4.5</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Neziskové a podobné organizace</w:t>
            </w:r>
            <w:r w:rsidRPr="00EB0209">
              <w:rPr>
                <w:b w:val="0"/>
                <w:bCs/>
                <w:webHidden/>
              </w:rPr>
              <w:tab/>
            </w:r>
            <w:r w:rsidRPr="00EB0209">
              <w:rPr>
                <w:b w:val="0"/>
                <w:bCs/>
                <w:webHidden/>
              </w:rPr>
              <w:fldChar w:fldCharType="begin"/>
            </w:r>
            <w:r w:rsidRPr="00EB0209">
              <w:rPr>
                <w:b w:val="0"/>
                <w:bCs/>
                <w:webHidden/>
              </w:rPr>
              <w:instrText xml:space="preserve"> PAGEREF _Toc179964111 \h </w:instrText>
            </w:r>
            <w:r w:rsidRPr="00EB0209">
              <w:rPr>
                <w:b w:val="0"/>
                <w:bCs/>
                <w:webHidden/>
              </w:rPr>
            </w:r>
            <w:r w:rsidRPr="00EB0209">
              <w:rPr>
                <w:b w:val="0"/>
                <w:bCs/>
                <w:webHidden/>
              </w:rPr>
              <w:fldChar w:fldCharType="separate"/>
            </w:r>
            <w:r w:rsidRPr="00EB0209">
              <w:rPr>
                <w:b w:val="0"/>
                <w:bCs/>
                <w:webHidden/>
              </w:rPr>
              <w:t>52</w:t>
            </w:r>
            <w:r w:rsidRPr="00EB0209">
              <w:rPr>
                <w:b w:val="0"/>
                <w:bCs/>
                <w:webHidden/>
              </w:rPr>
              <w:fldChar w:fldCharType="end"/>
            </w:r>
          </w:hyperlink>
        </w:p>
        <w:p w14:paraId="5ABF3B4A" w14:textId="72CC0D20" w:rsidR="00EB0209" w:rsidRPr="00EB0209" w:rsidRDefault="00EB0209">
          <w:pPr>
            <w:pStyle w:val="Obsah2"/>
            <w:rPr>
              <w:rFonts w:asciiTheme="minorHAnsi" w:eastAsiaTheme="minorEastAsia" w:hAnsiTheme="minorHAnsi" w:cstheme="minorBidi"/>
              <w:kern w:val="2"/>
              <w14:ligatures w14:val="standardContextual"/>
            </w:rPr>
          </w:pPr>
          <w:hyperlink w:anchor="_Toc179964112" w:history="1">
            <w:r w:rsidRPr="00EB0209">
              <w:rPr>
                <w:rStyle w:val="Hypertextovodkaz"/>
              </w:rPr>
              <w:t>3.5</w:t>
            </w:r>
            <w:r w:rsidRPr="00EB0209">
              <w:rPr>
                <w:rFonts w:asciiTheme="minorHAnsi" w:eastAsiaTheme="minorEastAsia" w:hAnsiTheme="minorHAnsi" w:cstheme="minorBidi"/>
                <w:kern w:val="2"/>
                <w14:ligatures w14:val="standardContextual"/>
              </w:rPr>
              <w:tab/>
            </w:r>
            <w:r w:rsidRPr="00EB0209">
              <w:rPr>
                <w:rStyle w:val="Hypertextovodkaz"/>
              </w:rPr>
              <w:t>Prostředky fondů Evropské unie</w:t>
            </w:r>
            <w:r w:rsidRPr="00EB0209">
              <w:rPr>
                <w:webHidden/>
              </w:rPr>
              <w:tab/>
            </w:r>
            <w:r w:rsidRPr="00EB0209">
              <w:rPr>
                <w:webHidden/>
              </w:rPr>
              <w:fldChar w:fldCharType="begin"/>
            </w:r>
            <w:r w:rsidRPr="00EB0209">
              <w:rPr>
                <w:webHidden/>
              </w:rPr>
              <w:instrText xml:space="preserve"> PAGEREF _Toc179964112 \h </w:instrText>
            </w:r>
            <w:r w:rsidRPr="00EB0209">
              <w:rPr>
                <w:webHidden/>
              </w:rPr>
            </w:r>
            <w:r w:rsidRPr="00EB0209">
              <w:rPr>
                <w:webHidden/>
              </w:rPr>
              <w:fldChar w:fldCharType="separate"/>
            </w:r>
            <w:r w:rsidRPr="00EB0209">
              <w:rPr>
                <w:webHidden/>
              </w:rPr>
              <w:t>54</w:t>
            </w:r>
            <w:r w:rsidRPr="00EB0209">
              <w:rPr>
                <w:webHidden/>
              </w:rPr>
              <w:fldChar w:fldCharType="end"/>
            </w:r>
          </w:hyperlink>
        </w:p>
        <w:p w14:paraId="75526603" w14:textId="548C004D"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13" w:history="1">
            <w:r w:rsidRPr="00EB0209">
              <w:rPr>
                <w:rStyle w:val="Hypertextovodkaz"/>
                <w:b w:val="0"/>
                <w:bCs/>
              </w:rPr>
              <w:t>3.5.1</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Program Doprava 2021–2027</w:t>
            </w:r>
            <w:r w:rsidRPr="00EB0209">
              <w:rPr>
                <w:b w:val="0"/>
                <w:bCs/>
                <w:webHidden/>
              </w:rPr>
              <w:tab/>
            </w:r>
            <w:r w:rsidRPr="00EB0209">
              <w:rPr>
                <w:b w:val="0"/>
                <w:bCs/>
                <w:webHidden/>
              </w:rPr>
              <w:fldChar w:fldCharType="begin"/>
            </w:r>
            <w:r w:rsidRPr="00EB0209">
              <w:rPr>
                <w:b w:val="0"/>
                <w:bCs/>
                <w:webHidden/>
              </w:rPr>
              <w:instrText xml:space="preserve"> PAGEREF _Toc179964113 \h </w:instrText>
            </w:r>
            <w:r w:rsidRPr="00EB0209">
              <w:rPr>
                <w:b w:val="0"/>
                <w:bCs/>
                <w:webHidden/>
              </w:rPr>
            </w:r>
            <w:r w:rsidRPr="00EB0209">
              <w:rPr>
                <w:b w:val="0"/>
                <w:bCs/>
                <w:webHidden/>
              </w:rPr>
              <w:fldChar w:fldCharType="separate"/>
            </w:r>
            <w:r w:rsidRPr="00EB0209">
              <w:rPr>
                <w:b w:val="0"/>
                <w:bCs/>
                <w:webHidden/>
              </w:rPr>
              <w:t>54</w:t>
            </w:r>
            <w:r w:rsidRPr="00EB0209">
              <w:rPr>
                <w:b w:val="0"/>
                <w:bCs/>
                <w:webHidden/>
              </w:rPr>
              <w:fldChar w:fldCharType="end"/>
            </w:r>
          </w:hyperlink>
        </w:p>
        <w:p w14:paraId="75208303" w14:textId="2628205B"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14" w:history="1">
            <w:r w:rsidRPr="00EB0209">
              <w:rPr>
                <w:rStyle w:val="Hypertextovodkaz"/>
                <w:b w:val="0"/>
                <w:bCs/>
              </w:rPr>
              <w:t>3.5.2</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Komunitární programy – programové období 2021–2027</w:t>
            </w:r>
            <w:r w:rsidRPr="00EB0209">
              <w:rPr>
                <w:b w:val="0"/>
                <w:bCs/>
                <w:webHidden/>
              </w:rPr>
              <w:tab/>
            </w:r>
            <w:r w:rsidRPr="00EB0209">
              <w:rPr>
                <w:b w:val="0"/>
                <w:bCs/>
                <w:webHidden/>
              </w:rPr>
              <w:fldChar w:fldCharType="begin"/>
            </w:r>
            <w:r w:rsidRPr="00EB0209">
              <w:rPr>
                <w:b w:val="0"/>
                <w:bCs/>
                <w:webHidden/>
              </w:rPr>
              <w:instrText xml:space="preserve"> PAGEREF _Toc179964114 \h </w:instrText>
            </w:r>
            <w:r w:rsidRPr="00EB0209">
              <w:rPr>
                <w:b w:val="0"/>
                <w:bCs/>
                <w:webHidden/>
              </w:rPr>
            </w:r>
            <w:r w:rsidRPr="00EB0209">
              <w:rPr>
                <w:b w:val="0"/>
                <w:bCs/>
                <w:webHidden/>
              </w:rPr>
              <w:fldChar w:fldCharType="separate"/>
            </w:r>
            <w:r w:rsidRPr="00EB0209">
              <w:rPr>
                <w:b w:val="0"/>
                <w:bCs/>
                <w:webHidden/>
              </w:rPr>
              <w:t>58</w:t>
            </w:r>
            <w:r w:rsidRPr="00EB0209">
              <w:rPr>
                <w:b w:val="0"/>
                <w:bCs/>
                <w:webHidden/>
              </w:rPr>
              <w:fldChar w:fldCharType="end"/>
            </w:r>
          </w:hyperlink>
        </w:p>
        <w:p w14:paraId="7B4F0917" w14:textId="45EED042"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15" w:history="1">
            <w:r w:rsidRPr="00EB0209">
              <w:rPr>
                <w:rStyle w:val="Hypertextovodkaz"/>
                <w:b w:val="0"/>
                <w:bCs/>
              </w:rPr>
              <w:t>3.5.3</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Nástroj pro oživení a odolnost (Recovery and Resilience Facility – RRF)</w:t>
            </w:r>
            <w:r w:rsidRPr="00EB0209">
              <w:rPr>
                <w:b w:val="0"/>
                <w:bCs/>
                <w:webHidden/>
              </w:rPr>
              <w:tab/>
            </w:r>
            <w:r w:rsidRPr="00EB0209">
              <w:rPr>
                <w:b w:val="0"/>
                <w:bCs/>
                <w:webHidden/>
              </w:rPr>
              <w:fldChar w:fldCharType="begin"/>
            </w:r>
            <w:r w:rsidRPr="00EB0209">
              <w:rPr>
                <w:b w:val="0"/>
                <w:bCs/>
                <w:webHidden/>
              </w:rPr>
              <w:instrText xml:space="preserve"> PAGEREF _Toc179964115 \h </w:instrText>
            </w:r>
            <w:r w:rsidRPr="00EB0209">
              <w:rPr>
                <w:b w:val="0"/>
                <w:bCs/>
                <w:webHidden/>
              </w:rPr>
            </w:r>
            <w:r w:rsidRPr="00EB0209">
              <w:rPr>
                <w:b w:val="0"/>
                <w:bCs/>
                <w:webHidden/>
              </w:rPr>
              <w:fldChar w:fldCharType="separate"/>
            </w:r>
            <w:r w:rsidRPr="00EB0209">
              <w:rPr>
                <w:b w:val="0"/>
                <w:bCs/>
                <w:webHidden/>
              </w:rPr>
              <w:t>62</w:t>
            </w:r>
            <w:r w:rsidRPr="00EB0209">
              <w:rPr>
                <w:b w:val="0"/>
                <w:bCs/>
                <w:webHidden/>
              </w:rPr>
              <w:fldChar w:fldCharType="end"/>
            </w:r>
          </w:hyperlink>
        </w:p>
        <w:p w14:paraId="221CB310" w14:textId="31E67D81" w:rsidR="00EB0209" w:rsidRPr="00EB0209" w:rsidRDefault="00EB0209">
          <w:pPr>
            <w:pStyle w:val="Obsah3"/>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pPr>
          <w:hyperlink w:anchor="_Toc179964116" w:history="1">
            <w:r w:rsidRPr="00EB0209">
              <w:rPr>
                <w:rStyle w:val="Hypertextovodkaz"/>
                <w:b w:val="0"/>
                <w:bCs/>
              </w:rPr>
              <w:t>3.5.4</w:t>
            </w:r>
            <w:r w:rsidRPr="00EB0209">
              <w:rPr>
                <w:rFonts w:asciiTheme="minorHAnsi" w:eastAsiaTheme="minorEastAsia" w:hAnsiTheme="minorHAnsi" w:cstheme="minorBidi"/>
                <w:b w:val="0"/>
                <w:bCs/>
                <w:kern w:val="2"/>
                <w14:scene3d>
                  <w14:camera w14:prst="orthographicFront"/>
                  <w14:lightRig w14:rig="threePt" w14:dir="t">
                    <w14:rot w14:lat="0" w14:lon="0" w14:rev="0"/>
                  </w14:lightRig>
                </w14:scene3d>
                <w14:ligatures w14:val="standardContextual"/>
              </w:rPr>
              <w:tab/>
            </w:r>
            <w:r w:rsidRPr="00EB0209">
              <w:rPr>
                <w:rStyle w:val="Hypertextovodkaz"/>
                <w:b w:val="0"/>
                <w:bCs/>
              </w:rPr>
              <w:t>Rozdělení prostředků EU a podílu SR dle jednotlivých programů na rok 2025</w:t>
            </w:r>
            <w:r w:rsidRPr="00EB0209">
              <w:rPr>
                <w:b w:val="0"/>
                <w:bCs/>
                <w:webHidden/>
              </w:rPr>
              <w:tab/>
            </w:r>
            <w:r w:rsidRPr="00EB0209">
              <w:rPr>
                <w:b w:val="0"/>
                <w:bCs/>
                <w:webHidden/>
              </w:rPr>
              <w:fldChar w:fldCharType="begin"/>
            </w:r>
            <w:r w:rsidRPr="00EB0209">
              <w:rPr>
                <w:b w:val="0"/>
                <w:bCs/>
                <w:webHidden/>
              </w:rPr>
              <w:instrText xml:space="preserve"> PAGEREF _Toc179964116 \h </w:instrText>
            </w:r>
            <w:r w:rsidRPr="00EB0209">
              <w:rPr>
                <w:b w:val="0"/>
                <w:bCs/>
                <w:webHidden/>
              </w:rPr>
            </w:r>
            <w:r w:rsidRPr="00EB0209">
              <w:rPr>
                <w:b w:val="0"/>
                <w:bCs/>
                <w:webHidden/>
              </w:rPr>
              <w:fldChar w:fldCharType="separate"/>
            </w:r>
            <w:r w:rsidRPr="00EB0209">
              <w:rPr>
                <w:b w:val="0"/>
                <w:bCs/>
                <w:webHidden/>
              </w:rPr>
              <w:t>62</w:t>
            </w:r>
            <w:r w:rsidRPr="00EB0209">
              <w:rPr>
                <w:b w:val="0"/>
                <w:bCs/>
                <w:webHidden/>
              </w:rPr>
              <w:fldChar w:fldCharType="end"/>
            </w:r>
          </w:hyperlink>
        </w:p>
        <w:p w14:paraId="420E4275" w14:textId="2E0BD451" w:rsidR="00EB0209" w:rsidRPr="00EB0209" w:rsidRDefault="00EB0209">
          <w:pPr>
            <w:pStyle w:val="Obsah2"/>
            <w:rPr>
              <w:rFonts w:asciiTheme="minorHAnsi" w:eastAsiaTheme="minorEastAsia" w:hAnsiTheme="minorHAnsi" w:cstheme="minorBidi"/>
              <w:kern w:val="2"/>
              <w14:ligatures w14:val="standardContextual"/>
            </w:rPr>
          </w:pPr>
          <w:hyperlink w:anchor="_Toc179964117" w:history="1">
            <w:r w:rsidRPr="00EB0209">
              <w:rPr>
                <w:rStyle w:val="Hypertextovodkaz"/>
              </w:rPr>
              <w:t>3.6</w:t>
            </w:r>
            <w:r w:rsidRPr="00EB0209">
              <w:rPr>
                <w:rFonts w:asciiTheme="minorHAnsi" w:eastAsiaTheme="minorEastAsia" w:hAnsiTheme="minorHAnsi" w:cstheme="minorBidi"/>
                <w:kern w:val="2"/>
                <w14:ligatures w14:val="standardContextual"/>
              </w:rPr>
              <w:tab/>
            </w:r>
            <w:r w:rsidRPr="00EB0209">
              <w:rPr>
                <w:rStyle w:val="Hypertextovodkaz"/>
              </w:rPr>
              <w:t>Výdaje na výzkum, vývoj a inovace</w:t>
            </w:r>
            <w:r w:rsidRPr="00EB0209">
              <w:rPr>
                <w:webHidden/>
              </w:rPr>
              <w:tab/>
            </w:r>
            <w:r w:rsidRPr="00EB0209">
              <w:rPr>
                <w:webHidden/>
              </w:rPr>
              <w:fldChar w:fldCharType="begin"/>
            </w:r>
            <w:r w:rsidRPr="00EB0209">
              <w:rPr>
                <w:webHidden/>
              </w:rPr>
              <w:instrText xml:space="preserve"> PAGEREF _Toc179964117 \h </w:instrText>
            </w:r>
            <w:r w:rsidRPr="00EB0209">
              <w:rPr>
                <w:webHidden/>
              </w:rPr>
            </w:r>
            <w:r w:rsidRPr="00EB0209">
              <w:rPr>
                <w:webHidden/>
              </w:rPr>
              <w:fldChar w:fldCharType="separate"/>
            </w:r>
            <w:r w:rsidRPr="00EB0209">
              <w:rPr>
                <w:webHidden/>
              </w:rPr>
              <w:t>63</w:t>
            </w:r>
            <w:r w:rsidRPr="00EB0209">
              <w:rPr>
                <w:webHidden/>
              </w:rPr>
              <w:fldChar w:fldCharType="end"/>
            </w:r>
          </w:hyperlink>
        </w:p>
        <w:p w14:paraId="38184D95" w14:textId="64B00D45" w:rsidR="00EB0209" w:rsidRPr="00EB0209" w:rsidRDefault="00EB0209">
          <w:pPr>
            <w:pStyle w:val="Obsah2"/>
            <w:rPr>
              <w:rFonts w:asciiTheme="minorHAnsi" w:eastAsiaTheme="minorEastAsia" w:hAnsiTheme="minorHAnsi" w:cstheme="minorBidi"/>
              <w:kern w:val="2"/>
              <w14:ligatures w14:val="standardContextual"/>
            </w:rPr>
          </w:pPr>
          <w:hyperlink w:anchor="_Toc179964118" w:history="1">
            <w:r w:rsidRPr="00EB0209">
              <w:rPr>
                <w:rStyle w:val="Hypertextovodkaz"/>
              </w:rPr>
              <w:t>3.7</w:t>
            </w:r>
            <w:r w:rsidRPr="00EB0209">
              <w:rPr>
                <w:rFonts w:asciiTheme="minorHAnsi" w:eastAsiaTheme="minorEastAsia" w:hAnsiTheme="minorHAnsi" w:cstheme="minorBidi"/>
                <w:kern w:val="2"/>
                <w14:ligatures w14:val="standardContextual"/>
              </w:rPr>
              <w:tab/>
            </w:r>
            <w:r w:rsidRPr="00EB0209">
              <w:rPr>
                <w:rStyle w:val="Hypertextovodkaz"/>
              </w:rPr>
              <w:t>Výdaje na obranu</w:t>
            </w:r>
            <w:r w:rsidRPr="00EB0209">
              <w:rPr>
                <w:webHidden/>
              </w:rPr>
              <w:tab/>
            </w:r>
            <w:r w:rsidRPr="00EB0209">
              <w:rPr>
                <w:webHidden/>
              </w:rPr>
              <w:fldChar w:fldCharType="begin"/>
            </w:r>
            <w:r w:rsidRPr="00EB0209">
              <w:rPr>
                <w:webHidden/>
              </w:rPr>
              <w:instrText xml:space="preserve"> PAGEREF _Toc179964118 \h </w:instrText>
            </w:r>
            <w:r w:rsidRPr="00EB0209">
              <w:rPr>
                <w:webHidden/>
              </w:rPr>
            </w:r>
            <w:r w:rsidRPr="00EB0209">
              <w:rPr>
                <w:webHidden/>
              </w:rPr>
              <w:fldChar w:fldCharType="separate"/>
            </w:r>
            <w:r w:rsidRPr="00EB0209">
              <w:rPr>
                <w:webHidden/>
              </w:rPr>
              <w:t>63</w:t>
            </w:r>
            <w:r w:rsidRPr="00EB0209">
              <w:rPr>
                <w:webHidden/>
              </w:rPr>
              <w:fldChar w:fldCharType="end"/>
            </w:r>
          </w:hyperlink>
        </w:p>
        <w:p w14:paraId="1765271F" w14:textId="34023D15" w:rsidR="00EB0209" w:rsidRPr="00EB0209" w:rsidRDefault="00EB0209">
          <w:pPr>
            <w:pStyle w:val="Obsah2"/>
            <w:rPr>
              <w:rFonts w:asciiTheme="minorHAnsi" w:eastAsiaTheme="minorEastAsia" w:hAnsiTheme="minorHAnsi" w:cstheme="minorBidi"/>
              <w:kern w:val="2"/>
              <w14:ligatures w14:val="standardContextual"/>
            </w:rPr>
          </w:pPr>
          <w:hyperlink w:anchor="_Toc179964119" w:history="1">
            <w:r w:rsidRPr="00EB0209">
              <w:rPr>
                <w:rStyle w:val="Hypertextovodkaz"/>
              </w:rPr>
              <w:t>3.8</w:t>
            </w:r>
            <w:r w:rsidRPr="00EB0209">
              <w:rPr>
                <w:rFonts w:asciiTheme="minorHAnsi" w:eastAsiaTheme="minorEastAsia" w:hAnsiTheme="minorHAnsi" w:cstheme="minorBidi"/>
                <w:kern w:val="2"/>
                <w14:ligatures w14:val="standardContextual"/>
              </w:rPr>
              <w:tab/>
            </w:r>
            <w:r w:rsidRPr="00EB0209">
              <w:rPr>
                <w:rStyle w:val="Hypertextovodkaz"/>
              </w:rPr>
              <w:t>Výdaje na významné veřejné zakázky</w:t>
            </w:r>
            <w:r w:rsidRPr="00EB0209">
              <w:rPr>
                <w:webHidden/>
              </w:rPr>
              <w:tab/>
            </w:r>
            <w:r w:rsidRPr="00EB0209">
              <w:rPr>
                <w:webHidden/>
              </w:rPr>
              <w:fldChar w:fldCharType="begin"/>
            </w:r>
            <w:r w:rsidRPr="00EB0209">
              <w:rPr>
                <w:webHidden/>
              </w:rPr>
              <w:instrText xml:space="preserve"> PAGEREF _Toc179964119 \h </w:instrText>
            </w:r>
            <w:r w:rsidRPr="00EB0209">
              <w:rPr>
                <w:webHidden/>
              </w:rPr>
            </w:r>
            <w:r w:rsidRPr="00EB0209">
              <w:rPr>
                <w:webHidden/>
              </w:rPr>
              <w:fldChar w:fldCharType="separate"/>
            </w:r>
            <w:r w:rsidRPr="00EB0209">
              <w:rPr>
                <w:webHidden/>
              </w:rPr>
              <w:t>64</w:t>
            </w:r>
            <w:r w:rsidRPr="00EB0209">
              <w:rPr>
                <w:webHidden/>
              </w:rPr>
              <w:fldChar w:fldCharType="end"/>
            </w:r>
          </w:hyperlink>
        </w:p>
        <w:p w14:paraId="6C149D63" w14:textId="1E9A8982" w:rsidR="00CD5258" w:rsidRPr="00EB0209" w:rsidRDefault="00CD5258" w:rsidP="00CE76D0">
          <w:pPr>
            <w:pStyle w:val="Obsah2"/>
            <w:rPr>
              <w:rFonts w:cs="Times New Roman"/>
              <w:color w:val="FF0000"/>
            </w:rPr>
          </w:pPr>
          <w:r w:rsidRPr="00EB0209">
            <w:rPr>
              <w:rFonts w:cs="Times New Roman"/>
            </w:rPr>
            <w:fldChar w:fldCharType="end"/>
          </w:r>
        </w:p>
      </w:sdtContent>
    </w:sdt>
    <w:p w14:paraId="6DE6C23E" w14:textId="77777777" w:rsidR="00670C99" w:rsidRPr="00AA1D3E" w:rsidRDefault="00670C99" w:rsidP="00134C47">
      <w:pPr>
        <w:pStyle w:val="Obsah1"/>
      </w:pPr>
    </w:p>
    <w:p w14:paraId="48B6B84A" w14:textId="77777777" w:rsidR="00670C99" w:rsidRPr="00AA1D3E" w:rsidRDefault="00670C99" w:rsidP="00134C47">
      <w:pPr>
        <w:pStyle w:val="Obsah1"/>
      </w:pPr>
    </w:p>
    <w:p w14:paraId="24C8BACA" w14:textId="77777777" w:rsidR="00670C99" w:rsidRPr="00AA1D3E" w:rsidRDefault="00670C99" w:rsidP="00134C47">
      <w:pPr>
        <w:pStyle w:val="Obsah1"/>
      </w:pPr>
    </w:p>
    <w:p w14:paraId="43B28AEF" w14:textId="77777777" w:rsidR="00670C99" w:rsidRPr="00AA1D3E" w:rsidRDefault="00670C99" w:rsidP="00134C47">
      <w:pPr>
        <w:pStyle w:val="Obsah1"/>
      </w:pPr>
    </w:p>
    <w:p w14:paraId="3388CB77" w14:textId="77777777" w:rsidR="00670C99" w:rsidRPr="00AA1D3E" w:rsidRDefault="00670C99" w:rsidP="00134C47">
      <w:pPr>
        <w:pStyle w:val="Obsah1"/>
      </w:pPr>
    </w:p>
    <w:p w14:paraId="21F26980" w14:textId="77777777" w:rsidR="00670C99" w:rsidRPr="00AA1D3E" w:rsidRDefault="00670C99">
      <w:pPr>
        <w:rPr>
          <w:rFonts w:eastAsia="Times New Roman" w:cs="Times New Roman"/>
          <w:b/>
          <w:noProof/>
          <w:color w:val="FF0000"/>
          <w:szCs w:val="24"/>
          <w:lang w:eastAsia="cs-CZ"/>
        </w:rPr>
      </w:pPr>
      <w:r w:rsidRPr="00AA1D3E">
        <w:rPr>
          <w:color w:val="FF0000"/>
        </w:rPr>
        <w:br w:type="page"/>
      </w:r>
    </w:p>
    <w:p w14:paraId="6BC62219" w14:textId="77777777" w:rsidR="00F3318F" w:rsidRPr="00AA1D3E" w:rsidRDefault="00DB5031" w:rsidP="00134C47">
      <w:pPr>
        <w:pStyle w:val="Obsah1"/>
      </w:pPr>
      <w:r w:rsidRPr="00AA1D3E">
        <w:lastRenderedPageBreak/>
        <w:t>SEZNAM GRAFŮ</w:t>
      </w:r>
    </w:p>
    <w:p w14:paraId="2B1707AE" w14:textId="77777777" w:rsidR="00E01950" w:rsidRPr="00AA1D3E" w:rsidRDefault="00E01950" w:rsidP="00E01950">
      <w:pPr>
        <w:rPr>
          <w:color w:val="FF0000"/>
          <w:lang w:eastAsia="cs-CZ"/>
        </w:rPr>
      </w:pPr>
    </w:p>
    <w:p w14:paraId="2D8E5596" w14:textId="77777777" w:rsidR="00E01950" w:rsidRPr="00AA1D3E" w:rsidRDefault="00E01950" w:rsidP="00E01950">
      <w:pPr>
        <w:rPr>
          <w:color w:val="FF0000"/>
          <w:lang w:eastAsia="cs-CZ"/>
        </w:rPr>
      </w:pPr>
    </w:p>
    <w:p w14:paraId="1E30F3D9" w14:textId="0FDC44EC" w:rsidR="00851A8D" w:rsidRDefault="00E55CA7">
      <w:pPr>
        <w:pStyle w:val="Seznamobrzk"/>
        <w:tabs>
          <w:tab w:val="right" w:leader="dot" w:pos="9060"/>
        </w:tabs>
        <w:rPr>
          <w:rFonts w:asciiTheme="minorHAnsi" w:eastAsiaTheme="minorEastAsia" w:hAnsiTheme="minorHAnsi" w:cstheme="minorBidi"/>
          <w:noProof/>
          <w:kern w:val="2"/>
          <w14:ligatures w14:val="standardContextual"/>
        </w:rPr>
      </w:pPr>
      <w:r w:rsidRPr="00AA1D3E">
        <w:rPr>
          <w:color w:val="FF0000"/>
        </w:rPr>
        <w:fldChar w:fldCharType="begin"/>
      </w:r>
      <w:r w:rsidRPr="00AA1D3E">
        <w:rPr>
          <w:color w:val="FF0000"/>
        </w:rPr>
        <w:instrText xml:space="preserve"> TOC \h \z \c "Graf č." </w:instrText>
      </w:r>
      <w:r w:rsidRPr="00AA1D3E">
        <w:rPr>
          <w:color w:val="FF0000"/>
        </w:rPr>
        <w:fldChar w:fldCharType="separate"/>
      </w:r>
      <w:hyperlink w:anchor="_Toc179888377" w:history="1">
        <w:r w:rsidR="00851A8D" w:rsidRPr="005E2D7D">
          <w:rPr>
            <w:rStyle w:val="Hypertextovodkaz"/>
            <w:noProof/>
          </w:rPr>
          <w:t>Graf č. 1 Porovnání příjmů a výdajů v kapitole 327-MD (v tis. Kč)</w:t>
        </w:r>
        <w:r w:rsidR="00851A8D">
          <w:rPr>
            <w:noProof/>
            <w:webHidden/>
          </w:rPr>
          <w:tab/>
        </w:r>
        <w:r w:rsidR="00851A8D">
          <w:rPr>
            <w:noProof/>
            <w:webHidden/>
          </w:rPr>
          <w:fldChar w:fldCharType="begin"/>
        </w:r>
        <w:r w:rsidR="00851A8D">
          <w:rPr>
            <w:noProof/>
            <w:webHidden/>
          </w:rPr>
          <w:instrText xml:space="preserve"> PAGEREF _Toc179888377 \h </w:instrText>
        </w:r>
        <w:r w:rsidR="00851A8D">
          <w:rPr>
            <w:noProof/>
            <w:webHidden/>
          </w:rPr>
        </w:r>
        <w:r w:rsidR="00851A8D">
          <w:rPr>
            <w:noProof/>
            <w:webHidden/>
          </w:rPr>
          <w:fldChar w:fldCharType="separate"/>
        </w:r>
        <w:r w:rsidR="00851A8D">
          <w:rPr>
            <w:noProof/>
            <w:webHidden/>
          </w:rPr>
          <w:t>1</w:t>
        </w:r>
        <w:r w:rsidR="00851A8D">
          <w:rPr>
            <w:noProof/>
            <w:webHidden/>
          </w:rPr>
          <w:fldChar w:fldCharType="end"/>
        </w:r>
      </w:hyperlink>
    </w:p>
    <w:p w14:paraId="5707951C" w14:textId="1FE8F7B9" w:rsid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78" w:history="1">
        <w:r w:rsidR="00851A8D" w:rsidRPr="005E2D7D">
          <w:rPr>
            <w:rStyle w:val="Hypertextovodkaz"/>
            <w:noProof/>
          </w:rPr>
          <w:t>Graf č. 2 Porovnání transferů přijatých v kapitole 327-MD (v tis. Kč)</w:t>
        </w:r>
        <w:r w:rsidR="00851A8D">
          <w:rPr>
            <w:noProof/>
            <w:webHidden/>
          </w:rPr>
          <w:tab/>
        </w:r>
        <w:r w:rsidR="00851A8D">
          <w:rPr>
            <w:noProof/>
            <w:webHidden/>
          </w:rPr>
          <w:fldChar w:fldCharType="begin"/>
        </w:r>
        <w:r w:rsidR="00851A8D">
          <w:rPr>
            <w:noProof/>
            <w:webHidden/>
          </w:rPr>
          <w:instrText xml:space="preserve"> PAGEREF _Toc179888378 \h </w:instrText>
        </w:r>
        <w:r w:rsidR="00851A8D">
          <w:rPr>
            <w:noProof/>
            <w:webHidden/>
          </w:rPr>
        </w:r>
        <w:r w:rsidR="00851A8D">
          <w:rPr>
            <w:noProof/>
            <w:webHidden/>
          </w:rPr>
          <w:fldChar w:fldCharType="separate"/>
        </w:r>
        <w:r w:rsidR="00851A8D">
          <w:rPr>
            <w:noProof/>
            <w:webHidden/>
          </w:rPr>
          <w:t>7</w:t>
        </w:r>
        <w:r w:rsidR="00851A8D">
          <w:rPr>
            <w:noProof/>
            <w:webHidden/>
          </w:rPr>
          <w:fldChar w:fldCharType="end"/>
        </w:r>
      </w:hyperlink>
    </w:p>
    <w:p w14:paraId="58F045BC" w14:textId="62773052" w:rsid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79" w:history="1">
        <w:r w:rsidR="00851A8D" w:rsidRPr="005E2D7D">
          <w:rPr>
            <w:rStyle w:val="Hypertextovodkaz"/>
            <w:noProof/>
          </w:rPr>
          <w:t>Graf č. 3 Porovnání ostatních příjmů v kapitole 327-MD (v tis. Kč)</w:t>
        </w:r>
        <w:r w:rsidR="00851A8D">
          <w:rPr>
            <w:noProof/>
            <w:webHidden/>
          </w:rPr>
          <w:tab/>
        </w:r>
        <w:r w:rsidR="00851A8D">
          <w:rPr>
            <w:noProof/>
            <w:webHidden/>
          </w:rPr>
          <w:fldChar w:fldCharType="begin"/>
        </w:r>
        <w:r w:rsidR="00851A8D">
          <w:rPr>
            <w:noProof/>
            <w:webHidden/>
          </w:rPr>
          <w:instrText xml:space="preserve"> PAGEREF _Toc179888379 \h </w:instrText>
        </w:r>
        <w:r w:rsidR="00851A8D">
          <w:rPr>
            <w:noProof/>
            <w:webHidden/>
          </w:rPr>
        </w:r>
        <w:r w:rsidR="00851A8D">
          <w:rPr>
            <w:noProof/>
            <w:webHidden/>
          </w:rPr>
          <w:fldChar w:fldCharType="separate"/>
        </w:r>
        <w:r w:rsidR="00851A8D">
          <w:rPr>
            <w:noProof/>
            <w:webHidden/>
          </w:rPr>
          <w:t>7</w:t>
        </w:r>
        <w:r w:rsidR="00851A8D">
          <w:rPr>
            <w:noProof/>
            <w:webHidden/>
          </w:rPr>
          <w:fldChar w:fldCharType="end"/>
        </w:r>
      </w:hyperlink>
    </w:p>
    <w:p w14:paraId="14B03316" w14:textId="69904667" w:rsid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80" w:history="1">
        <w:r w:rsidR="00851A8D" w:rsidRPr="005E2D7D">
          <w:rPr>
            <w:rStyle w:val="Hypertextovodkaz"/>
            <w:noProof/>
          </w:rPr>
          <w:t>Graf č. 4 Přehled specifických ukazatelů v kapitole 327</w:t>
        </w:r>
        <w:r w:rsidR="00851A8D" w:rsidRPr="005E2D7D">
          <w:rPr>
            <w:rStyle w:val="Hypertextovodkaz"/>
            <w:noProof/>
          </w:rPr>
          <w:noBreakHyphen/>
          <w:t>MD (v tis. Kč)</w:t>
        </w:r>
        <w:r w:rsidR="00851A8D">
          <w:rPr>
            <w:noProof/>
            <w:webHidden/>
          </w:rPr>
          <w:tab/>
        </w:r>
        <w:r w:rsidR="00851A8D">
          <w:rPr>
            <w:noProof/>
            <w:webHidden/>
          </w:rPr>
          <w:fldChar w:fldCharType="begin"/>
        </w:r>
        <w:r w:rsidR="00851A8D">
          <w:rPr>
            <w:noProof/>
            <w:webHidden/>
          </w:rPr>
          <w:instrText xml:space="preserve"> PAGEREF _Toc179888380 \h </w:instrText>
        </w:r>
        <w:r w:rsidR="00851A8D">
          <w:rPr>
            <w:noProof/>
            <w:webHidden/>
          </w:rPr>
        </w:r>
        <w:r w:rsidR="00851A8D">
          <w:rPr>
            <w:noProof/>
            <w:webHidden/>
          </w:rPr>
          <w:fldChar w:fldCharType="separate"/>
        </w:r>
        <w:r w:rsidR="00851A8D">
          <w:rPr>
            <w:noProof/>
            <w:webHidden/>
          </w:rPr>
          <w:t>10</w:t>
        </w:r>
        <w:r w:rsidR="00851A8D">
          <w:rPr>
            <w:noProof/>
            <w:webHidden/>
          </w:rPr>
          <w:fldChar w:fldCharType="end"/>
        </w:r>
      </w:hyperlink>
    </w:p>
    <w:p w14:paraId="46A49B26" w14:textId="1E4B3C36" w:rsid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81" w:history="1">
        <w:r w:rsidR="00851A8D" w:rsidRPr="005E2D7D">
          <w:rPr>
            <w:rStyle w:val="Hypertextovodkaz"/>
            <w:noProof/>
          </w:rPr>
          <w:t>Graf č. 5 Členění běžných výdajů 2025</w:t>
        </w:r>
        <w:r w:rsidR="00851A8D">
          <w:rPr>
            <w:noProof/>
            <w:webHidden/>
          </w:rPr>
          <w:tab/>
        </w:r>
        <w:r w:rsidR="00851A8D">
          <w:rPr>
            <w:noProof/>
            <w:webHidden/>
          </w:rPr>
          <w:fldChar w:fldCharType="begin"/>
        </w:r>
        <w:r w:rsidR="00851A8D">
          <w:rPr>
            <w:noProof/>
            <w:webHidden/>
          </w:rPr>
          <w:instrText xml:space="preserve"> PAGEREF _Toc179888381 \h </w:instrText>
        </w:r>
        <w:r w:rsidR="00851A8D">
          <w:rPr>
            <w:noProof/>
            <w:webHidden/>
          </w:rPr>
        </w:r>
        <w:r w:rsidR="00851A8D">
          <w:rPr>
            <w:noProof/>
            <w:webHidden/>
          </w:rPr>
          <w:fldChar w:fldCharType="separate"/>
        </w:r>
        <w:r w:rsidR="00851A8D">
          <w:rPr>
            <w:noProof/>
            <w:webHidden/>
          </w:rPr>
          <w:t>14</w:t>
        </w:r>
        <w:r w:rsidR="00851A8D">
          <w:rPr>
            <w:noProof/>
            <w:webHidden/>
          </w:rPr>
          <w:fldChar w:fldCharType="end"/>
        </w:r>
      </w:hyperlink>
    </w:p>
    <w:p w14:paraId="33E0D793" w14:textId="5557CE2F" w:rsidR="00851A8D" w:rsidRP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82" w:history="1">
        <w:r w:rsidR="00851A8D" w:rsidRPr="00851A8D">
          <w:rPr>
            <w:rStyle w:val="Hypertextovodkaz"/>
            <w:noProof/>
          </w:rPr>
          <w:t>Graf č. 6 Neinvestiční transfery podnikatelským subjektům</w:t>
        </w:r>
        <w:r w:rsidR="00851A8D" w:rsidRPr="00851A8D">
          <w:rPr>
            <w:noProof/>
            <w:webHidden/>
          </w:rPr>
          <w:tab/>
        </w:r>
        <w:r w:rsidR="00851A8D" w:rsidRPr="00851A8D">
          <w:rPr>
            <w:noProof/>
            <w:webHidden/>
          </w:rPr>
          <w:fldChar w:fldCharType="begin"/>
        </w:r>
        <w:r w:rsidR="00851A8D" w:rsidRPr="00851A8D">
          <w:rPr>
            <w:noProof/>
            <w:webHidden/>
          </w:rPr>
          <w:instrText xml:space="preserve"> PAGEREF _Toc179888382 \h </w:instrText>
        </w:r>
        <w:r w:rsidR="00851A8D" w:rsidRPr="00851A8D">
          <w:rPr>
            <w:noProof/>
            <w:webHidden/>
          </w:rPr>
        </w:r>
        <w:r w:rsidR="00851A8D" w:rsidRPr="00851A8D">
          <w:rPr>
            <w:noProof/>
            <w:webHidden/>
          </w:rPr>
          <w:fldChar w:fldCharType="separate"/>
        </w:r>
        <w:r w:rsidR="00851A8D" w:rsidRPr="00851A8D">
          <w:rPr>
            <w:noProof/>
            <w:webHidden/>
          </w:rPr>
          <w:t>38</w:t>
        </w:r>
        <w:r w:rsidR="00851A8D" w:rsidRPr="00851A8D">
          <w:rPr>
            <w:noProof/>
            <w:webHidden/>
          </w:rPr>
          <w:fldChar w:fldCharType="end"/>
        </w:r>
      </w:hyperlink>
    </w:p>
    <w:p w14:paraId="53BAE2EA" w14:textId="1C8E20D5" w:rsidR="00851A8D" w:rsidRP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83" w:history="1">
        <w:r w:rsidR="00851A8D" w:rsidRPr="00851A8D">
          <w:rPr>
            <w:rStyle w:val="Hypertextovodkaz"/>
            <w:noProof/>
          </w:rPr>
          <w:t>Graf č. 7 Neinvestiční transfery veřejným rozpočtům územní úrovně (v tis. Kč)</w:t>
        </w:r>
        <w:r w:rsidR="00851A8D" w:rsidRPr="00851A8D">
          <w:rPr>
            <w:noProof/>
            <w:webHidden/>
          </w:rPr>
          <w:tab/>
        </w:r>
        <w:r w:rsidR="00851A8D" w:rsidRPr="00851A8D">
          <w:rPr>
            <w:noProof/>
            <w:webHidden/>
          </w:rPr>
          <w:fldChar w:fldCharType="begin"/>
        </w:r>
        <w:r w:rsidR="00851A8D" w:rsidRPr="00851A8D">
          <w:rPr>
            <w:noProof/>
            <w:webHidden/>
          </w:rPr>
          <w:instrText xml:space="preserve"> PAGEREF _Toc179888383 \h </w:instrText>
        </w:r>
        <w:r w:rsidR="00851A8D" w:rsidRPr="00851A8D">
          <w:rPr>
            <w:noProof/>
            <w:webHidden/>
          </w:rPr>
        </w:r>
        <w:r w:rsidR="00851A8D" w:rsidRPr="00851A8D">
          <w:rPr>
            <w:noProof/>
            <w:webHidden/>
          </w:rPr>
          <w:fldChar w:fldCharType="separate"/>
        </w:r>
        <w:r w:rsidR="00851A8D" w:rsidRPr="00851A8D">
          <w:rPr>
            <w:noProof/>
            <w:webHidden/>
          </w:rPr>
          <w:t>39</w:t>
        </w:r>
        <w:r w:rsidR="00851A8D" w:rsidRPr="00851A8D">
          <w:rPr>
            <w:noProof/>
            <w:webHidden/>
          </w:rPr>
          <w:fldChar w:fldCharType="end"/>
        </w:r>
      </w:hyperlink>
    </w:p>
    <w:p w14:paraId="43A013E8" w14:textId="029EA3C5" w:rsid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84" w:history="1">
        <w:r w:rsidR="00851A8D" w:rsidRPr="005E2D7D">
          <w:rPr>
            <w:rStyle w:val="Hypertextovodkaz"/>
            <w:noProof/>
          </w:rPr>
          <w:t>Graf č. 8 Členění kapitálových výdajů</w:t>
        </w:r>
        <w:r w:rsidR="00851A8D">
          <w:rPr>
            <w:noProof/>
            <w:webHidden/>
          </w:rPr>
          <w:tab/>
        </w:r>
        <w:r w:rsidR="00851A8D">
          <w:rPr>
            <w:noProof/>
            <w:webHidden/>
          </w:rPr>
          <w:fldChar w:fldCharType="begin"/>
        </w:r>
        <w:r w:rsidR="00851A8D">
          <w:rPr>
            <w:noProof/>
            <w:webHidden/>
          </w:rPr>
          <w:instrText xml:space="preserve"> PAGEREF _Toc179888384 \h </w:instrText>
        </w:r>
        <w:r w:rsidR="00851A8D">
          <w:rPr>
            <w:noProof/>
            <w:webHidden/>
          </w:rPr>
        </w:r>
        <w:r w:rsidR="00851A8D">
          <w:rPr>
            <w:noProof/>
            <w:webHidden/>
          </w:rPr>
          <w:fldChar w:fldCharType="separate"/>
        </w:r>
        <w:r w:rsidR="00851A8D">
          <w:rPr>
            <w:noProof/>
            <w:webHidden/>
          </w:rPr>
          <w:t>43</w:t>
        </w:r>
        <w:r w:rsidR="00851A8D">
          <w:rPr>
            <w:noProof/>
            <w:webHidden/>
          </w:rPr>
          <w:fldChar w:fldCharType="end"/>
        </w:r>
      </w:hyperlink>
    </w:p>
    <w:p w14:paraId="6F289082" w14:textId="46CF1C25" w:rsidR="00851A8D" w:rsidRDefault="00F81560">
      <w:pPr>
        <w:pStyle w:val="Seznamobrzk"/>
        <w:tabs>
          <w:tab w:val="right" w:leader="dot" w:pos="9060"/>
        </w:tabs>
        <w:rPr>
          <w:rFonts w:asciiTheme="minorHAnsi" w:eastAsiaTheme="minorEastAsia" w:hAnsiTheme="minorHAnsi" w:cstheme="minorBidi"/>
          <w:noProof/>
          <w:kern w:val="2"/>
          <w14:ligatures w14:val="standardContextual"/>
        </w:rPr>
      </w:pPr>
      <w:hyperlink w:anchor="_Toc179888385" w:history="1">
        <w:r w:rsidR="00851A8D" w:rsidRPr="005E2D7D">
          <w:rPr>
            <w:rStyle w:val="Hypertextovodkaz"/>
            <w:noProof/>
          </w:rPr>
          <w:t>Graf č. 9 Rozdělení prostředků z rozpočtu EU dle programů</w:t>
        </w:r>
        <w:r w:rsidR="00851A8D">
          <w:rPr>
            <w:noProof/>
            <w:webHidden/>
          </w:rPr>
          <w:tab/>
        </w:r>
        <w:r w:rsidR="00851A8D">
          <w:rPr>
            <w:noProof/>
            <w:webHidden/>
          </w:rPr>
          <w:fldChar w:fldCharType="begin"/>
        </w:r>
        <w:r w:rsidR="00851A8D">
          <w:rPr>
            <w:noProof/>
            <w:webHidden/>
          </w:rPr>
          <w:instrText xml:space="preserve"> PAGEREF _Toc179888385 \h </w:instrText>
        </w:r>
        <w:r w:rsidR="00851A8D">
          <w:rPr>
            <w:noProof/>
            <w:webHidden/>
          </w:rPr>
        </w:r>
        <w:r w:rsidR="00851A8D">
          <w:rPr>
            <w:noProof/>
            <w:webHidden/>
          </w:rPr>
          <w:fldChar w:fldCharType="separate"/>
        </w:r>
        <w:r w:rsidR="00851A8D">
          <w:rPr>
            <w:noProof/>
            <w:webHidden/>
          </w:rPr>
          <w:t>65</w:t>
        </w:r>
        <w:r w:rsidR="00851A8D">
          <w:rPr>
            <w:noProof/>
            <w:webHidden/>
          </w:rPr>
          <w:fldChar w:fldCharType="end"/>
        </w:r>
      </w:hyperlink>
    </w:p>
    <w:p w14:paraId="694F592C" w14:textId="023CB448" w:rsidR="00670C99" w:rsidRPr="00AA1D3E" w:rsidRDefault="00E55CA7">
      <w:pPr>
        <w:rPr>
          <w:rFonts w:cs="Times New Roman"/>
          <w:color w:val="FF0000"/>
          <w:szCs w:val="24"/>
        </w:rPr>
      </w:pPr>
      <w:r w:rsidRPr="00AA1D3E">
        <w:rPr>
          <w:rFonts w:cs="Times New Roman"/>
          <w:color w:val="FF0000"/>
          <w:szCs w:val="24"/>
        </w:rPr>
        <w:fldChar w:fldCharType="end"/>
      </w:r>
    </w:p>
    <w:p w14:paraId="1BFBDB36" w14:textId="77777777" w:rsidR="0002708E" w:rsidRPr="00AA1D3E" w:rsidRDefault="00670C99">
      <w:pPr>
        <w:rPr>
          <w:rFonts w:cs="Times New Roman"/>
          <w:color w:val="FF0000"/>
          <w:szCs w:val="24"/>
        </w:rPr>
        <w:sectPr w:rsidR="0002708E" w:rsidRPr="00AA1D3E" w:rsidSect="0002708E">
          <w:headerReference w:type="default" r:id="rId13"/>
          <w:footerReference w:type="default" r:id="rId14"/>
          <w:pgSz w:w="11906" w:h="16838" w:code="9"/>
          <w:pgMar w:top="1418" w:right="1418" w:bottom="993" w:left="1418" w:header="709" w:footer="709" w:gutter="0"/>
          <w:pgNumType w:start="1"/>
          <w:cols w:space="708"/>
          <w:titlePg/>
          <w:docGrid w:linePitch="360"/>
        </w:sectPr>
      </w:pPr>
      <w:r w:rsidRPr="00AA1D3E">
        <w:rPr>
          <w:rFonts w:cs="Times New Roman"/>
          <w:color w:val="FF0000"/>
          <w:szCs w:val="24"/>
        </w:rPr>
        <w:br w:type="page"/>
      </w:r>
    </w:p>
    <w:p w14:paraId="281556B9" w14:textId="77777777" w:rsidR="00F3318F" w:rsidRPr="006D3424" w:rsidRDefault="00F3318F" w:rsidP="00CD5258">
      <w:pPr>
        <w:pStyle w:val="Nadpis1"/>
        <w:rPr>
          <w:bCs/>
          <w:smallCaps/>
          <w:szCs w:val="28"/>
        </w:rPr>
      </w:pPr>
      <w:bookmarkStart w:id="0" w:name="_Toc462314382"/>
      <w:bookmarkStart w:id="1" w:name="_Toc179964085"/>
      <w:r w:rsidRPr="006D3424">
        <w:rPr>
          <w:bCs/>
          <w:smallCaps/>
          <w:szCs w:val="28"/>
        </w:rPr>
        <w:lastRenderedPageBreak/>
        <w:t>Úvod</w:t>
      </w:r>
      <w:bookmarkEnd w:id="0"/>
      <w:bookmarkEnd w:id="1"/>
    </w:p>
    <w:p w14:paraId="69045488" w14:textId="4822FB8C" w:rsidR="0010766D" w:rsidRPr="006D3424" w:rsidRDefault="000010DC" w:rsidP="0088307E">
      <w:pPr>
        <w:pStyle w:val="Styl1"/>
        <w:spacing w:before="160" w:after="160"/>
      </w:pPr>
      <w:r w:rsidRPr="006D3424">
        <w:t>Návrh rozpočtu kapitoly 327 Ministerstvo dopravy na rok 202</w:t>
      </w:r>
      <w:r>
        <w:t>5</w:t>
      </w:r>
      <w:r w:rsidRPr="006D3424">
        <w:t xml:space="preserve"> byl vypracován v souladu </w:t>
      </w:r>
      <w:r w:rsidRPr="006D3424">
        <w:br/>
        <w:t xml:space="preserve">s usnesením vlády České republiky č. </w:t>
      </w:r>
      <w:r>
        <w:t>645</w:t>
      </w:r>
      <w:r w:rsidRPr="006D3424">
        <w:t xml:space="preserve"> ze dne 2</w:t>
      </w:r>
      <w:r>
        <w:t>5</w:t>
      </w:r>
      <w:r w:rsidRPr="006D3424">
        <w:t>. září 202</w:t>
      </w:r>
      <w:r>
        <w:t>4</w:t>
      </w:r>
      <w:r w:rsidRPr="006D3424">
        <w:t>, k návrhu zákona o státním rozpočtu České republiky na rok 202</w:t>
      </w:r>
      <w:r>
        <w:t>5</w:t>
      </w:r>
      <w:r w:rsidRPr="006D3424">
        <w:t xml:space="preserve"> a střednědobého výhledu státního rozpočtu České republiky na léta 202</w:t>
      </w:r>
      <w:r>
        <w:t>6</w:t>
      </w:r>
      <w:r w:rsidRPr="006D3424">
        <w:t xml:space="preserve"> a 202</w:t>
      </w:r>
      <w:r>
        <w:t>7</w:t>
      </w:r>
      <w:r w:rsidR="00CF4BB2" w:rsidRPr="006D3424">
        <w:t xml:space="preserve">. </w:t>
      </w:r>
    </w:p>
    <w:p w14:paraId="5FA364A3" w14:textId="60FD92E7" w:rsidR="00CF4BB2" w:rsidRPr="00942E70" w:rsidRDefault="00CF4BB2" w:rsidP="0088307E">
      <w:pPr>
        <w:pStyle w:val="Styl1"/>
        <w:spacing w:before="160" w:after="160"/>
      </w:pPr>
      <w:r w:rsidRPr="00942E70">
        <w:t xml:space="preserve">Ministerstvo dopravy je ústředním orgánem státní správy ve věcech dopravy a odpovídá </w:t>
      </w:r>
      <w:r w:rsidRPr="00942E70">
        <w:br/>
        <w:t xml:space="preserve">za tvorbu a uskutečňování státní politiky v oblasti dopravy v rozsahu své působnosti. </w:t>
      </w:r>
    </w:p>
    <w:p w14:paraId="1A58A4F2" w14:textId="39D1E321" w:rsidR="00CF4BB2" w:rsidRPr="00942E70" w:rsidRDefault="00CF4BB2" w:rsidP="00CF4BB2">
      <w:pPr>
        <w:pStyle w:val="Styl1"/>
        <w:spacing w:before="60" w:after="60"/>
      </w:pPr>
      <w:r w:rsidRPr="00942E70">
        <w:t>Mezi hlavní výdajové priority rozpočtu kapitoly MD jsou pro rok 202</w:t>
      </w:r>
      <w:r w:rsidR="000010DC">
        <w:t>5</w:t>
      </w:r>
      <w:r w:rsidRPr="00942E70">
        <w:t xml:space="preserve"> zařazeny:</w:t>
      </w:r>
    </w:p>
    <w:p w14:paraId="55BCA8B0" w14:textId="77777777" w:rsidR="00CF4BB2" w:rsidRPr="00942E70" w:rsidRDefault="00CF4BB2" w:rsidP="004B2F70">
      <w:pPr>
        <w:pStyle w:val="Styl1"/>
        <w:numPr>
          <w:ilvl w:val="0"/>
          <w:numId w:val="17"/>
        </w:numPr>
        <w:spacing w:before="0" w:after="0"/>
        <w:ind w:left="567" w:hanging="283"/>
      </w:pPr>
      <w:r w:rsidRPr="00942E70">
        <w:t>Výdaje na financování společných programů EU a ČR;</w:t>
      </w:r>
    </w:p>
    <w:p w14:paraId="41A03A6F" w14:textId="77777777" w:rsidR="00CF4BB2" w:rsidRPr="00942E70" w:rsidRDefault="00CF4BB2" w:rsidP="004B2F70">
      <w:pPr>
        <w:pStyle w:val="Styl1"/>
        <w:numPr>
          <w:ilvl w:val="0"/>
          <w:numId w:val="17"/>
        </w:numPr>
        <w:spacing w:before="0" w:after="0"/>
        <w:ind w:left="567" w:hanging="283"/>
      </w:pPr>
      <w:r w:rsidRPr="00942E70">
        <w:t>Úhrada ztráty ze závazku veřejné služby ve veřejné drážní osobní dopravě;</w:t>
      </w:r>
    </w:p>
    <w:p w14:paraId="3AEE8DA4" w14:textId="77777777" w:rsidR="00CF4BB2" w:rsidRPr="00942E70" w:rsidRDefault="00CF4BB2" w:rsidP="004B2F70">
      <w:pPr>
        <w:pStyle w:val="Styl1"/>
        <w:numPr>
          <w:ilvl w:val="0"/>
          <w:numId w:val="17"/>
        </w:numPr>
        <w:spacing w:before="0" w:after="0"/>
        <w:ind w:left="567" w:hanging="283"/>
      </w:pPr>
      <w:r w:rsidRPr="00942E70">
        <w:t>Dotace Státnímu fondu dopravní infrastruktury;</w:t>
      </w:r>
    </w:p>
    <w:p w14:paraId="6CBC93D5" w14:textId="77777777" w:rsidR="00CF4BB2" w:rsidRPr="00942E70" w:rsidRDefault="00CF4BB2" w:rsidP="004B2F70">
      <w:pPr>
        <w:pStyle w:val="Styl1"/>
        <w:numPr>
          <w:ilvl w:val="0"/>
          <w:numId w:val="17"/>
        </w:numPr>
        <w:spacing w:before="0" w:after="0"/>
        <w:ind w:left="567" w:hanging="283"/>
      </w:pPr>
      <w:r w:rsidRPr="00942E70">
        <w:t>Příspěvky na volitelné programy ESA;</w:t>
      </w:r>
    </w:p>
    <w:p w14:paraId="1980489E" w14:textId="77777777" w:rsidR="00CF4BB2" w:rsidRPr="00942E70" w:rsidRDefault="00CF4BB2" w:rsidP="004B2F70">
      <w:pPr>
        <w:pStyle w:val="Styl1"/>
        <w:numPr>
          <w:ilvl w:val="0"/>
          <w:numId w:val="17"/>
        </w:numPr>
        <w:spacing w:before="0" w:after="0"/>
        <w:ind w:left="567" w:hanging="283"/>
      </w:pPr>
      <w:r w:rsidRPr="00942E70">
        <w:t>Kompenzace slev jízdného;</w:t>
      </w:r>
    </w:p>
    <w:p w14:paraId="696EA126" w14:textId="77777777" w:rsidR="00CF4BB2" w:rsidRPr="00942E70" w:rsidRDefault="00CF4BB2" w:rsidP="004B2F70">
      <w:pPr>
        <w:pStyle w:val="Styl1"/>
        <w:numPr>
          <w:ilvl w:val="0"/>
          <w:numId w:val="17"/>
        </w:numPr>
        <w:spacing w:before="0" w:after="0"/>
        <w:ind w:left="567" w:hanging="283"/>
      </w:pPr>
      <w:r w:rsidRPr="00942E70">
        <w:t>Výdaje na zabezpečení činností orgánů státní správy.</w:t>
      </w:r>
    </w:p>
    <w:p w14:paraId="54292125" w14:textId="49BAB816" w:rsidR="00CF4BB2" w:rsidRDefault="00CF4BB2" w:rsidP="0088307E">
      <w:pPr>
        <w:pStyle w:val="Styl1"/>
        <w:spacing w:before="160" w:after="160"/>
      </w:pPr>
      <w:r w:rsidRPr="00942E70">
        <w:t>Vztah kapitoly Ministerstvo dopravy ke státnímu rozpočtu České republiky na rok 202</w:t>
      </w:r>
      <w:r w:rsidR="000010DC">
        <w:t>5</w:t>
      </w:r>
      <w:r w:rsidRPr="00942E70">
        <w:t xml:space="preserve"> je dán souhrnnými ukazateli: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5D7349" w14:paraId="07A9727F" w14:textId="77777777" w:rsidTr="005D7349">
        <w:tc>
          <w:tcPr>
            <w:tcW w:w="4530" w:type="dxa"/>
          </w:tcPr>
          <w:p w14:paraId="7277EEE7" w14:textId="7693A0AB" w:rsidR="005D7349" w:rsidRDefault="005D7349" w:rsidP="005D7349">
            <w:pPr>
              <w:pStyle w:val="Styl1"/>
              <w:numPr>
                <w:ilvl w:val="0"/>
                <w:numId w:val="36"/>
              </w:numPr>
              <w:spacing w:before="0" w:after="0"/>
              <w:ind w:left="321"/>
              <w:jc w:val="left"/>
            </w:pPr>
            <w:r w:rsidRPr="00942E70">
              <w:rPr>
                <w:b/>
                <w:bCs/>
              </w:rPr>
              <w:t>Příjmy celkem</w:t>
            </w:r>
          </w:p>
        </w:tc>
        <w:tc>
          <w:tcPr>
            <w:tcW w:w="4530" w:type="dxa"/>
          </w:tcPr>
          <w:p w14:paraId="7E15068E" w14:textId="5964C6EF" w:rsidR="005D7349" w:rsidRDefault="000010DC" w:rsidP="005D7349">
            <w:pPr>
              <w:pStyle w:val="Styl1"/>
              <w:spacing w:before="0" w:after="0"/>
              <w:jc w:val="right"/>
            </w:pPr>
            <w:r>
              <w:rPr>
                <w:b/>
                <w:bCs/>
              </w:rPr>
              <w:t>38 678 386 351</w:t>
            </w:r>
            <w:r w:rsidR="005D7349" w:rsidRPr="00942E70">
              <w:rPr>
                <w:b/>
                <w:bCs/>
              </w:rPr>
              <w:t xml:space="preserve"> Kč</w:t>
            </w:r>
          </w:p>
        </w:tc>
      </w:tr>
      <w:tr w:rsidR="005D7349" w14:paraId="4B28F984" w14:textId="77777777" w:rsidTr="005D7349">
        <w:trPr>
          <w:trHeight w:val="311"/>
        </w:trPr>
        <w:tc>
          <w:tcPr>
            <w:tcW w:w="4530" w:type="dxa"/>
          </w:tcPr>
          <w:p w14:paraId="0A9A1DD3" w14:textId="2D851339" w:rsidR="005D7349" w:rsidRDefault="005D7349" w:rsidP="005D7349">
            <w:pPr>
              <w:pStyle w:val="Styl1"/>
              <w:numPr>
                <w:ilvl w:val="0"/>
                <w:numId w:val="36"/>
              </w:numPr>
              <w:spacing w:before="0" w:after="0"/>
              <w:ind w:left="321"/>
            </w:pPr>
            <w:r w:rsidRPr="00942E70">
              <w:rPr>
                <w:b/>
                <w:bCs/>
              </w:rPr>
              <w:t>Výdaje celkem</w:t>
            </w:r>
          </w:p>
        </w:tc>
        <w:tc>
          <w:tcPr>
            <w:tcW w:w="4530" w:type="dxa"/>
          </w:tcPr>
          <w:p w14:paraId="5576D728" w14:textId="425FBC51" w:rsidR="005D7349" w:rsidRPr="005D7349" w:rsidRDefault="005D7349" w:rsidP="005D7349">
            <w:pPr>
              <w:jc w:val="right"/>
              <w:rPr>
                <w:b/>
                <w:bCs/>
                <w:szCs w:val="24"/>
              </w:rPr>
            </w:pPr>
            <w:r w:rsidRPr="00942E70">
              <w:rPr>
                <w:b/>
                <w:bCs/>
                <w:szCs w:val="24"/>
              </w:rPr>
              <w:tab/>
            </w:r>
            <w:r w:rsidRPr="00942E70">
              <w:rPr>
                <w:b/>
                <w:bCs/>
                <w:szCs w:val="24"/>
              </w:rPr>
              <w:tab/>
            </w:r>
            <w:r w:rsidRPr="00942E70">
              <w:rPr>
                <w:b/>
                <w:bCs/>
                <w:szCs w:val="24"/>
              </w:rPr>
              <w:tab/>
            </w:r>
            <w:r w:rsidR="000010DC" w:rsidRPr="00942E70">
              <w:rPr>
                <w:b/>
                <w:bCs/>
                <w:szCs w:val="24"/>
              </w:rPr>
              <w:t>13</w:t>
            </w:r>
            <w:r w:rsidR="000010DC">
              <w:rPr>
                <w:b/>
                <w:bCs/>
                <w:szCs w:val="24"/>
              </w:rPr>
              <w:t>9</w:t>
            </w:r>
            <w:r w:rsidR="000010DC" w:rsidRPr="00942E70">
              <w:rPr>
                <w:b/>
                <w:bCs/>
                <w:szCs w:val="24"/>
              </w:rPr>
              <w:t> </w:t>
            </w:r>
            <w:r w:rsidR="000010DC">
              <w:rPr>
                <w:b/>
                <w:bCs/>
                <w:szCs w:val="24"/>
              </w:rPr>
              <w:t>486 </w:t>
            </w:r>
            <w:r w:rsidR="000010DC" w:rsidRPr="00942E70">
              <w:rPr>
                <w:b/>
                <w:bCs/>
                <w:szCs w:val="24"/>
              </w:rPr>
              <w:t>8</w:t>
            </w:r>
            <w:r w:rsidR="000010DC">
              <w:rPr>
                <w:b/>
                <w:bCs/>
                <w:szCs w:val="24"/>
              </w:rPr>
              <w:t>10 924</w:t>
            </w:r>
            <w:r w:rsidRPr="00942E70">
              <w:rPr>
                <w:b/>
                <w:bCs/>
                <w:szCs w:val="24"/>
              </w:rPr>
              <w:t xml:space="preserve"> Kč</w:t>
            </w:r>
          </w:p>
        </w:tc>
      </w:tr>
      <w:tr w:rsidR="005D7349" w14:paraId="65DAE528" w14:textId="77777777" w:rsidTr="005D7349">
        <w:tc>
          <w:tcPr>
            <w:tcW w:w="4530" w:type="dxa"/>
          </w:tcPr>
          <w:p w14:paraId="7DF90A93" w14:textId="4C3736D1" w:rsidR="005D7349" w:rsidRDefault="005D7349" w:rsidP="005D7349">
            <w:pPr>
              <w:pStyle w:val="Styl1"/>
              <w:spacing w:before="0" w:after="0"/>
              <w:ind w:left="321"/>
            </w:pPr>
            <w:r>
              <w:t>v tom:</w:t>
            </w:r>
          </w:p>
        </w:tc>
        <w:tc>
          <w:tcPr>
            <w:tcW w:w="4530" w:type="dxa"/>
          </w:tcPr>
          <w:p w14:paraId="5617B07F" w14:textId="77777777" w:rsidR="005D7349" w:rsidRDefault="005D7349" w:rsidP="005D7349">
            <w:pPr>
              <w:pStyle w:val="Styl1"/>
              <w:spacing w:before="0" w:after="0"/>
            </w:pPr>
          </w:p>
        </w:tc>
      </w:tr>
      <w:tr w:rsidR="005D7349" w:rsidRPr="00FD06EB" w14:paraId="5CDCD964" w14:textId="77777777" w:rsidTr="005D7349">
        <w:tc>
          <w:tcPr>
            <w:tcW w:w="4530" w:type="dxa"/>
          </w:tcPr>
          <w:p w14:paraId="19961463" w14:textId="72D0FE11" w:rsidR="005D7349" w:rsidRDefault="005D7349" w:rsidP="005D7349">
            <w:pPr>
              <w:pStyle w:val="Styl1"/>
              <w:spacing w:before="0" w:after="0"/>
              <w:ind w:left="888"/>
            </w:pPr>
            <w:r>
              <w:t>běžné výdaje</w:t>
            </w:r>
          </w:p>
        </w:tc>
        <w:tc>
          <w:tcPr>
            <w:tcW w:w="4530" w:type="dxa"/>
          </w:tcPr>
          <w:p w14:paraId="2D98E02D" w14:textId="1CA2B95F" w:rsidR="005D7349" w:rsidRPr="00FD06EB" w:rsidRDefault="00FD06EB" w:rsidP="005D7349">
            <w:pPr>
              <w:pStyle w:val="Styl1"/>
              <w:spacing w:before="0" w:after="0"/>
              <w:jc w:val="right"/>
            </w:pPr>
            <w:r w:rsidRPr="00FD06EB">
              <w:t>46 192 969 614</w:t>
            </w:r>
            <w:r w:rsidR="005D7349" w:rsidRPr="00FD06EB">
              <w:t xml:space="preserve"> Kč</w:t>
            </w:r>
          </w:p>
        </w:tc>
      </w:tr>
      <w:tr w:rsidR="005D7349" w14:paraId="640B7F8D" w14:textId="77777777" w:rsidTr="005D7349">
        <w:tc>
          <w:tcPr>
            <w:tcW w:w="4530" w:type="dxa"/>
          </w:tcPr>
          <w:p w14:paraId="71C20564" w14:textId="662A63D0" w:rsidR="005D7349" w:rsidRDefault="005D7349" w:rsidP="005D7349">
            <w:pPr>
              <w:pStyle w:val="Styl1"/>
              <w:spacing w:before="0" w:after="0"/>
              <w:ind w:left="888"/>
            </w:pPr>
            <w:r>
              <w:t>kapitálové výdaje</w:t>
            </w:r>
          </w:p>
        </w:tc>
        <w:tc>
          <w:tcPr>
            <w:tcW w:w="4530" w:type="dxa"/>
          </w:tcPr>
          <w:p w14:paraId="3B55C24B" w14:textId="68793097" w:rsidR="005D7349" w:rsidRDefault="00FD06EB" w:rsidP="005D7349">
            <w:pPr>
              <w:tabs>
                <w:tab w:val="left" w:pos="7200"/>
              </w:tabs>
              <w:ind w:left="567"/>
              <w:jc w:val="right"/>
            </w:pPr>
            <w:r>
              <w:rPr>
                <w:szCs w:val="24"/>
              </w:rPr>
              <w:t>93 293 841 310</w:t>
            </w:r>
            <w:r w:rsidR="005D7349" w:rsidRPr="00942E70">
              <w:rPr>
                <w:szCs w:val="24"/>
              </w:rPr>
              <w:t> Kč</w:t>
            </w:r>
          </w:p>
        </w:tc>
      </w:tr>
    </w:tbl>
    <w:p w14:paraId="6C1562DD" w14:textId="7619BC69" w:rsidR="00CF4BB2" w:rsidRPr="00942E70" w:rsidRDefault="00CF4BB2">
      <w:pPr>
        <w:pStyle w:val="Titulek"/>
      </w:pPr>
      <w:bookmarkStart w:id="2" w:name="_Toc49763345"/>
      <w:bookmarkStart w:id="3" w:name="_Toc179888377"/>
      <w:r w:rsidRPr="00D24C30">
        <w:t xml:space="preserve">Graf č. </w:t>
      </w:r>
      <w:r w:rsidR="00696CFC" w:rsidRPr="00D24C30">
        <w:fldChar w:fldCharType="begin"/>
      </w:r>
      <w:r w:rsidR="00696CFC" w:rsidRPr="00D24C30">
        <w:instrText xml:space="preserve"> SEQ Graf_č. \* ARABIC </w:instrText>
      </w:r>
      <w:r w:rsidR="00696CFC" w:rsidRPr="00D24C30">
        <w:fldChar w:fldCharType="separate"/>
      </w:r>
      <w:r w:rsidR="003B0B01" w:rsidRPr="00D24C30">
        <w:rPr>
          <w:noProof/>
        </w:rPr>
        <w:t>1</w:t>
      </w:r>
      <w:r w:rsidR="00696CFC" w:rsidRPr="00D24C30">
        <w:rPr>
          <w:noProof/>
        </w:rPr>
        <w:fldChar w:fldCharType="end"/>
      </w:r>
      <w:r w:rsidRPr="00D24C30">
        <w:t xml:space="preserve"> Porovnání příjmů a výdajů v kapitole 327-MD (v tis. Kč)</w:t>
      </w:r>
      <w:bookmarkEnd w:id="2"/>
      <w:bookmarkEnd w:id="3"/>
    </w:p>
    <w:p w14:paraId="0B7EAFCD" w14:textId="591A60BF" w:rsidR="00CF4BB2" w:rsidRPr="00AA1D3E" w:rsidRDefault="00CF4BB2" w:rsidP="00CF4BB2">
      <w:pPr>
        <w:pStyle w:val="obyctext"/>
        <w:keepNext/>
        <w:ind w:firstLine="0"/>
        <w:rPr>
          <w:noProof/>
          <w:color w:val="FF0000"/>
        </w:rPr>
      </w:pPr>
      <w:r w:rsidRPr="00AA1D3E">
        <w:rPr>
          <w:noProof/>
          <w:color w:val="FF0000"/>
        </w:rPr>
        <w:drawing>
          <wp:inline distT="0" distB="0" distL="0" distR="0" wp14:anchorId="3E91BBBC" wp14:editId="6B96117E">
            <wp:extent cx="5759450" cy="2633784"/>
            <wp:effectExtent l="0" t="0" r="12700" b="1460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55B9D5F" w14:textId="2E7E77DD" w:rsidR="00C42E5C" w:rsidRPr="00444F94" w:rsidRDefault="00C42E5C" w:rsidP="00C42E5C">
      <w:pPr>
        <w:pStyle w:val="Styl1"/>
        <w:rPr>
          <w:color w:val="FF0000"/>
        </w:rPr>
      </w:pPr>
      <w:r w:rsidRPr="00444F94">
        <w:t>Příjmy kapitoly 327 Ministerstvo dopravy v návrhu rozpočtu na rok 202</w:t>
      </w:r>
      <w:r w:rsidR="00AA3CE8" w:rsidRPr="00444F94">
        <w:t>5</w:t>
      </w:r>
      <w:r w:rsidRPr="00444F94">
        <w:t xml:space="preserve"> (</w:t>
      </w:r>
      <w:r w:rsidR="00AA3CE8" w:rsidRPr="00444F94">
        <w:t>38 678 386</w:t>
      </w:r>
      <w:r w:rsidRPr="00444F94">
        <w:t xml:space="preserve"> tis. Kč) jsou oproti schválenému rozpočtu roku</w:t>
      </w:r>
      <w:r w:rsidRPr="00444F94">
        <w:rPr>
          <w:color w:val="FF0000"/>
        </w:rPr>
        <w:t xml:space="preserve"> </w:t>
      </w:r>
      <w:r w:rsidRPr="00444F94">
        <w:t>202</w:t>
      </w:r>
      <w:r w:rsidR="00AA3CE8" w:rsidRPr="00444F94">
        <w:t>4</w:t>
      </w:r>
      <w:r w:rsidRPr="00444F94">
        <w:t xml:space="preserve"> (</w:t>
      </w:r>
      <w:r w:rsidR="00AA3CE8" w:rsidRPr="00444F94">
        <w:t>25 109 487</w:t>
      </w:r>
      <w:r w:rsidRPr="00444F94">
        <w:t xml:space="preserve"> tis. Kč) o </w:t>
      </w:r>
      <w:r w:rsidR="002070E0" w:rsidRPr="00444F94">
        <w:t>13 568 899</w:t>
      </w:r>
      <w:r w:rsidRPr="00444F94">
        <w:t xml:space="preserve"> tis. Kč </w:t>
      </w:r>
      <w:r w:rsidR="002070E0" w:rsidRPr="00444F94">
        <w:t>vyšš</w:t>
      </w:r>
      <w:r w:rsidR="00D07ACB" w:rsidRPr="00444F94">
        <w:t>í</w:t>
      </w:r>
      <w:r w:rsidRPr="00444F94">
        <w:t xml:space="preserve">, </w:t>
      </w:r>
      <w:r w:rsidRPr="00444F94">
        <w:br/>
        <w:t xml:space="preserve">tj. o </w:t>
      </w:r>
      <w:r w:rsidR="00444F94" w:rsidRPr="00444F94">
        <w:t>54,04</w:t>
      </w:r>
      <w:r w:rsidRPr="00444F94">
        <w:t xml:space="preserve"> %. Důvodem jsou především </w:t>
      </w:r>
      <w:r w:rsidR="00444F94" w:rsidRPr="00444F94">
        <w:t>vyšš</w:t>
      </w:r>
      <w:r w:rsidR="00DD562B" w:rsidRPr="00444F94">
        <w:t>í</w:t>
      </w:r>
      <w:r w:rsidRPr="00444F94">
        <w:t xml:space="preserve"> rozpočtované příjmy z EU.</w:t>
      </w:r>
    </w:p>
    <w:p w14:paraId="23FE3E45" w14:textId="073F7208" w:rsidR="00FD2C1F" w:rsidRPr="00AF32FF" w:rsidRDefault="00FD2C1F" w:rsidP="00FD2C1F">
      <w:pPr>
        <w:pStyle w:val="Styl1"/>
        <w:rPr>
          <w:color w:val="FF0000"/>
        </w:rPr>
      </w:pPr>
      <w:r w:rsidRPr="00AF32FF">
        <w:lastRenderedPageBreak/>
        <w:t>Výdaje kapitoly 327-MD v návrhu rozpočtu na rok 202</w:t>
      </w:r>
      <w:r w:rsidR="00934142" w:rsidRPr="00AF32FF">
        <w:t>5</w:t>
      </w:r>
      <w:r w:rsidRPr="00AF32FF">
        <w:t xml:space="preserve"> (</w:t>
      </w:r>
      <w:r w:rsidR="00735716" w:rsidRPr="00AF32FF">
        <w:t>139 486 811</w:t>
      </w:r>
      <w:r w:rsidRPr="00AF32FF">
        <w:t xml:space="preserve"> tis. Kč) jsou v porovnání se schváleným rozpočtem na rok 202</w:t>
      </w:r>
      <w:r w:rsidR="00934142" w:rsidRPr="00AF32FF">
        <w:t>4</w:t>
      </w:r>
      <w:r w:rsidRPr="00AF32FF">
        <w:t xml:space="preserve"> (</w:t>
      </w:r>
      <w:r w:rsidR="00735716" w:rsidRPr="00AF32FF">
        <w:t>103 673 186</w:t>
      </w:r>
      <w:r w:rsidRPr="00AF32FF">
        <w:t xml:space="preserve"> tis. Kč) o </w:t>
      </w:r>
      <w:r w:rsidR="00934142" w:rsidRPr="00AF32FF">
        <w:t>35 813 625</w:t>
      </w:r>
      <w:r w:rsidRPr="00AF32FF">
        <w:t xml:space="preserve"> tis. Kč </w:t>
      </w:r>
      <w:r w:rsidR="00F57346" w:rsidRPr="00AF32FF">
        <w:t>vyš</w:t>
      </w:r>
      <w:r w:rsidRPr="00AF32FF">
        <w:t xml:space="preserve">ší, </w:t>
      </w:r>
      <w:r w:rsidRPr="00AF32FF">
        <w:br/>
        <w:t xml:space="preserve">tj. o </w:t>
      </w:r>
      <w:r w:rsidR="00F57346" w:rsidRPr="00AF32FF">
        <w:t>34,54</w:t>
      </w:r>
      <w:r w:rsidRPr="00AF32FF">
        <w:t xml:space="preserve"> %. Důvodem je především </w:t>
      </w:r>
      <w:r w:rsidR="00AF32FF" w:rsidRPr="00AF32FF">
        <w:t xml:space="preserve">výrazné </w:t>
      </w:r>
      <w:r w:rsidR="00F57346" w:rsidRPr="00AF32FF">
        <w:t>navýšení</w:t>
      </w:r>
      <w:r w:rsidRPr="00AF32FF">
        <w:t xml:space="preserve"> dotace pro Státní fond dopravní infrastruktury celkem o </w:t>
      </w:r>
      <w:r w:rsidR="002171AE" w:rsidRPr="00AF32FF">
        <w:t>37 693 010</w:t>
      </w:r>
      <w:r w:rsidR="00E03442" w:rsidRPr="00AF32FF">
        <w:t xml:space="preserve"> </w:t>
      </w:r>
      <w:r w:rsidRPr="00AF32FF">
        <w:t>tis. Kč</w:t>
      </w:r>
      <w:r w:rsidR="001539D1" w:rsidRPr="00AF32FF">
        <w:t>.</w:t>
      </w:r>
    </w:p>
    <w:p w14:paraId="64D1B8A3" w14:textId="78FD8E13" w:rsidR="00DF076D" w:rsidRPr="0023351F" w:rsidRDefault="00FD2C1F" w:rsidP="00DF076D">
      <w:pPr>
        <w:pStyle w:val="Styl1"/>
        <w:rPr>
          <w:color w:val="FF0000"/>
          <w:shd w:val="clear" w:color="auto" w:fill="FFFFFF"/>
        </w:rPr>
      </w:pPr>
      <w:r w:rsidRPr="001D6881">
        <w:t xml:space="preserve">Z celkového objemu výdajů kapitoly Ministerstva dopravy jsou do rozpočtové sféry (organizační složky státu) určeny prostředky v objemu </w:t>
      </w:r>
      <w:r w:rsidR="00DA0DAC" w:rsidRPr="001D6881">
        <w:t>7</w:t>
      </w:r>
      <w:r w:rsidR="001D6881" w:rsidRPr="001D6881">
        <w:t> 662 174</w:t>
      </w:r>
      <w:r w:rsidRPr="001D6881">
        <w:t xml:space="preserve"> tis. Kč, tj. </w:t>
      </w:r>
      <w:r w:rsidR="001D6881" w:rsidRPr="001D6881">
        <w:t>5,49</w:t>
      </w:r>
      <w:r w:rsidR="00764D93" w:rsidRPr="001D6881">
        <w:t xml:space="preserve"> </w:t>
      </w:r>
      <w:r w:rsidRPr="001D6881">
        <w:t xml:space="preserve">% celkových </w:t>
      </w:r>
      <w:r w:rsidRPr="002C3285">
        <w:t xml:space="preserve">výdajů, v tom běžné výdaje </w:t>
      </w:r>
      <w:r w:rsidR="00764D93" w:rsidRPr="002C3285">
        <w:t>7</w:t>
      </w:r>
      <w:r w:rsidR="00612482" w:rsidRPr="002C3285">
        <w:t> 529 860</w:t>
      </w:r>
      <w:r w:rsidRPr="002C3285">
        <w:t xml:space="preserve"> tis. Kč, kapitálové výdaje</w:t>
      </w:r>
      <w:r w:rsidRPr="0023351F">
        <w:t xml:space="preserve"> </w:t>
      </w:r>
      <w:r w:rsidR="00612482" w:rsidRPr="0023351F">
        <w:t>132 314</w:t>
      </w:r>
      <w:r w:rsidRPr="0023351F">
        <w:t xml:space="preserve"> tis. Kč.</w:t>
      </w:r>
    </w:p>
    <w:p w14:paraId="3762683C" w14:textId="33B3E6E8" w:rsidR="00DF076D" w:rsidRPr="00433E1C" w:rsidRDefault="00FD2C1F" w:rsidP="00DF076D">
      <w:pPr>
        <w:pStyle w:val="Styl1"/>
        <w:rPr>
          <w:color w:val="FF0000"/>
        </w:rPr>
      </w:pPr>
      <w:r w:rsidRPr="00433E1C">
        <w:t xml:space="preserve">Do příspěvkové sféry, zahrnující zřízenou státní příspěvkovou organizaci Centrum služeb pro silniční dopravu a dále veřejnou výzkumnou instituci Centrum dopravního výzkumu, jsou rozpočtovány prostředky v objemu </w:t>
      </w:r>
      <w:r w:rsidR="00433E1C" w:rsidRPr="00433E1C">
        <w:t>217 825</w:t>
      </w:r>
      <w:r w:rsidRPr="00433E1C">
        <w:t xml:space="preserve"> tis. Kč, tj. 0,</w:t>
      </w:r>
      <w:r w:rsidR="00433E1C" w:rsidRPr="00433E1C">
        <w:t>16</w:t>
      </w:r>
      <w:r w:rsidRPr="00433E1C">
        <w:t xml:space="preserve"> % celkových výdajů, v tom běžné výdaje </w:t>
      </w:r>
      <w:r w:rsidR="00433E1C" w:rsidRPr="00433E1C">
        <w:t>197 620</w:t>
      </w:r>
      <w:r w:rsidRPr="00433E1C">
        <w:t xml:space="preserve"> tis. Kč, kapitálové výdaje </w:t>
      </w:r>
      <w:r w:rsidR="00433E1C" w:rsidRPr="00433E1C">
        <w:t>20 205</w:t>
      </w:r>
      <w:r w:rsidRPr="00433E1C">
        <w:t xml:space="preserve"> tis. Kč.</w:t>
      </w:r>
    </w:p>
    <w:p w14:paraId="02769787" w14:textId="64AF6E0B" w:rsidR="00FD2C1F" w:rsidRPr="00447DB0" w:rsidRDefault="00FD2C1F" w:rsidP="00FD2C1F">
      <w:pPr>
        <w:pStyle w:val="Styl1"/>
      </w:pPr>
      <w:r w:rsidRPr="00447DB0">
        <w:t xml:space="preserve">Na transfery do podnikatelské sféry jsou určeny prostředky ve výši </w:t>
      </w:r>
      <w:r w:rsidR="006B4F16" w:rsidRPr="00447DB0">
        <w:t>6 665 688</w:t>
      </w:r>
      <w:r w:rsidRPr="00447DB0">
        <w:t xml:space="preserve"> tis. Kč, </w:t>
      </w:r>
      <w:r w:rsidRPr="00447DB0">
        <w:br/>
        <w:t xml:space="preserve">tj. </w:t>
      </w:r>
      <w:r w:rsidR="00447DB0" w:rsidRPr="00447DB0">
        <w:t>4,78</w:t>
      </w:r>
      <w:r w:rsidRPr="00447DB0">
        <w:t xml:space="preserve"> % celkových výdajů kapitoly, v tom běžné výdaje </w:t>
      </w:r>
      <w:r w:rsidR="00447DB0" w:rsidRPr="00447DB0">
        <w:rPr>
          <w:rFonts w:eastAsiaTheme="minorHAnsi" w:cstheme="minorBidi"/>
          <w:szCs w:val="22"/>
          <w:lang w:eastAsia="en-US"/>
        </w:rPr>
        <w:t>6 665 688</w:t>
      </w:r>
      <w:r w:rsidRPr="00447DB0">
        <w:rPr>
          <w:rFonts w:eastAsiaTheme="minorHAnsi" w:cstheme="minorBidi"/>
          <w:szCs w:val="22"/>
          <w:lang w:eastAsia="en-US"/>
        </w:rPr>
        <w:t xml:space="preserve"> </w:t>
      </w:r>
      <w:r w:rsidRPr="00447DB0">
        <w:t>tis. Kč, kapitálové výdaje</w:t>
      </w:r>
      <w:r w:rsidR="002F436C" w:rsidRPr="00447DB0">
        <w:t xml:space="preserve"> </w:t>
      </w:r>
      <w:r w:rsidR="00447DB0" w:rsidRPr="00447DB0">
        <w:t>0</w:t>
      </w:r>
      <w:r w:rsidRPr="00447DB0">
        <w:rPr>
          <w:rFonts w:eastAsiaTheme="minorHAnsi" w:cstheme="minorBidi"/>
          <w:lang w:eastAsia="en-US"/>
        </w:rPr>
        <w:t xml:space="preserve"> tis. Kč.</w:t>
      </w:r>
      <w:r w:rsidRPr="00447DB0">
        <w:rPr>
          <w:rFonts w:eastAsiaTheme="minorHAnsi" w:cstheme="minorBidi"/>
          <w:color w:val="FF0000"/>
          <w:lang w:eastAsia="en-US"/>
        </w:rPr>
        <w:t xml:space="preserve"> </w:t>
      </w:r>
      <w:r w:rsidRPr="00447DB0">
        <w:rPr>
          <w:rFonts w:eastAsiaTheme="minorHAnsi" w:cstheme="minorBidi"/>
          <w:lang w:eastAsia="en-US"/>
        </w:rPr>
        <w:t xml:space="preserve">Tyto </w:t>
      </w:r>
      <w:r w:rsidRPr="00447DB0">
        <w:t>výdaje jsou oproti roku 202</w:t>
      </w:r>
      <w:r w:rsidR="00447DB0" w:rsidRPr="00447DB0">
        <w:t>4</w:t>
      </w:r>
      <w:r w:rsidRPr="00447DB0">
        <w:t xml:space="preserve"> </w:t>
      </w:r>
      <w:r w:rsidR="00447DB0" w:rsidRPr="00447DB0">
        <w:t>sníž</w:t>
      </w:r>
      <w:r w:rsidRPr="00447DB0">
        <w:t xml:space="preserve">eny o </w:t>
      </w:r>
      <w:r w:rsidR="00447DB0" w:rsidRPr="00447DB0">
        <w:t>2 413 040</w:t>
      </w:r>
      <w:r w:rsidRPr="00447DB0">
        <w:t xml:space="preserve"> tis. Kč především z důvodu</w:t>
      </w:r>
      <w:r w:rsidRPr="00447DB0">
        <w:rPr>
          <w:color w:val="FF0000"/>
        </w:rPr>
        <w:t xml:space="preserve"> </w:t>
      </w:r>
      <w:r w:rsidR="00447DB0" w:rsidRPr="00447DB0">
        <w:t>nižší potřeby na</w:t>
      </w:r>
      <w:r w:rsidR="00704AFA" w:rsidRPr="00447DB0">
        <w:t xml:space="preserve"> </w:t>
      </w:r>
      <w:r w:rsidR="002A7CC1" w:rsidRPr="00447DB0">
        <w:t>úhrad</w:t>
      </w:r>
      <w:r w:rsidR="00447DB0" w:rsidRPr="00447DB0">
        <w:t>u</w:t>
      </w:r>
      <w:r w:rsidR="002A7CC1" w:rsidRPr="00447DB0">
        <w:t xml:space="preserve"> ztrát ze závazků veřejné služby ve veřejné drážní osobní dopravě</w:t>
      </w:r>
      <w:r w:rsidR="00447DB0" w:rsidRPr="00447DB0">
        <w:t xml:space="preserve"> a na interoperabilitu OPD 2021+</w:t>
      </w:r>
      <w:r w:rsidR="002A7CC1" w:rsidRPr="00447DB0">
        <w:t xml:space="preserve">. </w:t>
      </w:r>
      <w:r w:rsidR="00447DB0" w:rsidRPr="00447DB0">
        <w:t>Oba tyto tituly budou v roce 2025 finančně dokryty z nároků z nespotřebovaných výdajů minulých let.</w:t>
      </w:r>
    </w:p>
    <w:p w14:paraId="1A9FCE64" w14:textId="61C03304" w:rsidR="00FD2C1F" w:rsidRPr="00433E1C" w:rsidRDefault="00FD2C1F" w:rsidP="00FD2C1F">
      <w:pPr>
        <w:pStyle w:val="Styl1"/>
        <w:rPr>
          <w:color w:val="FF0000"/>
        </w:rPr>
      </w:pPr>
      <w:r w:rsidRPr="00433E1C">
        <w:t xml:space="preserve">Transfer Státnímu fondu dopravní infrastruktury v objemu </w:t>
      </w:r>
      <w:r w:rsidR="00433E1C" w:rsidRPr="00433E1C">
        <w:t>119 202 234</w:t>
      </w:r>
      <w:r w:rsidRPr="00433E1C">
        <w:t xml:space="preserve"> tis. Kč tvoří </w:t>
      </w:r>
      <w:r w:rsidRPr="00433E1C">
        <w:rPr>
          <w:color w:val="FF0000"/>
        </w:rPr>
        <w:br/>
      </w:r>
      <w:r w:rsidR="00433E1C" w:rsidRPr="00433E1C">
        <w:t>85,46</w:t>
      </w:r>
      <w:r w:rsidRPr="00433E1C">
        <w:t xml:space="preserve"> % celkových výdajů kapitoly, v tom výdaje na společné programy (projekty) EU </w:t>
      </w:r>
      <w:r w:rsidRPr="00433E1C">
        <w:br/>
        <w:t xml:space="preserve">a ČR </w:t>
      </w:r>
      <w:r w:rsidR="00433E1C" w:rsidRPr="00433E1C">
        <w:t>37 397 288</w:t>
      </w:r>
      <w:r w:rsidRPr="00433E1C">
        <w:t xml:space="preserve"> tis. Kč a ostatní výdaje, tj. dotace na vyrovnání deficitu rozpočtu, </w:t>
      </w:r>
      <w:r w:rsidRPr="00433E1C">
        <w:br/>
      </w:r>
      <w:r w:rsidR="00433E1C" w:rsidRPr="00433E1C">
        <w:t>81 804 946</w:t>
      </w:r>
      <w:r w:rsidRPr="00433E1C">
        <w:t xml:space="preserve"> tis. Kč. Z celkové výše prostředků pro SFDI činí neinvestiční transfer </w:t>
      </w:r>
      <w:r w:rsidRPr="00433E1C">
        <w:rPr>
          <w:color w:val="FF0000"/>
        </w:rPr>
        <w:br/>
      </w:r>
      <w:r w:rsidR="00433E1C" w:rsidRPr="00433E1C">
        <w:t>26 060 912</w:t>
      </w:r>
      <w:r w:rsidRPr="00433E1C">
        <w:t xml:space="preserve"> tis. Kč a investiční transfer činí </w:t>
      </w:r>
      <w:r w:rsidR="00433E1C" w:rsidRPr="00433E1C">
        <w:t>93 141 322</w:t>
      </w:r>
      <w:r w:rsidRPr="00433E1C">
        <w:t xml:space="preserve"> tis. Kč.</w:t>
      </w:r>
    </w:p>
    <w:p w14:paraId="7FBD9C95" w14:textId="78FF1B48" w:rsidR="00FD2C1F" w:rsidRPr="00433E1C" w:rsidRDefault="00FD2C1F" w:rsidP="00FD2C1F">
      <w:pPr>
        <w:pStyle w:val="Styl1"/>
      </w:pPr>
      <w:r w:rsidRPr="00433E1C">
        <w:t>Transfery obcím a krajům jsou rozpočtovány ve výši 4</w:t>
      </w:r>
      <w:r w:rsidR="00433E1C" w:rsidRPr="00433E1C">
        <w:t> 507 084</w:t>
      </w:r>
      <w:r w:rsidRPr="00433E1C">
        <w:t xml:space="preserve"> tis. Kč, tj. </w:t>
      </w:r>
      <w:r w:rsidR="009D3389" w:rsidRPr="00433E1C">
        <w:t>3,</w:t>
      </w:r>
      <w:r w:rsidR="00433E1C" w:rsidRPr="00433E1C">
        <w:t>23</w:t>
      </w:r>
      <w:r w:rsidRPr="00433E1C">
        <w:t xml:space="preserve"> % z celkových výdajů kapitoly. Tyto neinvestiční transfery jsou určeny k doplnění chybějících finančních zdrojů krajů a hl. m. Prahy na úhradu ztráty ze závazku veřejné služby ve veřejné drážní osobní dopravě.</w:t>
      </w:r>
    </w:p>
    <w:p w14:paraId="0F246CD2" w14:textId="4699E785" w:rsidR="006B4F16" w:rsidRPr="001D6881" w:rsidRDefault="00FD2C1F" w:rsidP="00271095">
      <w:pPr>
        <w:pStyle w:val="Styl1"/>
        <w:rPr>
          <w:iCs w:val="0"/>
        </w:rPr>
      </w:pPr>
      <w:r w:rsidRPr="001D6881">
        <w:t xml:space="preserve">Výdaje ve výši 1 221 </w:t>
      </w:r>
      <w:r w:rsidR="001D6881" w:rsidRPr="001D6881">
        <w:t>46</w:t>
      </w:r>
      <w:r w:rsidRPr="001D6881">
        <w:t xml:space="preserve">6 tis. Kč, tj. </w:t>
      </w:r>
      <w:r w:rsidR="001D6881" w:rsidRPr="001D6881">
        <w:t>0,88</w:t>
      </w:r>
      <w:r w:rsidRPr="001D6881">
        <w:t xml:space="preserve"> % z celkových výdajů, jsou určeny na neinvestiční transfery do zahraničí. </w:t>
      </w:r>
      <w:r w:rsidRPr="001D6881">
        <w:rPr>
          <w:iCs w:val="0"/>
        </w:rPr>
        <w:t>Výdaje na volitelné programy ESA zůstávají oproti roku 202</w:t>
      </w:r>
      <w:r w:rsidR="006B4F16" w:rsidRPr="001D6881">
        <w:rPr>
          <w:iCs w:val="0"/>
        </w:rPr>
        <w:t>4</w:t>
      </w:r>
      <w:r w:rsidRPr="001D6881">
        <w:rPr>
          <w:iCs w:val="0"/>
        </w:rPr>
        <w:t xml:space="preserve"> ve stejné výši tj. 1 205 000 tis. Kč. </w:t>
      </w:r>
    </w:p>
    <w:p w14:paraId="6DFE208E" w14:textId="37542599" w:rsidR="00271095" w:rsidRDefault="00FD2C1F" w:rsidP="00271095">
      <w:pPr>
        <w:pStyle w:val="Styl1"/>
      </w:pPr>
      <w:r w:rsidRPr="006B4F16">
        <w:t xml:space="preserve">Zbývající část výdajů ve výši </w:t>
      </w:r>
      <w:r w:rsidR="006B4F16" w:rsidRPr="006B4F16">
        <w:t>10 340</w:t>
      </w:r>
      <w:r w:rsidRPr="006B4F16">
        <w:t xml:space="preserve"> tis. Kč, tj. 0,01 % z celkových výdajů, je určena na neinvestiční transfery spolkům.</w:t>
      </w:r>
    </w:p>
    <w:p w14:paraId="6EE485B2" w14:textId="77777777" w:rsidR="00EE68E6" w:rsidRPr="00CF417D" w:rsidRDefault="00EE68E6" w:rsidP="00271095">
      <w:pPr>
        <w:pStyle w:val="Styl1"/>
      </w:pPr>
    </w:p>
    <w:p w14:paraId="2923B547" w14:textId="61433A9C" w:rsidR="00CF4BB2" w:rsidRPr="00CF417D" w:rsidRDefault="00CF4BB2" w:rsidP="00CF4BB2">
      <w:pPr>
        <w:pStyle w:val="Nadpis1"/>
        <w:pageBreakBefore/>
      </w:pPr>
      <w:bookmarkStart w:id="4" w:name="_Toc115786832"/>
      <w:bookmarkStart w:id="5" w:name="_Toc115787422"/>
      <w:bookmarkStart w:id="6" w:name="_Toc462314383"/>
      <w:bookmarkStart w:id="7" w:name="_Toc49761893"/>
      <w:bookmarkStart w:id="8" w:name="_Toc179964086"/>
      <w:bookmarkEnd w:id="4"/>
      <w:bookmarkEnd w:id="5"/>
      <w:r w:rsidRPr="00CF417D">
        <w:lastRenderedPageBreak/>
        <w:t>ROZPOČET PŘÍJMŮ NA ROK 20</w:t>
      </w:r>
      <w:bookmarkEnd w:id="6"/>
      <w:r w:rsidRPr="00CF417D">
        <w:t>2</w:t>
      </w:r>
      <w:bookmarkEnd w:id="7"/>
      <w:r w:rsidR="002C629D">
        <w:t>5</w:t>
      </w:r>
      <w:bookmarkEnd w:id="8"/>
    </w:p>
    <w:p w14:paraId="59EE235B" w14:textId="38231B10" w:rsidR="00CF4BB2" w:rsidRPr="002C629D" w:rsidRDefault="00CF4BB2" w:rsidP="006B75C3">
      <w:pPr>
        <w:pStyle w:val="Styl1"/>
        <w:spacing w:after="120"/>
      </w:pPr>
      <w:r w:rsidRPr="002C629D">
        <w:t xml:space="preserve">Souhrnný ukazatel rozpočtu kapitoly MD </w:t>
      </w:r>
      <w:r w:rsidRPr="002C629D">
        <w:rPr>
          <w:b/>
        </w:rPr>
        <w:t>„Příjmy celkem“</w:t>
      </w:r>
      <w:r w:rsidRPr="002C629D">
        <w:t xml:space="preserve"> je </w:t>
      </w:r>
      <w:r w:rsidRPr="002C629D">
        <w:rPr>
          <w:bCs/>
        </w:rPr>
        <w:t>navržený ve výši</w:t>
      </w:r>
      <w:r w:rsidR="00A71477" w:rsidRPr="002C629D">
        <w:rPr>
          <w:b/>
          <w:bCs/>
        </w:rPr>
        <w:t xml:space="preserve"> </w:t>
      </w:r>
      <w:r w:rsidR="00A71477" w:rsidRPr="002C629D">
        <w:rPr>
          <w:b/>
          <w:bCs/>
        </w:rPr>
        <w:br/>
      </w:r>
      <w:r w:rsidR="002C629D" w:rsidRPr="002C629D">
        <w:rPr>
          <w:b/>
          <w:bCs/>
        </w:rPr>
        <w:t>38 678 386</w:t>
      </w:r>
      <w:r w:rsidRPr="002C629D">
        <w:rPr>
          <w:b/>
          <w:bCs/>
        </w:rPr>
        <w:t xml:space="preserve"> tis. Kč</w:t>
      </w:r>
      <w:r w:rsidRPr="002C629D">
        <w:t>.</w:t>
      </w:r>
    </w:p>
    <w:p w14:paraId="1FCF4D9A" w14:textId="0479C587" w:rsidR="00423CD3" w:rsidRPr="002C629D" w:rsidRDefault="00423CD3" w:rsidP="002C629D">
      <w:pPr>
        <w:pStyle w:val="Titulek"/>
        <w:spacing w:before="0"/>
        <w:ind w:firstLine="708"/>
      </w:pPr>
      <w:r w:rsidRPr="002C629D">
        <w:t xml:space="preserve">Tabulka č. </w:t>
      </w:r>
      <w:r w:rsidR="00696CFC" w:rsidRPr="002C629D">
        <w:fldChar w:fldCharType="begin"/>
      </w:r>
      <w:r w:rsidR="00696CFC" w:rsidRPr="002C629D">
        <w:instrText xml:space="preserve"> SEQ Tabulka \* ARABIC </w:instrText>
      </w:r>
      <w:r w:rsidR="00696CFC" w:rsidRPr="002C629D">
        <w:fldChar w:fldCharType="separate"/>
      </w:r>
      <w:r w:rsidR="003B0B01" w:rsidRPr="002C629D">
        <w:rPr>
          <w:noProof/>
        </w:rPr>
        <w:t>1</w:t>
      </w:r>
      <w:r w:rsidR="00696CFC" w:rsidRPr="002C629D">
        <w:rPr>
          <w:noProof/>
        </w:rPr>
        <w:fldChar w:fldCharType="end"/>
      </w:r>
      <w:r w:rsidRPr="002C629D">
        <w:t xml:space="preserve"> Přehled celkových příjmů v rámci kapitoly 327 MD (v tis. Kč)</w:t>
      </w:r>
    </w:p>
    <w:tbl>
      <w:tblPr>
        <w:tblStyle w:val="Svtltabulkasmkou1"/>
        <w:tblW w:w="94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356"/>
        <w:gridCol w:w="1356"/>
        <w:gridCol w:w="1356"/>
        <w:gridCol w:w="1355"/>
        <w:gridCol w:w="1355"/>
        <w:gridCol w:w="1355"/>
        <w:gridCol w:w="1355"/>
      </w:tblGrid>
      <w:tr w:rsidR="00580A27" w:rsidRPr="002C629D" w14:paraId="4C925CBA" w14:textId="77777777" w:rsidTr="002C629D">
        <w:tc>
          <w:tcPr>
            <w:tcW w:w="1356" w:type="dxa"/>
            <w:vMerge w:val="restart"/>
            <w:tcBorders>
              <w:top w:val="single" w:sz="8" w:space="0" w:color="7F7F7F" w:themeColor="text1" w:themeTint="80"/>
            </w:tcBorders>
            <w:shd w:val="thinReverseDiagStripe" w:color="D9D9D9" w:themeColor="background1" w:themeShade="D9" w:fill="FFFFFF" w:themeFill="background1"/>
            <w:vAlign w:val="center"/>
          </w:tcPr>
          <w:p w14:paraId="6EE0C3DD" w14:textId="77777777" w:rsidR="00A71477" w:rsidRPr="002C629D" w:rsidRDefault="00A71477" w:rsidP="00905890">
            <w:pPr>
              <w:pStyle w:val="Zkladntext"/>
              <w:jc w:val="center"/>
              <w:rPr>
                <w:b/>
                <w:sz w:val="22"/>
                <w:szCs w:val="22"/>
              </w:rPr>
            </w:pPr>
            <w:r w:rsidRPr="002C629D">
              <w:rPr>
                <w:b/>
                <w:sz w:val="22"/>
                <w:szCs w:val="22"/>
              </w:rPr>
              <w:t>Příjmy celkem</w:t>
            </w:r>
          </w:p>
        </w:tc>
        <w:tc>
          <w:tcPr>
            <w:tcW w:w="135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3FC6FAF5" w14:textId="3BBA1145" w:rsidR="00A71477" w:rsidRPr="002C629D" w:rsidRDefault="00A71477">
            <w:pPr>
              <w:jc w:val="center"/>
              <w:rPr>
                <w:rFonts w:cs="Times New Roman"/>
                <w:b/>
                <w:sz w:val="22"/>
              </w:rPr>
            </w:pPr>
            <w:r w:rsidRPr="002C629D">
              <w:rPr>
                <w:rFonts w:cs="Times New Roman"/>
                <w:b/>
                <w:sz w:val="22"/>
              </w:rPr>
              <w:t>Skutečnost 20</w:t>
            </w:r>
            <w:r w:rsidR="002C629D" w:rsidRPr="002C629D">
              <w:rPr>
                <w:rFonts w:cs="Times New Roman"/>
                <w:b/>
                <w:sz w:val="22"/>
              </w:rPr>
              <w:t>20</w:t>
            </w:r>
          </w:p>
        </w:tc>
        <w:tc>
          <w:tcPr>
            <w:tcW w:w="135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F9664A4" w14:textId="537AC051" w:rsidR="00A71477" w:rsidRPr="002C629D" w:rsidRDefault="00A71477">
            <w:pPr>
              <w:jc w:val="center"/>
              <w:rPr>
                <w:rFonts w:cs="Times New Roman"/>
                <w:b/>
                <w:sz w:val="22"/>
              </w:rPr>
            </w:pPr>
            <w:r w:rsidRPr="002C629D">
              <w:rPr>
                <w:rFonts w:cs="Times New Roman"/>
                <w:b/>
                <w:sz w:val="22"/>
              </w:rPr>
              <w:t>Skutečnost 20</w:t>
            </w:r>
            <w:r w:rsidR="00A1092D" w:rsidRPr="002C629D">
              <w:rPr>
                <w:rFonts w:cs="Times New Roman"/>
                <w:b/>
                <w:sz w:val="22"/>
              </w:rPr>
              <w:t>2</w:t>
            </w:r>
            <w:r w:rsidR="002C629D" w:rsidRPr="002C629D">
              <w:rPr>
                <w:rFonts w:cs="Times New Roman"/>
                <w:b/>
                <w:sz w:val="22"/>
              </w:rPr>
              <w:t>1</w:t>
            </w:r>
          </w:p>
        </w:tc>
        <w:tc>
          <w:tcPr>
            <w:tcW w:w="135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79FC709" w14:textId="17E47CD2" w:rsidR="00A71477" w:rsidRPr="002C629D" w:rsidRDefault="00A71477">
            <w:pPr>
              <w:jc w:val="center"/>
              <w:rPr>
                <w:rFonts w:cs="Times New Roman"/>
                <w:b/>
                <w:sz w:val="22"/>
              </w:rPr>
            </w:pPr>
            <w:r w:rsidRPr="002C629D">
              <w:rPr>
                <w:rFonts w:cs="Times New Roman"/>
                <w:b/>
                <w:sz w:val="22"/>
              </w:rPr>
              <w:t>Skutečnost 20</w:t>
            </w:r>
            <w:r w:rsidR="00413CE9" w:rsidRPr="002C629D">
              <w:rPr>
                <w:rFonts w:cs="Times New Roman"/>
                <w:b/>
                <w:sz w:val="22"/>
              </w:rPr>
              <w:t>2</w:t>
            </w:r>
            <w:r w:rsidR="002C629D" w:rsidRPr="002C629D">
              <w:rPr>
                <w:rFonts w:cs="Times New Roman"/>
                <w:b/>
                <w:sz w:val="22"/>
              </w:rPr>
              <w:t>2</w:t>
            </w:r>
          </w:p>
        </w:tc>
        <w:tc>
          <w:tcPr>
            <w:tcW w:w="135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27A38DD8" w14:textId="005AD6EE" w:rsidR="00A71477" w:rsidRPr="002C629D" w:rsidRDefault="00A71477">
            <w:pPr>
              <w:jc w:val="center"/>
              <w:rPr>
                <w:rFonts w:cs="Times New Roman"/>
                <w:b/>
                <w:sz w:val="22"/>
              </w:rPr>
            </w:pPr>
            <w:r w:rsidRPr="002C629D">
              <w:rPr>
                <w:rFonts w:cs="Times New Roman"/>
                <w:b/>
                <w:sz w:val="22"/>
              </w:rPr>
              <w:t>S</w:t>
            </w:r>
            <w:r w:rsidR="00870FDC" w:rsidRPr="002C629D">
              <w:rPr>
                <w:rFonts w:cs="Times New Roman"/>
                <w:b/>
                <w:sz w:val="22"/>
              </w:rPr>
              <w:t>kutečnost</w:t>
            </w:r>
            <w:r w:rsidRPr="002C629D">
              <w:rPr>
                <w:rFonts w:cs="Times New Roman"/>
                <w:b/>
                <w:sz w:val="22"/>
              </w:rPr>
              <w:t xml:space="preserve"> 202</w:t>
            </w:r>
            <w:r w:rsidR="002C629D" w:rsidRPr="002C629D">
              <w:rPr>
                <w:rFonts w:cs="Times New Roman"/>
                <w:b/>
                <w:sz w:val="22"/>
              </w:rPr>
              <w:t>3</w:t>
            </w:r>
          </w:p>
        </w:tc>
        <w:tc>
          <w:tcPr>
            <w:tcW w:w="135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8856EAF" w14:textId="287F3348" w:rsidR="00A71477" w:rsidRPr="002C629D" w:rsidRDefault="00870FDC">
            <w:pPr>
              <w:jc w:val="center"/>
              <w:rPr>
                <w:rFonts w:cs="Times New Roman"/>
                <w:b/>
                <w:sz w:val="22"/>
              </w:rPr>
            </w:pPr>
            <w:r w:rsidRPr="002C629D">
              <w:rPr>
                <w:rFonts w:cs="Times New Roman"/>
                <w:b/>
                <w:sz w:val="22"/>
              </w:rPr>
              <w:t xml:space="preserve">Schválený rozpočet </w:t>
            </w:r>
            <w:r w:rsidR="00A71477" w:rsidRPr="002C629D">
              <w:rPr>
                <w:rFonts w:cs="Times New Roman"/>
                <w:b/>
                <w:sz w:val="22"/>
              </w:rPr>
              <w:t>202</w:t>
            </w:r>
            <w:r w:rsidR="002C629D" w:rsidRPr="002C629D">
              <w:rPr>
                <w:rFonts w:cs="Times New Roman"/>
                <w:b/>
                <w:sz w:val="22"/>
              </w:rPr>
              <w:t>4</w:t>
            </w:r>
          </w:p>
        </w:tc>
        <w:tc>
          <w:tcPr>
            <w:tcW w:w="135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1F419E6" w14:textId="318AC379" w:rsidR="00A71477" w:rsidRPr="002C629D" w:rsidRDefault="00402666">
            <w:pPr>
              <w:jc w:val="center"/>
              <w:rPr>
                <w:rFonts w:cs="Times New Roman"/>
                <w:b/>
                <w:sz w:val="22"/>
              </w:rPr>
            </w:pPr>
            <w:r w:rsidRPr="002C629D">
              <w:rPr>
                <w:rFonts w:cs="Times New Roman"/>
                <w:b/>
                <w:sz w:val="22"/>
              </w:rPr>
              <w:t>Návrh rozpočtu 202</w:t>
            </w:r>
            <w:r w:rsidR="002C629D" w:rsidRPr="002C629D">
              <w:rPr>
                <w:rFonts w:cs="Times New Roman"/>
                <w:b/>
                <w:sz w:val="22"/>
              </w:rPr>
              <w:t>5</w:t>
            </w:r>
          </w:p>
        </w:tc>
      </w:tr>
      <w:tr w:rsidR="002C629D" w:rsidRPr="002C629D" w14:paraId="29CF9607" w14:textId="77777777" w:rsidTr="002C629D">
        <w:trPr>
          <w:trHeight w:val="379"/>
        </w:trPr>
        <w:tc>
          <w:tcPr>
            <w:tcW w:w="1356" w:type="dxa"/>
            <w:vMerge/>
            <w:tcBorders>
              <w:bottom w:val="single" w:sz="4" w:space="0" w:color="auto"/>
            </w:tcBorders>
          </w:tcPr>
          <w:p w14:paraId="25FC330C" w14:textId="77777777" w:rsidR="002C629D" w:rsidRPr="002C629D" w:rsidRDefault="002C629D" w:rsidP="002C629D">
            <w:pPr>
              <w:rPr>
                <w:rFonts w:cs="Times New Roman"/>
                <w:b/>
                <w:color w:val="FF0000"/>
                <w:szCs w:val="24"/>
              </w:rPr>
            </w:pPr>
          </w:p>
        </w:tc>
        <w:tc>
          <w:tcPr>
            <w:tcW w:w="1356" w:type="dxa"/>
            <w:tcBorders>
              <w:top w:val="single" w:sz="8" w:space="0" w:color="7F7F7F" w:themeColor="text1" w:themeTint="80"/>
              <w:bottom w:val="single" w:sz="4" w:space="0" w:color="auto"/>
            </w:tcBorders>
            <w:vAlign w:val="center"/>
          </w:tcPr>
          <w:p w14:paraId="573F2747" w14:textId="7EB7FD39" w:rsidR="002C629D" w:rsidRPr="002C629D" w:rsidRDefault="002C629D" w:rsidP="002C629D">
            <w:pPr>
              <w:pStyle w:val="Zkladntext"/>
              <w:spacing w:before="81" w:after="81"/>
              <w:jc w:val="right"/>
              <w:rPr>
                <w:bCs w:val="0"/>
                <w:sz w:val="22"/>
                <w:szCs w:val="22"/>
              </w:rPr>
            </w:pPr>
            <w:r w:rsidRPr="002C629D">
              <w:rPr>
                <w:bCs w:val="0"/>
                <w:sz w:val="22"/>
                <w:szCs w:val="22"/>
              </w:rPr>
              <w:t>25 910 017</w:t>
            </w:r>
          </w:p>
        </w:tc>
        <w:tc>
          <w:tcPr>
            <w:tcW w:w="1356" w:type="dxa"/>
            <w:tcBorders>
              <w:top w:val="single" w:sz="8" w:space="0" w:color="7F7F7F" w:themeColor="text1" w:themeTint="80"/>
              <w:bottom w:val="single" w:sz="4" w:space="0" w:color="auto"/>
            </w:tcBorders>
            <w:vAlign w:val="center"/>
          </w:tcPr>
          <w:p w14:paraId="2CD2B96B" w14:textId="3DCE6B99" w:rsidR="002C629D" w:rsidRPr="002C629D" w:rsidRDefault="002C629D" w:rsidP="002C629D">
            <w:pPr>
              <w:pStyle w:val="Zkladntext"/>
              <w:spacing w:before="81" w:after="81"/>
              <w:jc w:val="right"/>
              <w:rPr>
                <w:bCs w:val="0"/>
                <w:sz w:val="22"/>
                <w:szCs w:val="22"/>
              </w:rPr>
            </w:pPr>
            <w:r w:rsidRPr="002C629D">
              <w:rPr>
                <w:bCs w:val="0"/>
                <w:sz w:val="22"/>
                <w:szCs w:val="22"/>
              </w:rPr>
              <w:t>19 824 645</w:t>
            </w:r>
          </w:p>
        </w:tc>
        <w:tc>
          <w:tcPr>
            <w:tcW w:w="1355" w:type="dxa"/>
            <w:tcBorders>
              <w:top w:val="single" w:sz="8" w:space="0" w:color="7F7F7F" w:themeColor="text1" w:themeTint="80"/>
              <w:bottom w:val="single" w:sz="4" w:space="0" w:color="auto"/>
            </w:tcBorders>
            <w:vAlign w:val="center"/>
          </w:tcPr>
          <w:p w14:paraId="2B20038E" w14:textId="044D763A" w:rsidR="002C629D" w:rsidRPr="002C629D" w:rsidRDefault="002C629D" w:rsidP="002C629D">
            <w:pPr>
              <w:pStyle w:val="Zkladntext"/>
              <w:spacing w:before="81" w:after="81"/>
              <w:jc w:val="right"/>
              <w:rPr>
                <w:bCs w:val="0"/>
                <w:sz w:val="22"/>
                <w:szCs w:val="22"/>
              </w:rPr>
            </w:pPr>
            <w:r w:rsidRPr="002C629D">
              <w:rPr>
                <w:bCs w:val="0"/>
                <w:sz w:val="22"/>
                <w:szCs w:val="22"/>
              </w:rPr>
              <w:t>21 139 498</w:t>
            </w:r>
          </w:p>
        </w:tc>
        <w:tc>
          <w:tcPr>
            <w:tcW w:w="1355" w:type="dxa"/>
            <w:tcBorders>
              <w:top w:val="single" w:sz="8" w:space="0" w:color="7F7F7F" w:themeColor="text1" w:themeTint="80"/>
              <w:bottom w:val="single" w:sz="4" w:space="0" w:color="auto"/>
            </w:tcBorders>
            <w:vAlign w:val="center"/>
          </w:tcPr>
          <w:p w14:paraId="06353595" w14:textId="33828EF2" w:rsidR="002C629D" w:rsidRPr="002C629D" w:rsidRDefault="002C629D" w:rsidP="002C629D">
            <w:pPr>
              <w:pStyle w:val="Zkladntext"/>
              <w:spacing w:before="81" w:after="81"/>
              <w:jc w:val="right"/>
              <w:rPr>
                <w:bCs w:val="0"/>
                <w:color w:val="FF0000"/>
                <w:sz w:val="22"/>
                <w:szCs w:val="22"/>
              </w:rPr>
            </w:pPr>
            <w:r w:rsidRPr="002C629D">
              <w:rPr>
                <w:bCs w:val="0"/>
                <w:sz w:val="22"/>
                <w:szCs w:val="22"/>
              </w:rPr>
              <w:t>50 766 501</w:t>
            </w:r>
          </w:p>
        </w:tc>
        <w:tc>
          <w:tcPr>
            <w:tcW w:w="1355" w:type="dxa"/>
            <w:tcBorders>
              <w:top w:val="single" w:sz="8" w:space="0" w:color="7F7F7F" w:themeColor="text1" w:themeTint="80"/>
              <w:bottom w:val="single" w:sz="4" w:space="0" w:color="auto"/>
            </w:tcBorders>
            <w:vAlign w:val="center"/>
          </w:tcPr>
          <w:p w14:paraId="4255442F" w14:textId="0A4DFFD1" w:rsidR="002C629D" w:rsidRPr="002C629D" w:rsidRDefault="002C629D" w:rsidP="002C629D">
            <w:pPr>
              <w:pStyle w:val="Zkladntext"/>
              <w:spacing w:before="81" w:after="81"/>
              <w:jc w:val="right"/>
              <w:rPr>
                <w:bCs w:val="0"/>
                <w:color w:val="FF0000"/>
                <w:sz w:val="22"/>
                <w:szCs w:val="22"/>
              </w:rPr>
            </w:pPr>
            <w:r w:rsidRPr="002C629D">
              <w:rPr>
                <w:bCs w:val="0"/>
                <w:sz w:val="22"/>
                <w:szCs w:val="22"/>
              </w:rPr>
              <w:t>25 109 487</w:t>
            </w:r>
          </w:p>
        </w:tc>
        <w:tc>
          <w:tcPr>
            <w:tcW w:w="1355" w:type="dxa"/>
            <w:tcBorders>
              <w:top w:val="single" w:sz="8" w:space="0" w:color="7F7F7F" w:themeColor="text1" w:themeTint="80"/>
              <w:bottom w:val="single" w:sz="4" w:space="0" w:color="auto"/>
            </w:tcBorders>
            <w:vAlign w:val="center"/>
          </w:tcPr>
          <w:p w14:paraId="5C259B9C" w14:textId="0A060508" w:rsidR="002C629D" w:rsidRPr="002C629D" w:rsidRDefault="002C629D" w:rsidP="002C629D">
            <w:pPr>
              <w:pStyle w:val="Zkladntext"/>
              <w:spacing w:before="81" w:after="81"/>
              <w:jc w:val="right"/>
              <w:rPr>
                <w:bCs w:val="0"/>
                <w:color w:val="FF0000"/>
                <w:sz w:val="22"/>
                <w:szCs w:val="22"/>
              </w:rPr>
            </w:pPr>
            <w:r w:rsidRPr="002C629D">
              <w:rPr>
                <w:bCs w:val="0"/>
                <w:sz w:val="22"/>
                <w:szCs w:val="22"/>
              </w:rPr>
              <w:t>38 678 386</w:t>
            </w:r>
          </w:p>
        </w:tc>
      </w:tr>
    </w:tbl>
    <w:p w14:paraId="1BBB42AB" w14:textId="6E530D2D" w:rsidR="00CF4BB2" w:rsidRPr="002C629D" w:rsidRDefault="00CF4BB2" w:rsidP="00CF4BB2">
      <w:pPr>
        <w:pStyle w:val="Titulek"/>
      </w:pPr>
      <w:r w:rsidRPr="002C629D">
        <w:t xml:space="preserve">Tabulka č. </w:t>
      </w:r>
      <w:r w:rsidR="00696CFC" w:rsidRPr="002C629D">
        <w:fldChar w:fldCharType="begin"/>
      </w:r>
      <w:r w:rsidR="00696CFC" w:rsidRPr="002C629D">
        <w:instrText xml:space="preserve"> SEQ Tabulka \* ARABIC </w:instrText>
      </w:r>
      <w:r w:rsidR="00696CFC" w:rsidRPr="002C629D">
        <w:fldChar w:fldCharType="separate"/>
      </w:r>
      <w:r w:rsidR="003B0B01" w:rsidRPr="002C629D">
        <w:rPr>
          <w:noProof/>
        </w:rPr>
        <w:t>2</w:t>
      </w:r>
      <w:r w:rsidR="00696CFC" w:rsidRPr="002C629D">
        <w:rPr>
          <w:noProof/>
        </w:rPr>
        <w:fldChar w:fldCharType="end"/>
      </w:r>
      <w:r w:rsidRPr="002C629D">
        <w:t xml:space="preserve"> Struktura p</w:t>
      </w:r>
      <w:r w:rsidR="00A71477" w:rsidRPr="002C629D">
        <w:t>říjmů (v rámci PVS) pro rok 202</w:t>
      </w:r>
      <w:r w:rsidR="002C629D">
        <w:t>5</w:t>
      </w:r>
    </w:p>
    <w:tbl>
      <w:tblPr>
        <w:tblStyle w:val="Svtlmkatabulky"/>
        <w:tblW w:w="932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008"/>
        <w:gridCol w:w="1260"/>
        <w:gridCol w:w="7054"/>
      </w:tblGrid>
      <w:tr w:rsidR="00AA1D3E" w:rsidRPr="002C629D" w14:paraId="703CFC9A" w14:textId="77777777" w:rsidTr="00316A6C">
        <w:trPr>
          <w:trHeight w:val="393"/>
        </w:trPr>
        <w:tc>
          <w:tcPr>
            <w:tcW w:w="100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79F94F78" w14:textId="77777777" w:rsidR="00A71477" w:rsidRPr="002C629D" w:rsidRDefault="00A71477" w:rsidP="00316A6C">
            <w:pPr>
              <w:spacing w:before="40"/>
              <w:rPr>
                <w:rFonts w:cs="Times New Roman"/>
                <w:b/>
                <w:szCs w:val="24"/>
              </w:rPr>
            </w:pPr>
            <w:r w:rsidRPr="002C629D">
              <w:rPr>
                <w:rFonts w:cs="Times New Roman"/>
                <w:b/>
                <w:szCs w:val="24"/>
              </w:rPr>
              <w:t>Blok</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6C6A9505" w14:textId="77777777" w:rsidR="00A71477" w:rsidRPr="002C629D" w:rsidRDefault="00A71477" w:rsidP="00316A6C">
            <w:pPr>
              <w:spacing w:before="40"/>
              <w:rPr>
                <w:rFonts w:cs="Times New Roman"/>
                <w:b/>
                <w:szCs w:val="24"/>
              </w:rPr>
            </w:pPr>
            <w:r w:rsidRPr="002C629D">
              <w:rPr>
                <w:rFonts w:cs="Times New Roman"/>
                <w:b/>
                <w:szCs w:val="24"/>
              </w:rPr>
              <w:t>Okruh</w:t>
            </w:r>
          </w:p>
        </w:tc>
        <w:tc>
          <w:tcPr>
            <w:tcW w:w="7054"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4FE3C658" w14:textId="77777777" w:rsidR="00A71477" w:rsidRPr="002C629D" w:rsidRDefault="00A71477" w:rsidP="00316A6C">
            <w:pPr>
              <w:spacing w:before="40"/>
              <w:rPr>
                <w:rFonts w:cs="Times New Roman"/>
                <w:b/>
                <w:szCs w:val="24"/>
              </w:rPr>
            </w:pPr>
            <w:r w:rsidRPr="002C629D">
              <w:rPr>
                <w:rFonts w:cs="Times New Roman"/>
                <w:b/>
                <w:szCs w:val="24"/>
              </w:rPr>
              <w:t>Název</w:t>
            </w:r>
          </w:p>
        </w:tc>
      </w:tr>
      <w:tr w:rsidR="00AA1D3E" w:rsidRPr="002C629D" w14:paraId="17F4730A" w14:textId="77777777" w:rsidTr="00316A6C">
        <w:tc>
          <w:tcPr>
            <w:tcW w:w="1008" w:type="dxa"/>
            <w:vMerge w:val="restart"/>
            <w:tcBorders>
              <w:top w:val="single" w:sz="8" w:space="0" w:color="7F7F7F" w:themeColor="text1" w:themeTint="80"/>
            </w:tcBorders>
          </w:tcPr>
          <w:p w14:paraId="6EB38997" w14:textId="77777777" w:rsidR="00A71477" w:rsidRPr="002C629D" w:rsidRDefault="00A71477" w:rsidP="00316A6C">
            <w:pPr>
              <w:rPr>
                <w:rFonts w:cs="Times New Roman"/>
                <w:szCs w:val="24"/>
              </w:rPr>
            </w:pPr>
            <w:r w:rsidRPr="002C629D">
              <w:rPr>
                <w:rFonts w:cs="Times New Roman"/>
                <w:szCs w:val="24"/>
              </w:rPr>
              <w:t>101</w:t>
            </w:r>
          </w:p>
        </w:tc>
        <w:tc>
          <w:tcPr>
            <w:tcW w:w="1260" w:type="dxa"/>
            <w:tcBorders>
              <w:top w:val="single" w:sz="8" w:space="0" w:color="7F7F7F" w:themeColor="text1" w:themeTint="80"/>
            </w:tcBorders>
          </w:tcPr>
          <w:p w14:paraId="78B26A8D" w14:textId="77777777" w:rsidR="00A71477" w:rsidRPr="002C629D" w:rsidRDefault="00A71477" w:rsidP="00316A6C">
            <w:pPr>
              <w:rPr>
                <w:rFonts w:cs="Times New Roman"/>
                <w:szCs w:val="24"/>
              </w:rPr>
            </w:pPr>
          </w:p>
        </w:tc>
        <w:tc>
          <w:tcPr>
            <w:tcW w:w="7054" w:type="dxa"/>
            <w:tcBorders>
              <w:top w:val="single" w:sz="8" w:space="0" w:color="7F7F7F" w:themeColor="text1" w:themeTint="80"/>
            </w:tcBorders>
          </w:tcPr>
          <w:p w14:paraId="6FAE976F" w14:textId="77777777" w:rsidR="00A71477" w:rsidRPr="002C629D" w:rsidRDefault="00A71477" w:rsidP="00316A6C">
            <w:pPr>
              <w:rPr>
                <w:rFonts w:cs="Times New Roman"/>
                <w:szCs w:val="24"/>
              </w:rPr>
            </w:pPr>
            <w:r w:rsidRPr="002C629D">
              <w:rPr>
                <w:rFonts w:cs="Times New Roman"/>
                <w:szCs w:val="24"/>
              </w:rPr>
              <w:t>Daňové příjmy</w:t>
            </w:r>
          </w:p>
        </w:tc>
      </w:tr>
      <w:tr w:rsidR="00AA1D3E" w:rsidRPr="002C629D" w14:paraId="0D26A376" w14:textId="77777777" w:rsidTr="00316A6C">
        <w:tc>
          <w:tcPr>
            <w:tcW w:w="1008" w:type="dxa"/>
            <w:vMerge/>
            <w:tcBorders>
              <w:bottom w:val="single" w:sz="8" w:space="0" w:color="7F7F7F" w:themeColor="text1" w:themeTint="80"/>
            </w:tcBorders>
          </w:tcPr>
          <w:p w14:paraId="17EE07E6" w14:textId="77777777" w:rsidR="00A71477" w:rsidRPr="002C629D" w:rsidRDefault="00A71477" w:rsidP="00316A6C">
            <w:pPr>
              <w:rPr>
                <w:rFonts w:cs="Times New Roman"/>
                <w:szCs w:val="24"/>
              </w:rPr>
            </w:pPr>
          </w:p>
        </w:tc>
        <w:tc>
          <w:tcPr>
            <w:tcW w:w="1260" w:type="dxa"/>
            <w:tcBorders>
              <w:bottom w:val="single" w:sz="8" w:space="0" w:color="7F7F7F" w:themeColor="text1" w:themeTint="80"/>
            </w:tcBorders>
          </w:tcPr>
          <w:p w14:paraId="21B1BE0D" w14:textId="77777777" w:rsidR="00A71477" w:rsidRPr="002C629D" w:rsidRDefault="00A71477" w:rsidP="00316A6C">
            <w:pPr>
              <w:rPr>
                <w:rFonts w:cs="Times New Roman"/>
                <w:szCs w:val="24"/>
              </w:rPr>
            </w:pPr>
            <w:r w:rsidRPr="002C629D">
              <w:rPr>
                <w:rFonts w:cs="Times New Roman"/>
                <w:szCs w:val="24"/>
              </w:rPr>
              <w:t>101001</w:t>
            </w:r>
          </w:p>
        </w:tc>
        <w:tc>
          <w:tcPr>
            <w:tcW w:w="7054" w:type="dxa"/>
            <w:tcBorders>
              <w:bottom w:val="single" w:sz="8" w:space="0" w:color="7F7F7F" w:themeColor="text1" w:themeTint="80"/>
            </w:tcBorders>
          </w:tcPr>
          <w:p w14:paraId="3AD4B4BE" w14:textId="77777777" w:rsidR="00A71477" w:rsidRPr="002C629D" w:rsidRDefault="00A71477" w:rsidP="00316A6C">
            <w:pPr>
              <w:rPr>
                <w:rFonts w:cs="Times New Roman"/>
                <w:szCs w:val="24"/>
              </w:rPr>
            </w:pPr>
            <w:r w:rsidRPr="002C629D">
              <w:rPr>
                <w:rFonts w:cs="Times New Roman"/>
                <w:szCs w:val="24"/>
              </w:rPr>
              <w:t>Daňové příjmy</w:t>
            </w:r>
          </w:p>
        </w:tc>
      </w:tr>
      <w:tr w:rsidR="00AA1D3E" w:rsidRPr="002C629D" w14:paraId="3DE89FA1" w14:textId="77777777" w:rsidTr="00316A6C">
        <w:tc>
          <w:tcPr>
            <w:tcW w:w="1008" w:type="dxa"/>
            <w:vMerge w:val="restart"/>
            <w:tcBorders>
              <w:top w:val="single" w:sz="8" w:space="0" w:color="7F7F7F" w:themeColor="text1" w:themeTint="80"/>
              <w:bottom w:val="single" w:sz="4" w:space="0" w:color="7F7F7F" w:themeColor="text1" w:themeTint="80"/>
            </w:tcBorders>
          </w:tcPr>
          <w:p w14:paraId="1E598F74" w14:textId="77777777" w:rsidR="00A71477" w:rsidRPr="002C629D" w:rsidRDefault="00A71477" w:rsidP="00316A6C">
            <w:pPr>
              <w:rPr>
                <w:rFonts w:cs="Times New Roman"/>
                <w:szCs w:val="24"/>
              </w:rPr>
            </w:pPr>
            <w:r w:rsidRPr="002C629D">
              <w:rPr>
                <w:rFonts w:cs="Times New Roman"/>
                <w:szCs w:val="24"/>
              </w:rPr>
              <w:t>103</w:t>
            </w:r>
          </w:p>
        </w:tc>
        <w:tc>
          <w:tcPr>
            <w:tcW w:w="1260" w:type="dxa"/>
            <w:tcBorders>
              <w:top w:val="single" w:sz="8" w:space="0" w:color="7F7F7F" w:themeColor="text1" w:themeTint="80"/>
              <w:bottom w:val="single" w:sz="4" w:space="0" w:color="7F7F7F" w:themeColor="text1" w:themeTint="80"/>
            </w:tcBorders>
          </w:tcPr>
          <w:p w14:paraId="6CE127B6" w14:textId="77777777" w:rsidR="00A71477" w:rsidRPr="002C629D" w:rsidRDefault="00A71477" w:rsidP="00316A6C">
            <w:pPr>
              <w:rPr>
                <w:rFonts w:cs="Times New Roman"/>
                <w:szCs w:val="24"/>
              </w:rPr>
            </w:pPr>
          </w:p>
        </w:tc>
        <w:tc>
          <w:tcPr>
            <w:tcW w:w="7054" w:type="dxa"/>
            <w:tcBorders>
              <w:top w:val="single" w:sz="8" w:space="0" w:color="7F7F7F" w:themeColor="text1" w:themeTint="80"/>
              <w:bottom w:val="single" w:sz="4" w:space="0" w:color="7F7F7F" w:themeColor="text1" w:themeTint="80"/>
            </w:tcBorders>
          </w:tcPr>
          <w:p w14:paraId="14BD5167" w14:textId="77777777" w:rsidR="00A71477" w:rsidRPr="002C629D" w:rsidRDefault="00A71477" w:rsidP="00316A6C">
            <w:pPr>
              <w:rPr>
                <w:rFonts w:cs="Times New Roman"/>
                <w:szCs w:val="24"/>
              </w:rPr>
            </w:pPr>
            <w:r w:rsidRPr="002C629D">
              <w:rPr>
                <w:rFonts w:cs="Times New Roman"/>
                <w:szCs w:val="24"/>
              </w:rPr>
              <w:t>Nedaňové příjmy, kapitálové příjmy a přijaté transfery celkem</w:t>
            </w:r>
          </w:p>
        </w:tc>
      </w:tr>
      <w:tr w:rsidR="00AA1D3E" w:rsidRPr="002C629D" w14:paraId="1427974C" w14:textId="77777777" w:rsidTr="00316A6C">
        <w:tc>
          <w:tcPr>
            <w:tcW w:w="1008" w:type="dxa"/>
            <w:vMerge/>
            <w:tcBorders>
              <w:top w:val="single" w:sz="4" w:space="0" w:color="7F7F7F" w:themeColor="text1" w:themeTint="80"/>
            </w:tcBorders>
          </w:tcPr>
          <w:p w14:paraId="2040BAB5" w14:textId="77777777" w:rsidR="00A71477" w:rsidRPr="002C629D" w:rsidRDefault="00A71477" w:rsidP="00316A6C">
            <w:pPr>
              <w:rPr>
                <w:rFonts w:cs="Times New Roman"/>
                <w:szCs w:val="24"/>
              </w:rPr>
            </w:pPr>
          </w:p>
        </w:tc>
        <w:tc>
          <w:tcPr>
            <w:tcW w:w="1260" w:type="dxa"/>
            <w:tcBorders>
              <w:top w:val="single" w:sz="4" w:space="0" w:color="7F7F7F" w:themeColor="text1" w:themeTint="80"/>
            </w:tcBorders>
          </w:tcPr>
          <w:p w14:paraId="6E4775B6" w14:textId="77777777" w:rsidR="00A71477" w:rsidRPr="002C629D" w:rsidRDefault="00A71477" w:rsidP="00316A6C">
            <w:pPr>
              <w:rPr>
                <w:rFonts w:cs="Times New Roman"/>
                <w:szCs w:val="24"/>
              </w:rPr>
            </w:pPr>
            <w:r w:rsidRPr="002C629D">
              <w:rPr>
                <w:rFonts w:cs="Times New Roman"/>
                <w:szCs w:val="24"/>
              </w:rPr>
              <w:t>103001</w:t>
            </w:r>
          </w:p>
        </w:tc>
        <w:tc>
          <w:tcPr>
            <w:tcW w:w="7054" w:type="dxa"/>
            <w:tcBorders>
              <w:top w:val="single" w:sz="4" w:space="0" w:color="7F7F7F" w:themeColor="text1" w:themeTint="80"/>
            </w:tcBorders>
          </w:tcPr>
          <w:p w14:paraId="467BBDA7" w14:textId="77777777" w:rsidR="00A71477" w:rsidRPr="002C629D" w:rsidRDefault="00A71477" w:rsidP="00316A6C">
            <w:pPr>
              <w:rPr>
                <w:rFonts w:cs="Times New Roman"/>
                <w:szCs w:val="24"/>
              </w:rPr>
            </w:pPr>
            <w:r w:rsidRPr="002C629D">
              <w:rPr>
                <w:rFonts w:cs="Times New Roman"/>
                <w:szCs w:val="24"/>
              </w:rPr>
              <w:t>Příjmy z rozpočtu Evropské unie bez SZP</w:t>
            </w:r>
          </w:p>
        </w:tc>
      </w:tr>
      <w:tr w:rsidR="00AA1D3E" w:rsidRPr="002C629D" w14:paraId="61C9ABB9" w14:textId="77777777" w:rsidTr="00316A6C">
        <w:trPr>
          <w:trHeight w:val="215"/>
        </w:trPr>
        <w:tc>
          <w:tcPr>
            <w:tcW w:w="1008" w:type="dxa"/>
            <w:vMerge/>
          </w:tcPr>
          <w:p w14:paraId="4DE3FA1A" w14:textId="77777777" w:rsidR="00A71477" w:rsidRPr="002C629D" w:rsidRDefault="00A71477" w:rsidP="00316A6C">
            <w:pPr>
              <w:rPr>
                <w:rFonts w:cs="Times New Roman"/>
                <w:szCs w:val="24"/>
              </w:rPr>
            </w:pPr>
          </w:p>
        </w:tc>
        <w:tc>
          <w:tcPr>
            <w:tcW w:w="1260" w:type="dxa"/>
          </w:tcPr>
          <w:p w14:paraId="3DFE99D4" w14:textId="77777777" w:rsidR="00A71477" w:rsidRPr="002C629D" w:rsidRDefault="00A71477" w:rsidP="00316A6C">
            <w:pPr>
              <w:rPr>
                <w:rFonts w:cs="Times New Roman"/>
                <w:szCs w:val="24"/>
              </w:rPr>
            </w:pPr>
            <w:r w:rsidRPr="002C629D">
              <w:rPr>
                <w:rFonts w:cs="Times New Roman"/>
                <w:szCs w:val="24"/>
              </w:rPr>
              <w:t>103003</w:t>
            </w:r>
          </w:p>
        </w:tc>
        <w:tc>
          <w:tcPr>
            <w:tcW w:w="7054" w:type="dxa"/>
          </w:tcPr>
          <w:p w14:paraId="6B602072" w14:textId="77777777" w:rsidR="00A71477" w:rsidRPr="002C629D" w:rsidRDefault="00A71477" w:rsidP="00316A6C">
            <w:pPr>
              <w:rPr>
                <w:rFonts w:cs="Times New Roman"/>
                <w:szCs w:val="24"/>
              </w:rPr>
            </w:pPr>
            <w:r w:rsidRPr="002C629D">
              <w:rPr>
                <w:rFonts w:cs="Times New Roman"/>
                <w:szCs w:val="24"/>
              </w:rPr>
              <w:t>Příjmy z prostředků finančních mechanismů</w:t>
            </w:r>
          </w:p>
        </w:tc>
      </w:tr>
      <w:tr w:rsidR="00AA1D3E" w:rsidRPr="002C629D" w14:paraId="09316A30" w14:textId="77777777" w:rsidTr="00316A6C">
        <w:tc>
          <w:tcPr>
            <w:tcW w:w="1008" w:type="dxa"/>
            <w:vMerge/>
          </w:tcPr>
          <w:p w14:paraId="10CDD138" w14:textId="77777777" w:rsidR="00A71477" w:rsidRPr="002C629D" w:rsidRDefault="00A71477" w:rsidP="00316A6C">
            <w:pPr>
              <w:rPr>
                <w:rFonts w:cs="Times New Roman"/>
                <w:szCs w:val="24"/>
              </w:rPr>
            </w:pPr>
          </w:p>
        </w:tc>
        <w:tc>
          <w:tcPr>
            <w:tcW w:w="1260" w:type="dxa"/>
          </w:tcPr>
          <w:p w14:paraId="42E0123B" w14:textId="77777777" w:rsidR="00A71477" w:rsidRPr="002C629D" w:rsidRDefault="00A71477" w:rsidP="00316A6C">
            <w:pPr>
              <w:rPr>
                <w:rFonts w:cs="Times New Roman"/>
                <w:b/>
                <w:szCs w:val="24"/>
              </w:rPr>
            </w:pPr>
            <w:r w:rsidRPr="002C629D">
              <w:rPr>
                <w:rFonts w:cs="Times New Roman"/>
                <w:szCs w:val="24"/>
              </w:rPr>
              <w:t>103004</w:t>
            </w:r>
          </w:p>
        </w:tc>
        <w:tc>
          <w:tcPr>
            <w:tcW w:w="7054" w:type="dxa"/>
          </w:tcPr>
          <w:p w14:paraId="292846D0" w14:textId="77777777" w:rsidR="00A71477" w:rsidRPr="002C629D" w:rsidRDefault="00A71477" w:rsidP="00316A6C">
            <w:pPr>
              <w:rPr>
                <w:rFonts w:cs="Times New Roman"/>
                <w:szCs w:val="24"/>
              </w:rPr>
            </w:pPr>
            <w:r w:rsidRPr="002C629D">
              <w:rPr>
                <w:rFonts w:cs="Times New Roman"/>
                <w:szCs w:val="24"/>
              </w:rPr>
              <w:t>Ostatní nedaňové příjmy, kapitálové příjmy a přijaté transfery celkem</w:t>
            </w:r>
          </w:p>
        </w:tc>
      </w:tr>
    </w:tbl>
    <w:p w14:paraId="47C377FF" w14:textId="7E8D3937" w:rsidR="00A71477" w:rsidRPr="002C629D" w:rsidRDefault="00A71477" w:rsidP="00A71477">
      <w:pPr>
        <w:pStyle w:val="Styl1"/>
      </w:pPr>
      <w:bookmarkStart w:id="9" w:name="_Toc274061123"/>
      <w:bookmarkStart w:id="10" w:name="_Toc462314384"/>
      <w:bookmarkStart w:id="11" w:name="_Toc49761894"/>
      <w:r w:rsidRPr="002C629D">
        <w:t>V rámci okruhu „Příjmy z prostředků finančních mechanismů“ nejsou pro rok 202</w:t>
      </w:r>
      <w:r w:rsidR="002C629D">
        <w:t>5</w:t>
      </w:r>
      <w:r w:rsidRPr="002C629D">
        <w:t xml:space="preserve"> rozpočtovány příjmy.</w:t>
      </w:r>
    </w:p>
    <w:p w14:paraId="30DF5332" w14:textId="77777777" w:rsidR="00CF4BB2" w:rsidRPr="002C629D" w:rsidRDefault="00CF4BB2" w:rsidP="00CF4BB2">
      <w:pPr>
        <w:pStyle w:val="Nadpis2"/>
        <w:numPr>
          <w:ilvl w:val="1"/>
          <w:numId w:val="7"/>
        </w:numPr>
        <w:tabs>
          <w:tab w:val="clear" w:pos="576"/>
          <w:tab w:val="left" w:pos="1985"/>
        </w:tabs>
        <w:spacing w:before="120"/>
        <w:ind w:left="567" w:hanging="567"/>
        <w:rPr>
          <w:i/>
        </w:rPr>
      </w:pPr>
      <w:bookmarkStart w:id="12" w:name="_Toc179964087"/>
      <w:r w:rsidRPr="002C629D">
        <w:t>Specifické ukazatele – příjmy</w:t>
      </w:r>
      <w:bookmarkEnd w:id="9"/>
      <w:bookmarkEnd w:id="10"/>
      <w:bookmarkEnd w:id="11"/>
      <w:bookmarkEnd w:id="12"/>
    </w:p>
    <w:p w14:paraId="02876BAD" w14:textId="45A3B536" w:rsidR="00CF4BB2" w:rsidRPr="002C629D" w:rsidRDefault="00CF4BB2" w:rsidP="00CF4BB2">
      <w:pPr>
        <w:pStyle w:val="Titulek"/>
      </w:pPr>
      <w:r w:rsidRPr="002C629D">
        <w:t xml:space="preserve">Tabulka č. </w:t>
      </w:r>
      <w:r w:rsidR="00696CFC" w:rsidRPr="002C629D">
        <w:fldChar w:fldCharType="begin"/>
      </w:r>
      <w:r w:rsidR="00696CFC" w:rsidRPr="002C629D">
        <w:instrText xml:space="preserve"> SEQ Tabulka \* ARABIC </w:instrText>
      </w:r>
      <w:r w:rsidR="00696CFC" w:rsidRPr="002C629D">
        <w:fldChar w:fldCharType="separate"/>
      </w:r>
      <w:r w:rsidR="003B0B01" w:rsidRPr="002C629D">
        <w:rPr>
          <w:noProof/>
        </w:rPr>
        <w:t>3</w:t>
      </w:r>
      <w:r w:rsidR="00696CFC" w:rsidRPr="002C629D">
        <w:rPr>
          <w:noProof/>
        </w:rPr>
        <w:fldChar w:fldCharType="end"/>
      </w:r>
      <w:r w:rsidRPr="002C629D">
        <w:t xml:space="preserve"> Specifické ukazatele – příjmy (v Kč)</w:t>
      </w:r>
    </w:p>
    <w:tbl>
      <w:tblPr>
        <w:tblStyle w:val="Svtltabulkasmkou1"/>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7488"/>
        <w:gridCol w:w="1800"/>
      </w:tblGrid>
      <w:tr w:rsidR="00F70171" w:rsidRPr="002C629D" w14:paraId="24F5C150" w14:textId="77777777" w:rsidTr="00316A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88" w:type="dxa"/>
            <w:tcBorders>
              <w:bottom w:val="single" w:sz="8" w:space="0" w:color="7F7F7F" w:themeColor="text1" w:themeTint="80"/>
            </w:tcBorders>
          </w:tcPr>
          <w:p w14:paraId="203A7C67" w14:textId="77777777" w:rsidR="00A71477" w:rsidRPr="002C629D" w:rsidRDefault="00A71477" w:rsidP="00A71477">
            <w:pPr>
              <w:numPr>
                <w:ilvl w:val="0"/>
                <w:numId w:val="6"/>
              </w:numPr>
              <w:tabs>
                <w:tab w:val="clear" w:pos="644"/>
                <w:tab w:val="num" w:pos="244"/>
                <w:tab w:val="num" w:pos="437"/>
              </w:tabs>
              <w:spacing w:before="81"/>
              <w:ind w:left="242" w:hanging="242"/>
              <w:rPr>
                <w:rFonts w:cs="Times New Roman"/>
                <w:b w:val="0"/>
                <w:szCs w:val="24"/>
              </w:rPr>
            </w:pPr>
            <w:r w:rsidRPr="002C629D">
              <w:rPr>
                <w:rFonts w:cs="Times New Roman"/>
                <w:szCs w:val="24"/>
              </w:rPr>
              <w:t>Daňové příjmy</w:t>
            </w:r>
          </w:p>
        </w:tc>
        <w:tc>
          <w:tcPr>
            <w:tcW w:w="1800" w:type="dxa"/>
            <w:tcBorders>
              <w:bottom w:val="single" w:sz="8" w:space="0" w:color="7F7F7F" w:themeColor="text1" w:themeTint="80"/>
            </w:tcBorders>
          </w:tcPr>
          <w:p w14:paraId="7EC349DE" w14:textId="24319271" w:rsidR="00A71477" w:rsidRPr="002C629D" w:rsidRDefault="002C629D" w:rsidP="00316A6C">
            <w:pPr>
              <w:pStyle w:val="Nvod"/>
              <w:keepNext/>
              <w:tabs>
                <w:tab w:val="left" w:pos="1072"/>
              </w:tabs>
              <w:spacing w:before="108"/>
              <w:ind w:left="0" w:firstLine="0"/>
              <w:jc w:val="right"/>
              <w:cnfStyle w:val="100000000000" w:firstRow="1" w:lastRow="0" w:firstColumn="0" w:lastColumn="0" w:oddVBand="0" w:evenVBand="0" w:oddHBand="0" w:evenHBand="0" w:firstRowFirstColumn="0" w:firstRowLastColumn="0" w:lastRowFirstColumn="0" w:lastRowLastColumn="0"/>
              <w:rPr>
                <w:b w:val="0"/>
                <w:szCs w:val="24"/>
              </w:rPr>
            </w:pPr>
            <w:r w:rsidRPr="002C629D">
              <w:rPr>
                <w:szCs w:val="24"/>
              </w:rPr>
              <w:t>225 000 </w:t>
            </w:r>
            <w:r w:rsidR="008B4580" w:rsidRPr="002C629D">
              <w:rPr>
                <w:szCs w:val="24"/>
              </w:rPr>
              <w:t>000</w:t>
            </w:r>
            <w:r w:rsidR="00A71477" w:rsidRPr="002C629D">
              <w:rPr>
                <w:szCs w:val="24"/>
              </w:rPr>
              <w:t xml:space="preserve">     </w:t>
            </w:r>
          </w:p>
        </w:tc>
      </w:tr>
      <w:tr w:rsidR="00AA1D3E" w:rsidRPr="002C629D" w14:paraId="21A52FA3"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single" w:sz="8" w:space="0" w:color="7F7F7F" w:themeColor="text1" w:themeTint="80"/>
              <w:bottom w:val="nil"/>
            </w:tcBorders>
          </w:tcPr>
          <w:p w14:paraId="0305D0B0" w14:textId="77777777" w:rsidR="00A71477" w:rsidRPr="002C629D" w:rsidRDefault="00A71477" w:rsidP="00A71477">
            <w:pPr>
              <w:numPr>
                <w:ilvl w:val="0"/>
                <w:numId w:val="6"/>
              </w:numPr>
              <w:tabs>
                <w:tab w:val="clear" w:pos="644"/>
                <w:tab w:val="num" w:pos="244"/>
                <w:tab w:val="num" w:pos="437"/>
              </w:tabs>
              <w:spacing w:before="81"/>
              <w:ind w:left="242" w:hanging="242"/>
              <w:rPr>
                <w:rFonts w:cs="Times New Roman"/>
                <w:b w:val="0"/>
                <w:szCs w:val="24"/>
              </w:rPr>
            </w:pPr>
            <w:r w:rsidRPr="002C629D">
              <w:rPr>
                <w:rFonts w:cs="Times New Roman"/>
                <w:szCs w:val="24"/>
              </w:rPr>
              <w:t xml:space="preserve">Nedaňové příjmy, kapitálové příjmy a přijaté transfery celkem </w:t>
            </w:r>
          </w:p>
        </w:tc>
        <w:tc>
          <w:tcPr>
            <w:tcW w:w="1800" w:type="dxa"/>
            <w:tcBorders>
              <w:top w:val="single" w:sz="8" w:space="0" w:color="7F7F7F" w:themeColor="text1" w:themeTint="80"/>
              <w:bottom w:val="nil"/>
            </w:tcBorders>
          </w:tcPr>
          <w:p w14:paraId="1123B360" w14:textId="0D4B4965" w:rsidR="00A71477" w:rsidRPr="002C629D" w:rsidRDefault="002C629D" w:rsidP="00316A6C">
            <w:pPr>
              <w:pStyle w:val="Nvod"/>
              <w:keepNext/>
              <w:tabs>
                <w:tab w:val="left" w:pos="1072"/>
              </w:tabs>
              <w:spacing w:before="108"/>
              <w:ind w:left="0" w:firstLine="0"/>
              <w:jc w:val="right"/>
              <w:cnfStyle w:val="000000000000" w:firstRow="0" w:lastRow="0" w:firstColumn="0" w:lastColumn="0" w:oddVBand="0" w:evenVBand="0" w:oddHBand="0" w:evenHBand="0" w:firstRowFirstColumn="0" w:firstRowLastColumn="0" w:lastRowFirstColumn="0" w:lastRowLastColumn="0"/>
              <w:rPr>
                <w:b/>
                <w:color w:val="FF0000"/>
                <w:szCs w:val="24"/>
              </w:rPr>
            </w:pPr>
            <w:r w:rsidRPr="002C629D">
              <w:rPr>
                <w:b/>
                <w:szCs w:val="24"/>
              </w:rPr>
              <w:t>38 453 386 351</w:t>
            </w:r>
          </w:p>
        </w:tc>
      </w:tr>
      <w:tr w:rsidR="00AA1D3E" w:rsidRPr="002C629D" w14:paraId="1501EF89"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nil"/>
            </w:tcBorders>
          </w:tcPr>
          <w:p w14:paraId="59214ED0" w14:textId="77777777" w:rsidR="00A71477" w:rsidRPr="002C629D" w:rsidRDefault="00A71477" w:rsidP="00316A6C">
            <w:pPr>
              <w:rPr>
                <w:rFonts w:cs="Times New Roman"/>
                <w:b w:val="0"/>
                <w:szCs w:val="24"/>
              </w:rPr>
            </w:pPr>
            <w:r w:rsidRPr="002C629D">
              <w:rPr>
                <w:rFonts w:cs="Times New Roman"/>
                <w:szCs w:val="24"/>
              </w:rPr>
              <w:t xml:space="preserve">      v tom: příjmy z rozpočtu Evropské unie bez společné zemědělské</w:t>
            </w:r>
          </w:p>
          <w:p w14:paraId="6DD97027" w14:textId="543A2B4D" w:rsidR="00A71477" w:rsidRPr="002C629D" w:rsidRDefault="00A71477" w:rsidP="00316A6C">
            <w:pPr>
              <w:rPr>
                <w:rFonts w:cs="Times New Roman"/>
                <w:b w:val="0"/>
                <w:szCs w:val="24"/>
              </w:rPr>
            </w:pPr>
            <w:r w:rsidRPr="002C629D">
              <w:rPr>
                <w:rFonts w:cs="Times New Roman"/>
                <w:szCs w:val="24"/>
              </w:rPr>
              <w:t xml:space="preserve">                 </w:t>
            </w:r>
            <w:r w:rsidR="0047653F" w:rsidRPr="002C629D">
              <w:rPr>
                <w:rFonts w:cs="Times New Roman"/>
                <w:szCs w:val="24"/>
              </w:rPr>
              <w:t xml:space="preserve"> </w:t>
            </w:r>
            <w:r w:rsidRPr="002C629D">
              <w:rPr>
                <w:rFonts w:cs="Times New Roman"/>
                <w:szCs w:val="24"/>
              </w:rPr>
              <w:t>politiky celkem</w:t>
            </w:r>
          </w:p>
        </w:tc>
        <w:tc>
          <w:tcPr>
            <w:tcW w:w="1800" w:type="dxa"/>
            <w:tcBorders>
              <w:top w:val="nil"/>
              <w:bottom w:val="nil"/>
            </w:tcBorders>
          </w:tcPr>
          <w:p w14:paraId="49B08C44" w14:textId="702E7297" w:rsidR="00A71477" w:rsidRPr="002C629D" w:rsidRDefault="002C629D" w:rsidP="00316A6C">
            <w:pPr>
              <w:pStyle w:val="Nvod"/>
              <w:keepNext/>
              <w:tabs>
                <w:tab w:val="left" w:pos="1072"/>
              </w:tabs>
              <w:spacing w:before="108"/>
              <w:ind w:left="0" w:firstLine="8"/>
              <w:jc w:val="right"/>
              <w:cnfStyle w:val="000000000000" w:firstRow="0" w:lastRow="0" w:firstColumn="0" w:lastColumn="0" w:oddVBand="0" w:evenVBand="0" w:oddHBand="0" w:evenHBand="0" w:firstRowFirstColumn="0" w:firstRowLastColumn="0" w:lastRowFirstColumn="0" w:lastRowLastColumn="0"/>
              <w:rPr>
                <w:color w:val="FF0000"/>
                <w:szCs w:val="24"/>
              </w:rPr>
            </w:pPr>
            <w:r w:rsidRPr="002C629D">
              <w:rPr>
                <w:szCs w:val="24"/>
              </w:rPr>
              <w:t>37 491 386 351</w:t>
            </w:r>
          </w:p>
        </w:tc>
      </w:tr>
      <w:tr w:rsidR="00AA1D3E" w:rsidRPr="00D070B8" w14:paraId="4FA9ECA5"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single" w:sz="8" w:space="0" w:color="7F7F7F" w:themeColor="text1" w:themeTint="80"/>
            </w:tcBorders>
          </w:tcPr>
          <w:p w14:paraId="064F24A7" w14:textId="6CDA0251" w:rsidR="00A71477" w:rsidRPr="002C629D" w:rsidRDefault="00A71477" w:rsidP="0047653F">
            <w:pPr>
              <w:ind w:left="1011" w:hanging="1011"/>
              <w:rPr>
                <w:rFonts w:cs="Times New Roman"/>
                <w:b w:val="0"/>
                <w:szCs w:val="24"/>
              </w:rPr>
            </w:pPr>
            <w:r w:rsidRPr="002C629D">
              <w:rPr>
                <w:rFonts w:cs="Times New Roman"/>
                <w:szCs w:val="24"/>
              </w:rPr>
              <w:t xml:space="preserve">                </w:t>
            </w:r>
            <w:r w:rsidR="0047653F" w:rsidRPr="002C629D">
              <w:rPr>
                <w:rFonts w:cs="Times New Roman"/>
                <w:szCs w:val="24"/>
              </w:rPr>
              <w:t xml:space="preserve"> </w:t>
            </w:r>
            <w:r w:rsidRPr="002C629D">
              <w:rPr>
                <w:rFonts w:cs="Times New Roman"/>
                <w:szCs w:val="24"/>
              </w:rPr>
              <w:t xml:space="preserve"> ostatní nedaňové příjmy, kapitálové příjmy a přijaté</w:t>
            </w:r>
            <w:r w:rsidR="0047653F" w:rsidRPr="002C629D">
              <w:rPr>
                <w:rFonts w:cs="Times New Roman"/>
                <w:szCs w:val="24"/>
              </w:rPr>
              <w:br/>
              <w:t xml:space="preserve"> </w:t>
            </w:r>
            <w:r w:rsidRPr="002C629D">
              <w:rPr>
                <w:rFonts w:cs="Times New Roman"/>
                <w:szCs w:val="24"/>
              </w:rPr>
              <w:t>transfery celkem</w:t>
            </w:r>
          </w:p>
        </w:tc>
        <w:tc>
          <w:tcPr>
            <w:tcW w:w="1800" w:type="dxa"/>
            <w:tcBorders>
              <w:top w:val="nil"/>
              <w:bottom w:val="single" w:sz="8" w:space="0" w:color="7F7F7F" w:themeColor="text1" w:themeTint="80"/>
            </w:tcBorders>
          </w:tcPr>
          <w:p w14:paraId="253DD1E4" w14:textId="2D326CA3" w:rsidR="00A71477" w:rsidRPr="002C629D" w:rsidRDefault="002C629D">
            <w:pPr>
              <w:pStyle w:val="Nvod"/>
              <w:keepNext/>
              <w:tabs>
                <w:tab w:val="left" w:pos="1072"/>
              </w:tabs>
              <w:spacing w:before="108"/>
              <w:ind w:left="0" w:firstLine="0"/>
              <w:jc w:val="right"/>
              <w:cnfStyle w:val="000000000000" w:firstRow="0" w:lastRow="0" w:firstColumn="0" w:lastColumn="0" w:oddVBand="0" w:evenVBand="0" w:oddHBand="0" w:evenHBand="0" w:firstRowFirstColumn="0" w:firstRowLastColumn="0" w:lastRowFirstColumn="0" w:lastRowLastColumn="0"/>
              <w:rPr>
                <w:color w:val="FF0000"/>
                <w:szCs w:val="24"/>
              </w:rPr>
            </w:pPr>
            <w:r w:rsidRPr="002C629D">
              <w:rPr>
                <w:szCs w:val="24"/>
              </w:rPr>
              <w:t>962 000 000</w:t>
            </w:r>
          </w:p>
        </w:tc>
      </w:tr>
    </w:tbl>
    <w:p w14:paraId="44E86775" w14:textId="77777777" w:rsidR="00CF4BB2" w:rsidRPr="002C629D" w:rsidRDefault="00CF4BB2" w:rsidP="00CF4BB2">
      <w:pPr>
        <w:pStyle w:val="Nadpis2"/>
        <w:tabs>
          <w:tab w:val="clear" w:pos="576"/>
          <w:tab w:val="num" w:pos="2561"/>
        </w:tabs>
        <w:rPr>
          <w:i/>
        </w:rPr>
      </w:pPr>
      <w:bookmarkStart w:id="13" w:name="_Toc274061124"/>
      <w:bookmarkStart w:id="14" w:name="_Toc462314385"/>
      <w:bookmarkStart w:id="15" w:name="_Toc49761895"/>
      <w:bookmarkStart w:id="16" w:name="_Toc179964088"/>
      <w:r w:rsidRPr="002C629D">
        <w:t>Druhové členění příjmů</w:t>
      </w:r>
      <w:bookmarkEnd w:id="13"/>
      <w:bookmarkEnd w:id="14"/>
      <w:bookmarkEnd w:id="15"/>
      <w:bookmarkEnd w:id="16"/>
    </w:p>
    <w:p w14:paraId="22D5D477" w14:textId="77777777" w:rsidR="00402666" w:rsidRPr="002C629D" w:rsidRDefault="00402666" w:rsidP="006B75C3">
      <w:pPr>
        <w:pStyle w:val="Styl1"/>
        <w:spacing w:after="120"/>
      </w:pPr>
      <w:bookmarkStart w:id="17" w:name="_Toc368665059"/>
      <w:r w:rsidRPr="002C629D">
        <w:t>Příjmy celkem zahrnují v základním druhovém rozdělení daňové příjmy, nedaňové příjmy, neinvestiční a investiční přijaté transfery v členění:</w:t>
      </w:r>
    </w:p>
    <w:tbl>
      <w:tblPr>
        <w:tblW w:w="9250" w:type="dxa"/>
        <w:tblCellMar>
          <w:left w:w="70" w:type="dxa"/>
          <w:right w:w="70" w:type="dxa"/>
        </w:tblCellMar>
        <w:tblLook w:val="0000" w:firstRow="0" w:lastRow="0" w:firstColumn="0" w:lastColumn="0" w:noHBand="0" w:noVBand="0"/>
      </w:tblPr>
      <w:tblGrid>
        <w:gridCol w:w="7088"/>
        <w:gridCol w:w="2162"/>
      </w:tblGrid>
      <w:tr w:rsidR="008F14DC" w:rsidRPr="002C629D" w14:paraId="026A6014" w14:textId="77777777" w:rsidTr="001E02BC">
        <w:tc>
          <w:tcPr>
            <w:tcW w:w="7088" w:type="dxa"/>
          </w:tcPr>
          <w:p w14:paraId="674E9BC2" w14:textId="77777777" w:rsidR="008F14DC" w:rsidRPr="002C629D" w:rsidRDefault="008F14DC" w:rsidP="008F14DC">
            <w:pPr>
              <w:numPr>
                <w:ilvl w:val="0"/>
                <w:numId w:val="4"/>
              </w:numPr>
              <w:tabs>
                <w:tab w:val="num" w:pos="360"/>
              </w:tabs>
              <w:spacing w:before="120" w:line="240" w:lineRule="auto"/>
              <w:ind w:left="357" w:hanging="357"/>
              <w:rPr>
                <w:rFonts w:cs="Times New Roman"/>
                <w:b/>
                <w:szCs w:val="24"/>
              </w:rPr>
            </w:pPr>
            <w:r w:rsidRPr="002C629D">
              <w:rPr>
                <w:rFonts w:cs="Times New Roman"/>
                <w:b/>
                <w:szCs w:val="24"/>
              </w:rPr>
              <w:t>Daně a poplatky z vybraných činností a služeb</w:t>
            </w:r>
          </w:p>
        </w:tc>
        <w:tc>
          <w:tcPr>
            <w:tcW w:w="2162" w:type="dxa"/>
          </w:tcPr>
          <w:p w14:paraId="4DBA62BA" w14:textId="31BB1870" w:rsidR="008F14DC" w:rsidRPr="002C629D" w:rsidRDefault="002C629D" w:rsidP="001E02BC">
            <w:pPr>
              <w:pStyle w:val="xl54"/>
              <w:pBdr>
                <w:left w:val="none" w:sz="0" w:space="0" w:color="auto"/>
                <w:right w:val="none" w:sz="0" w:space="0" w:color="auto"/>
              </w:pBdr>
              <w:spacing w:before="120" w:beforeAutospacing="0" w:after="0" w:afterAutospacing="0"/>
              <w:rPr>
                <w:b/>
              </w:rPr>
            </w:pPr>
            <w:r w:rsidRPr="002C629D">
              <w:rPr>
                <w:b/>
              </w:rPr>
              <w:t>22</w:t>
            </w:r>
            <w:r w:rsidR="008F14DC" w:rsidRPr="002C629D">
              <w:rPr>
                <w:b/>
              </w:rPr>
              <w:t>5 000 tis. Kč</w:t>
            </w:r>
          </w:p>
        </w:tc>
      </w:tr>
      <w:tr w:rsidR="008F14DC" w:rsidRPr="002C629D" w14:paraId="4C56EDEC" w14:textId="77777777" w:rsidTr="001E02BC">
        <w:tc>
          <w:tcPr>
            <w:tcW w:w="7088" w:type="dxa"/>
          </w:tcPr>
          <w:p w14:paraId="45F47EF6" w14:textId="77777777" w:rsidR="008F14DC" w:rsidRPr="002C629D" w:rsidRDefault="008F14DC" w:rsidP="001E02BC">
            <w:pPr>
              <w:rPr>
                <w:rFonts w:cs="Times New Roman"/>
                <w:szCs w:val="24"/>
              </w:rPr>
            </w:pPr>
            <w:r w:rsidRPr="002C629D">
              <w:rPr>
                <w:rFonts w:cs="Times New Roman"/>
                <w:szCs w:val="24"/>
              </w:rPr>
              <w:t xml:space="preserve">      v tom:</w:t>
            </w:r>
          </w:p>
        </w:tc>
        <w:tc>
          <w:tcPr>
            <w:tcW w:w="2162" w:type="dxa"/>
          </w:tcPr>
          <w:p w14:paraId="4FB776D7" w14:textId="77777777" w:rsidR="008F14DC" w:rsidRPr="002C629D" w:rsidRDefault="008F14DC" w:rsidP="001E02BC">
            <w:pPr>
              <w:pStyle w:val="xl54"/>
              <w:pBdr>
                <w:left w:val="none" w:sz="0" w:space="0" w:color="auto"/>
                <w:right w:val="none" w:sz="0" w:space="0" w:color="auto"/>
              </w:pBdr>
              <w:spacing w:before="0" w:beforeAutospacing="0" w:after="0" w:afterAutospacing="0"/>
              <w:rPr>
                <w:b/>
              </w:rPr>
            </w:pPr>
          </w:p>
        </w:tc>
      </w:tr>
      <w:tr w:rsidR="008F14DC" w:rsidRPr="002C629D" w14:paraId="02BE85DB" w14:textId="77777777" w:rsidTr="001E02BC">
        <w:tc>
          <w:tcPr>
            <w:tcW w:w="7088" w:type="dxa"/>
          </w:tcPr>
          <w:p w14:paraId="3DF24C14" w14:textId="77777777" w:rsidR="008F14DC" w:rsidRPr="002C629D" w:rsidRDefault="008F14DC" w:rsidP="001E02BC">
            <w:pPr>
              <w:rPr>
                <w:rFonts w:cs="Times New Roman"/>
                <w:szCs w:val="24"/>
              </w:rPr>
            </w:pPr>
            <w:r w:rsidRPr="002C629D">
              <w:rPr>
                <w:rFonts w:cs="Times New Roman"/>
                <w:szCs w:val="24"/>
              </w:rPr>
              <w:t xml:space="preserve">      - Správní poplatky</w:t>
            </w:r>
          </w:p>
        </w:tc>
        <w:tc>
          <w:tcPr>
            <w:tcW w:w="2162" w:type="dxa"/>
          </w:tcPr>
          <w:p w14:paraId="135D70D6" w14:textId="4AD9F5D4" w:rsidR="008F14DC" w:rsidRPr="002C629D" w:rsidRDefault="002C629D" w:rsidP="001E02BC">
            <w:pPr>
              <w:pStyle w:val="xl54"/>
              <w:pBdr>
                <w:left w:val="none" w:sz="0" w:space="0" w:color="auto"/>
                <w:right w:val="none" w:sz="0" w:space="0" w:color="auto"/>
              </w:pBdr>
              <w:spacing w:before="0" w:beforeAutospacing="0" w:after="0" w:afterAutospacing="0"/>
            </w:pPr>
            <w:r w:rsidRPr="002C629D">
              <w:t>22</w:t>
            </w:r>
            <w:r w:rsidR="008F14DC" w:rsidRPr="002C629D">
              <w:t>5 000 tis. Kč</w:t>
            </w:r>
          </w:p>
        </w:tc>
      </w:tr>
      <w:tr w:rsidR="008F14DC" w:rsidRPr="002C629D" w14:paraId="48CEE9B6" w14:textId="77777777" w:rsidTr="001E02BC">
        <w:trPr>
          <w:trHeight w:val="600"/>
        </w:trPr>
        <w:tc>
          <w:tcPr>
            <w:tcW w:w="7088" w:type="dxa"/>
            <w:vAlign w:val="center"/>
          </w:tcPr>
          <w:p w14:paraId="6221DA4E" w14:textId="77777777" w:rsidR="008F14DC" w:rsidRPr="002C629D" w:rsidRDefault="008F14DC" w:rsidP="008F14DC">
            <w:pPr>
              <w:numPr>
                <w:ilvl w:val="0"/>
                <w:numId w:val="4"/>
              </w:numPr>
              <w:tabs>
                <w:tab w:val="num" w:pos="360"/>
              </w:tabs>
              <w:spacing w:before="120" w:line="240" w:lineRule="auto"/>
              <w:ind w:left="357" w:hanging="357"/>
              <w:jc w:val="left"/>
              <w:rPr>
                <w:rFonts w:cs="Times New Roman"/>
                <w:b/>
                <w:color w:val="FF0000"/>
                <w:szCs w:val="24"/>
              </w:rPr>
            </w:pPr>
            <w:r w:rsidRPr="002C629D">
              <w:rPr>
                <w:rFonts w:cs="Times New Roman"/>
                <w:b/>
                <w:szCs w:val="24"/>
              </w:rPr>
              <w:t>Příjmy z vlastní činnosti a odvody přebytků organizací s přímým vztahem</w:t>
            </w:r>
          </w:p>
        </w:tc>
        <w:tc>
          <w:tcPr>
            <w:tcW w:w="2162" w:type="dxa"/>
          </w:tcPr>
          <w:p w14:paraId="47C0C192" w14:textId="091872C0" w:rsidR="008F14DC" w:rsidRPr="002C629D" w:rsidRDefault="002C629D" w:rsidP="001E02BC">
            <w:pPr>
              <w:pStyle w:val="xl54"/>
              <w:pBdr>
                <w:left w:val="none" w:sz="0" w:space="0" w:color="auto"/>
                <w:right w:val="none" w:sz="0" w:space="0" w:color="auto"/>
              </w:pBdr>
              <w:spacing w:before="120" w:beforeAutospacing="0" w:after="0" w:afterAutospacing="0"/>
              <w:rPr>
                <w:b/>
                <w:color w:val="FF0000"/>
              </w:rPr>
            </w:pPr>
            <w:r w:rsidRPr="002C629D">
              <w:rPr>
                <w:b/>
              </w:rPr>
              <w:t>915 432</w:t>
            </w:r>
            <w:r w:rsidR="008F14DC" w:rsidRPr="002C629D">
              <w:rPr>
                <w:b/>
              </w:rPr>
              <w:t xml:space="preserve"> tis. Kč</w:t>
            </w:r>
          </w:p>
        </w:tc>
      </w:tr>
      <w:tr w:rsidR="008F14DC" w:rsidRPr="002C629D" w14:paraId="6644CB40" w14:textId="77777777" w:rsidTr="001E02BC">
        <w:tc>
          <w:tcPr>
            <w:tcW w:w="7088" w:type="dxa"/>
          </w:tcPr>
          <w:p w14:paraId="44E8C5A1" w14:textId="77777777" w:rsidR="008F14DC" w:rsidRPr="002C629D" w:rsidRDefault="008F14DC" w:rsidP="001E02BC">
            <w:pPr>
              <w:rPr>
                <w:rFonts w:cs="Times New Roman"/>
                <w:szCs w:val="24"/>
              </w:rPr>
            </w:pPr>
            <w:r w:rsidRPr="002C629D">
              <w:rPr>
                <w:rFonts w:cs="Times New Roman"/>
                <w:szCs w:val="24"/>
              </w:rPr>
              <w:t xml:space="preserve">      v tom:</w:t>
            </w:r>
          </w:p>
        </w:tc>
        <w:tc>
          <w:tcPr>
            <w:tcW w:w="2162" w:type="dxa"/>
          </w:tcPr>
          <w:p w14:paraId="30F29B83" w14:textId="77777777" w:rsidR="008F14DC" w:rsidRPr="002C629D" w:rsidRDefault="008F14DC" w:rsidP="001E02BC">
            <w:pPr>
              <w:jc w:val="right"/>
              <w:rPr>
                <w:rFonts w:cs="Times New Roman"/>
                <w:szCs w:val="24"/>
              </w:rPr>
            </w:pPr>
          </w:p>
        </w:tc>
      </w:tr>
      <w:tr w:rsidR="008F14DC" w:rsidRPr="002C629D" w14:paraId="389C91FB" w14:textId="77777777" w:rsidTr="001E02BC">
        <w:tc>
          <w:tcPr>
            <w:tcW w:w="7088" w:type="dxa"/>
          </w:tcPr>
          <w:p w14:paraId="78364E35" w14:textId="77777777" w:rsidR="008F14DC" w:rsidRPr="002C629D" w:rsidRDefault="008F14DC" w:rsidP="001E02BC">
            <w:pPr>
              <w:rPr>
                <w:rFonts w:cs="Times New Roman"/>
                <w:szCs w:val="24"/>
              </w:rPr>
            </w:pPr>
            <w:r w:rsidRPr="002C629D">
              <w:rPr>
                <w:rFonts w:cs="Times New Roman"/>
                <w:szCs w:val="24"/>
              </w:rPr>
              <w:t xml:space="preserve">      - Příjmy z vlastní činnosti</w:t>
            </w:r>
          </w:p>
        </w:tc>
        <w:tc>
          <w:tcPr>
            <w:tcW w:w="2162" w:type="dxa"/>
          </w:tcPr>
          <w:p w14:paraId="5663400A" w14:textId="1AA3800B" w:rsidR="008F14DC" w:rsidRPr="002C629D" w:rsidRDefault="002C629D" w:rsidP="001E02BC">
            <w:pPr>
              <w:jc w:val="right"/>
              <w:rPr>
                <w:rFonts w:cs="Times New Roman"/>
                <w:szCs w:val="24"/>
              </w:rPr>
            </w:pPr>
            <w:r w:rsidRPr="002C629D">
              <w:rPr>
                <w:rFonts w:cs="Times New Roman"/>
                <w:szCs w:val="24"/>
              </w:rPr>
              <w:t>50 800</w:t>
            </w:r>
            <w:r w:rsidR="008F14DC" w:rsidRPr="002C629D">
              <w:rPr>
                <w:rFonts w:cs="Times New Roman"/>
                <w:szCs w:val="24"/>
              </w:rPr>
              <w:t xml:space="preserve"> tis. Kč</w:t>
            </w:r>
          </w:p>
        </w:tc>
      </w:tr>
      <w:tr w:rsidR="008F14DC" w:rsidRPr="002C629D" w14:paraId="0392459F" w14:textId="77777777" w:rsidTr="001E02BC">
        <w:tc>
          <w:tcPr>
            <w:tcW w:w="7088" w:type="dxa"/>
          </w:tcPr>
          <w:p w14:paraId="06B92896" w14:textId="77777777" w:rsidR="008F14DC" w:rsidRPr="002C629D" w:rsidRDefault="008F14DC" w:rsidP="001E02BC">
            <w:pPr>
              <w:rPr>
                <w:rFonts w:cs="Times New Roman"/>
                <w:szCs w:val="24"/>
              </w:rPr>
            </w:pPr>
            <w:r w:rsidRPr="002C629D">
              <w:rPr>
                <w:rFonts w:cs="Times New Roman"/>
                <w:szCs w:val="24"/>
              </w:rPr>
              <w:t xml:space="preserve">      - Příjmy z pronájmu majetku</w:t>
            </w:r>
          </w:p>
        </w:tc>
        <w:tc>
          <w:tcPr>
            <w:tcW w:w="2162" w:type="dxa"/>
          </w:tcPr>
          <w:p w14:paraId="0856C362" w14:textId="77777777" w:rsidR="008F14DC" w:rsidRPr="002C629D" w:rsidRDefault="008F14DC" w:rsidP="001E02BC">
            <w:pPr>
              <w:jc w:val="right"/>
              <w:rPr>
                <w:rFonts w:cs="Times New Roman"/>
                <w:szCs w:val="24"/>
              </w:rPr>
            </w:pPr>
            <w:r w:rsidRPr="002C629D">
              <w:rPr>
                <w:rFonts w:cs="Times New Roman"/>
                <w:szCs w:val="24"/>
              </w:rPr>
              <w:t>32 632 tis. Kč</w:t>
            </w:r>
          </w:p>
        </w:tc>
      </w:tr>
      <w:tr w:rsidR="002C629D" w:rsidRPr="002C629D" w14:paraId="230C3364" w14:textId="77777777" w:rsidTr="001E02BC">
        <w:tc>
          <w:tcPr>
            <w:tcW w:w="7088" w:type="dxa"/>
          </w:tcPr>
          <w:p w14:paraId="78B7EBF0" w14:textId="7DBFC13D" w:rsidR="002C629D" w:rsidRPr="00983317" w:rsidRDefault="002C629D" w:rsidP="002C629D">
            <w:pPr>
              <w:rPr>
                <w:rFonts w:cs="Times New Roman"/>
                <w:szCs w:val="24"/>
              </w:rPr>
            </w:pPr>
            <w:r w:rsidRPr="00983317">
              <w:rPr>
                <w:rFonts w:cs="Times New Roman"/>
                <w:szCs w:val="24"/>
              </w:rPr>
              <w:t xml:space="preserve">      - </w:t>
            </w:r>
            <w:r w:rsidR="00983317" w:rsidRPr="00983317">
              <w:rPr>
                <w:rFonts w:cs="Times New Roman"/>
                <w:szCs w:val="24"/>
              </w:rPr>
              <w:t>Odvody přebytků organizací s přímým vztahem</w:t>
            </w:r>
          </w:p>
        </w:tc>
        <w:tc>
          <w:tcPr>
            <w:tcW w:w="2162" w:type="dxa"/>
          </w:tcPr>
          <w:p w14:paraId="42E33F9D" w14:textId="1431E89F" w:rsidR="002C629D" w:rsidRPr="002C629D" w:rsidRDefault="002C629D" w:rsidP="002C629D">
            <w:pPr>
              <w:jc w:val="right"/>
              <w:rPr>
                <w:rFonts w:cs="Times New Roman"/>
                <w:szCs w:val="24"/>
              </w:rPr>
            </w:pPr>
            <w:r w:rsidRPr="00983317">
              <w:rPr>
                <w:rFonts w:cs="Times New Roman"/>
                <w:szCs w:val="24"/>
              </w:rPr>
              <w:t>800 000 tis. Kč</w:t>
            </w:r>
          </w:p>
        </w:tc>
      </w:tr>
      <w:tr w:rsidR="002C629D" w:rsidRPr="002C629D" w14:paraId="43620A2F" w14:textId="77777777" w:rsidTr="001E02BC">
        <w:tc>
          <w:tcPr>
            <w:tcW w:w="7088" w:type="dxa"/>
          </w:tcPr>
          <w:p w14:paraId="476B52C5" w14:textId="214247C9" w:rsidR="002C629D" w:rsidRPr="002C629D" w:rsidRDefault="002C629D" w:rsidP="002C629D">
            <w:pPr>
              <w:rPr>
                <w:rFonts w:cs="Times New Roman"/>
                <w:szCs w:val="24"/>
              </w:rPr>
            </w:pPr>
            <w:r w:rsidRPr="002C629D">
              <w:rPr>
                <w:rFonts w:cs="Times New Roman"/>
                <w:szCs w:val="24"/>
              </w:rPr>
              <w:t xml:space="preserve">      - Příjmy z </w:t>
            </w:r>
            <w:r w:rsidRPr="002C629D">
              <w:t>odvodů příspěvkových organizací</w:t>
            </w:r>
            <w:r w:rsidRPr="002C629D">
              <w:rPr>
                <w:rFonts w:cs="Times New Roman"/>
                <w:szCs w:val="24"/>
              </w:rPr>
              <w:t xml:space="preserve"> </w:t>
            </w:r>
          </w:p>
        </w:tc>
        <w:tc>
          <w:tcPr>
            <w:tcW w:w="2162" w:type="dxa"/>
          </w:tcPr>
          <w:p w14:paraId="7B533D42" w14:textId="682C1923" w:rsidR="002C629D" w:rsidRPr="002C629D" w:rsidRDefault="002C629D" w:rsidP="002C629D">
            <w:pPr>
              <w:jc w:val="right"/>
              <w:rPr>
                <w:rFonts w:cs="Times New Roman"/>
                <w:szCs w:val="24"/>
              </w:rPr>
            </w:pPr>
            <w:r w:rsidRPr="002C629D">
              <w:rPr>
                <w:rFonts w:cs="Times New Roman"/>
                <w:szCs w:val="24"/>
              </w:rPr>
              <w:t>32 000 tis. Kč</w:t>
            </w:r>
          </w:p>
        </w:tc>
      </w:tr>
      <w:tr w:rsidR="002C629D" w:rsidRPr="002C629D" w14:paraId="6FCC3D37" w14:textId="77777777" w:rsidTr="001E02BC">
        <w:trPr>
          <w:trHeight w:val="389"/>
        </w:trPr>
        <w:tc>
          <w:tcPr>
            <w:tcW w:w="7088" w:type="dxa"/>
            <w:vAlign w:val="center"/>
          </w:tcPr>
          <w:p w14:paraId="1D858F06" w14:textId="5C6BA91E" w:rsidR="002C629D" w:rsidRPr="002C629D" w:rsidRDefault="009A0D5C" w:rsidP="009A0D5C">
            <w:pPr>
              <w:numPr>
                <w:ilvl w:val="0"/>
                <w:numId w:val="4"/>
              </w:numPr>
              <w:tabs>
                <w:tab w:val="clear" w:pos="644"/>
                <w:tab w:val="num" w:pos="351"/>
              </w:tabs>
              <w:spacing w:before="120" w:line="240" w:lineRule="auto"/>
              <w:ind w:left="351" w:hanging="425"/>
              <w:jc w:val="left"/>
              <w:rPr>
                <w:rFonts w:cs="Times New Roman"/>
                <w:b/>
                <w:szCs w:val="24"/>
              </w:rPr>
            </w:pPr>
            <w:r>
              <w:rPr>
                <w:rFonts w:cs="Times New Roman"/>
                <w:b/>
                <w:szCs w:val="24"/>
              </w:rPr>
              <w:lastRenderedPageBreak/>
              <w:t>Příjem z prodeje neinvestičního majetku a ostatní nedaňové příjmy</w:t>
            </w:r>
          </w:p>
        </w:tc>
        <w:tc>
          <w:tcPr>
            <w:tcW w:w="2162" w:type="dxa"/>
            <w:vAlign w:val="center"/>
          </w:tcPr>
          <w:p w14:paraId="27CC9DBE" w14:textId="24210120" w:rsidR="002C629D" w:rsidRPr="002C629D" w:rsidRDefault="009A0D5C" w:rsidP="002C629D">
            <w:pPr>
              <w:spacing w:before="120"/>
              <w:jc w:val="right"/>
              <w:rPr>
                <w:rFonts w:cs="Times New Roman"/>
                <w:b/>
                <w:szCs w:val="24"/>
              </w:rPr>
            </w:pPr>
            <w:r>
              <w:rPr>
                <w:rFonts w:cs="Times New Roman"/>
                <w:b/>
                <w:szCs w:val="24"/>
              </w:rPr>
              <w:t>20 500</w:t>
            </w:r>
            <w:r w:rsidR="002C629D" w:rsidRPr="002C629D">
              <w:rPr>
                <w:rFonts w:cs="Times New Roman"/>
                <w:b/>
                <w:szCs w:val="24"/>
              </w:rPr>
              <w:t xml:space="preserve"> tis. Kč</w:t>
            </w:r>
          </w:p>
        </w:tc>
      </w:tr>
      <w:tr w:rsidR="002C629D" w:rsidRPr="002C629D" w14:paraId="7B2D6BDA" w14:textId="77777777" w:rsidTr="001E02BC">
        <w:tc>
          <w:tcPr>
            <w:tcW w:w="7088" w:type="dxa"/>
          </w:tcPr>
          <w:p w14:paraId="095553DB" w14:textId="77777777" w:rsidR="002C629D" w:rsidRPr="002C629D" w:rsidRDefault="002C629D" w:rsidP="002C629D">
            <w:pPr>
              <w:rPr>
                <w:rFonts w:cs="Times New Roman"/>
                <w:szCs w:val="24"/>
              </w:rPr>
            </w:pPr>
            <w:r w:rsidRPr="002C629D">
              <w:rPr>
                <w:rFonts w:cs="Times New Roman"/>
                <w:szCs w:val="24"/>
              </w:rPr>
              <w:t xml:space="preserve">      v tom:</w:t>
            </w:r>
          </w:p>
        </w:tc>
        <w:tc>
          <w:tcPr>
            <w:tcW w:w="2162" w:type="dxa"/>
          </w:tcPr>
          <w:p w14:paraId="297EA930" w14:textId="77777777" w:rsidR="002C629D" w:rsidRPr="002C629D" w:rsidRDefault="002C629D" w:rsidP="002C629D">
            <w:pPr>
              <w:jc w:val="right"/>
              <w:rPr>
                <w:rFonts w:cs="Times New Roman"/>
                <w:b/>
                <w:szCs w:val="24"/>
              </w:rPr>
            </w:pPr>
          </w:p>
        </w:tc>
      </w:tr>
      <w:tr w:rsidR="002C629D" w:rsidRPr="002C629D" w14:paraId="5F54E56E" w14:textId="77777777" w:rsidTr="001E02BC">
        <w:tc>
          <w:tcPr>
            <w:tcW w:w="7088" w:type="dxa"/>
          </w:tcPr>
          <w:p w14:paraId="3A9A8615" w14:textId="05ECCAAF" w:rsidR="002C629D" w:rsidRPr="002C629D" w:rsidRDefault="002C629D" w:rsidP="002C629D">
            <w:pPr>
              <w:rPr>
                <w:rFonts w:cs="Times New Roman"/>
                <w:szCs w:val="24"/>
              </w:rPr>
            </w:pPr>
            <w:r w:rsidRPr="002C629D">
              <w:rPr>
                <w:rFonts w:cs="Times New Roman"/>
                <w:szCs w:val="24"/>
              </w:rPr>
              <w:t xml:space="preserve">      - </w:t>
            </w:r>
            <w:r w:rsidRPr="002C629D">
              <w:t xml:space="preserve">Ostatní </w:t>
            </w:r>
            <w:r w:rsidR="009A0D5C">
              <w:t>nedaňové</w:t>
            </w:r>
            <w:r w:rsidRPr="002C629D">
              <w:t xml:space="preserve"> příjmy</w:t>
            </w:r>
          </w:p>
        </w:tc>
        <w:tc>
          <w:tcPr>
            <w:tcW w:w="2162" w:type="dxa"/>
          </w:tcPr>
          <w:p w14:paraId="55169B69" w14:textId="3C6590A1" w:rsidR="002C629D" w:rsidRPr="002C629D" w:rsidRDefault="009A0D5C" w:rsidP="002C629D">
            <w:pPr>
              <w:jc w:val="right"/>
              <w:rPr>
                <w:rFonts w:cs="Times New Roman"/>
                <w:szCs w:val="24"/>
              </w:rPr>
            </w:pPr>
            <w:r>
              <w:rPr>
                <w:rFonts w:cs="Times New Roman"/>
                <w:szCs w:val="24"/>
              </w:rPr>
              <w:t>20 500</w:t>
            </w:r>
            <w:r w:rsidR="002C629D" w:rsidRPr="002C629D">
              <w:rPr>
                <w:rFonts w:cs="Times New Roman"/>
                <w:szCs w:val="24"/>
              </w:rPr>
              <w:t xml:space="preserve"> tis. Kč</w:t>
            </w:r>
          </w:p>
        </w:tc>
      </w:tr>
      <w:tr w:rsidR="009A0D5C" w:rsidRPr="002C629D" w14:paraId="4FB22B55" w14:textId="77777777" w:rsidTr="00E67087">
        <w:trPr>
          <w:trHeight w:val="389"/>
        </w:trPr>
        <w:tc>
          <w:tcPr>
            <w:tcW w:w="7088" w:type="dxa"/>
            <w:vAlign w:val="center"/>
          </w:tcPr>
          <w:p w14:paraId="306E5B1A" w14:textId="77777777" w:rsidR="009A0D5C" w:rsidRPr="002C629D" w:rsidRDefault="009A0D5C" w:rsidP="00E67087">
            <w:pPr>
              <w:numPr>
                <w:ilvl w:val="0"/>
                <w:numId w:val="4"/>
              </w:numPr>
              <w:tabs>
                <w:tab w:val="num" w:pos="360"/>
              </w:tabs>
              <w:spacing w:before="120" w:line="240" w:lineRule="auto"/>
              <w:ind w:left="646" w:hanging="720"/>
              <w:jc w:val="left"/>
              <w:rPr>
                <w:rFonts w:cs="Times New Roman"/>
                <w:b/>
                <w:szCs w:val="24"/>
              </w:rPr>
            </w:pPr>
            <w:r w:rsidRPr="002C629D">
              <w:rPr>
                <w:rFonts w:cs="Times New Roman"/>
                <w:b/>
                <w:szCs w:val="24"/>
              </w:rPr>
              <w:t>Přijaté sankční platby a vratky transferů</w:t>
            </w:r>
          </w:p>
        </w:tc>
        <w:tc>
          <w:tcPr>
            <w:tcW w:w="2162" w:type="dxa"/>
            <w:vAlign w:val="center"/>
          </w:tcPr>
          <w:p w14:paraId="14A9C333" w14:textId="77777777" w:rsidR="009A0D5C" w:rsidRPr="002C629D" w:rsidRDefault="009A0D5C" w:rsidP="00E67087">
            <w:pPr>
              <w:spacing w:before="120"/>
              <w:jc w:val="right"/>
              <w:rPr>
                <w:rFonts w:cs="Times New Roman"/>
                <w:b/>
                <w:szCs w:val="24"/>
              </w:rPr>
            </w:pPr>
            <w:r w:rsidRPr="002C629D">
              <w:rPr>
                <w:rFonts w:cs="Times New Roman"/>
                <w:b/>
                <w:szCs w:val="24"/>
              </w:rPr>
              <w:t>26 068 tis. Kč</w:t>
            </w:r>
          </w:p>
        </w:tc>
      </w:tr>
      <w:tr w:rsidR="009A0D5C" w:rsidRPr="002C629D" w14:paraId="5BAB3F5E" w14:textId="77777777" w:rsidTr="00E67087">
        <w:tc>
          <w:tcPr>
            <w:tcW w:w="7088" w:type="dxa"/>
          </w:tcPr>
          <w:p w14:paraId="2AC3CDB0" w14:textId="77777777" w:rsidR="009A0D5C" w:rsidRPr="002C629D" w:rsidRDefault="009A0D5C" w:rsidP="00E67087">
            <w:pPr>
              <w:rPr>
                <w:rFonts w:cs="Times New Roman"/>
                <w:szCs w:val="24"/>
              </w:rPr>
            </w:pPr>
            <w:r w:rsidRPr="002C629D">
              <w:rPr>
                <w:rFonts w:cs="Times New Roman"/>
                <w:szCs w:val="24"/>
              </w:rPr>
              <w:t xml:space="preserve">      v tom:</w:t>
            </w:r>
          </w:p>
        </w:tc>
        <w:tc>
          <w:tcPr>
            <w:tcW w:w="2162" w:type="dxa"/>
          </w:tcPr>
          <w:p w14:paraId="34B69628" w14:textId="77777777" w:rsidR="009A0D5C" w:rsidRPr="002C629D" w:rsidRDefault="009A0D5C" w:rsidP="00E67087">
            <w:pPr>
              <w:jc w:val="right"/>
              <w:rPr>
                <w:rFonts w:cs="Times New Roman"/>
                <w:b/>
                <w:szCs w:val="24"/>
              </w:rPr>
            </w:pPr>
          </w:p>
        </w:tc>
      </w:tr>
      <w:tr w:rsidR="009A0D5C" w:rsidRPr="002C629D" w14:paraId="2BC8F535" w14:textId="77777777" w:rsidTr="00E67087">
        <w:tc>
          <w:tcPr>
            <w:tcW w:w="7088" w:type="dxa"/>
          </w:tcPr>
          <w:p w14:paraId="53AAD3E3" w14:textId="77777777" w:rsidR="009A0D5C" w:rsidRPr="002C629D" w:rsidRDefault="009A0D5C" w:rsidP="00E67087">
            <w:pPr>
              <w:rPr>
                <w:rFonts w:cs="Times New Roman"/>
                <w:szCs w:val="24"/>
              </w:rPr>
            </w:pPr>
            <w:r w:rsidRPr="002C629D">
              <w:rPr>
                <w:rFonts w:cs="Times New Roman"/>
                <w:szCs w:val="24"/>
              </w:rPr>
              <w:t xml:space="preserve">      - Přijaté sankční platby</w:t>
            </w:r>
          </w:p>
        </w:tc>
        <w:tc>
          <w:tcPr>
            <w:tcW w:w="2162" w:type="dxa"/>
          </w:tcPr>
          <w:p w14:paraId="5B8F8407" w14:textId="77777777" w:rsidR="009A0D5C" w:rsidRPr="002C629D" w:rsidRDefault="009A0D5C" w:rsidP="00E67087">
            <w:pPr>
              <w:jc w:val="right"/>
              <w:rPr>
                <w:rFonts w:cs="Times New Roman"/>
                <w:szCs w:val="24"/>
              </w:rPr>
            </w:pPr>
            <w:r w:rsidRPr="002C629D">
              <w:rPr>
                <w:rFonts w:cs="Times New Roman"/>
                <w:szCs w:val="24"/>
              </w:rPr>
              <w:t>1 068 tis. Kč</w:t>
            </w:r>
          </w:p>
        </w:tc>
      </w:tr>
      <w:tr w:rsidR="009A0D5C" w:rsidRPr="002C629D" w14:paraId="5CBE6737" w14:textId="77777777" w:rsidTr="00E67087">
        <w:tc>
          <w:tcPr>
            <w:tcW w:w="7088" w:type="dxa"/>
          </w:tcPr>
          <w:p w14:paraId="1DB3C8D4" w14:textId="77777777" w:rsidR="009A0D5C" w:rsidRPr="002C629D" w:rsidRDefault="009A0D5C" w:rsidP="00E67087">
            <w:pPr>
              <w:rPr>
                <w:rFonts w:cs="Times New Roman"/>
                <w:szCs w:val="24"/>
              </w:rPr>
            </w:pPr>
            <w:r w:rsidRPr="002C629D">
              <w:rPr>
                <w:rFonts w:cs="Times New Roman"/>
                <w:szCs w:val="24"/>
              </w:rPr>
              <w:t xml:space="preserve">      - </w:t>
            </w:r>
            <w:r w:rsidRPr="002C629D">
              <w:t>Ostatní přijaté vratky transferů a podobné příjmy</w:t>
            </w:r>
          </w:p>
        </w:tc>
        <w:tc>
          <w:tcPr>
            <w:tcW w:w="2162" w:type="dxa"/>
          </w:tcPr>
          <w:p w14:paraId="152C3A1F" w14:textId="77777777" w:rsidR="009A0D5C" w:rsidRPr="002C629D" w:rsidRDefault="009A0D5C" w:rsidP="00E67087">
            <w:pPr>
              <w:jc w:val="right"/>
              <w:rPr>
                <w:rFonts w:cs="Times New Roman"/>
                <w:szCs w:val="24"/>
              </w:rPr>
            </w:pPr>
            <w:r w:rsidRPr="002C629D">
              <w:rPr>
                <w:rFonts w:cs="Times New Roman"/>
                <w:szCs w:val="24"/>
              </w:rPr>
              <w:t>25 000 tis. Kč</w:t>
            </w:r>
          </w:p>
        </w:tc>
      </w:tr>
      <w:tr w:rsidR="002C629D" w:rsidRPr="002C629D" w14:paraId="01DB2F57" w14:textId="77777777" w:rsidTr="001E02BC">
        <w:tc>
          <w:tcPr>
            <w:tcW w:w="7088" w:type="dxa"/>
          </w:tcPr>
          <w:p w14:paraId="3BB7F308" w14:textId="77777777" w:rsidR="002C629D" w:rsidRPr="002C629D" w:rsidRDefault="002C629D" w:rsidP="002C629D">
            <w:pPr>
              <w:numPr>
                <w:ilvl w:val="0"/>
                <w:numId w:val="4"/>
              </w:numPr>
              <w:tabs>
                <w:tab w:val="num" w:pos="360"/>
              </w:tabs>
              <w:spacing w:before="120" w:line="240" w:lineRule="auto"/>
              <w:ind w:left="646" w:hanging="646"/>
              <w:rPr>
                <w:rFonts w:cs="Times New Roman"/>
                <w:b/>
                <w:szCs w:val="24"/>
              </w:rPr>
            </w:pPr>
            <w:r w:rsidRPr="002C629D">
              <w:rPr>
                <w:rFonts w:cs="Times New Roman"/>
                <w:b/>
                <w:szCs w:val="24"/>
              </w:rPr>
              <w:t>Neinvestiční přijaté transfery</w:t>
            </w:r>
          </w:p>
        </w:tc>
        <w:tc>
          <w:tcPr>
            <w:tcW w:w="2162" w:type="dxa"/>
          </w:tcPr>
          <w:p w14:paraId="1AF34643" w14:textId="77B01B2C" w:rsidR="002C629D" w:rsidRPr="002C629D" w:rsidRDefault="002C629D" w:rsidP="002C629D">
            <w:pPr>
              <w:spacing w:before="120"/>
              <w:jc w:val="right"/>
              <w:rPr>
                <w:rFonts w:cs="Times New Roman"/>
                <w:b/>
                <w:szCs w:val="24"/>
              </w:rPr>
            </w:pPr>
            <w:r w:rsidRPr="002C629D">
              <w:rPr>
                <w:rFonts w:cs="Times New Roman"/>
                <w:b/>
                <w:szCs w:val="24"/>
              </w:rPr>
              <w:t xml:space="preserve"> 155 010 tis. Kč</w:t>
            </w:r>
          </w:p>
        </w:tc>
      </w:tr>
      <w:tr w:rsidR="002C629D" w:rsidRPr="002C629D" w14:paraId="1DF62F38" w14:textId="77777777" w:rsidTr="001E02BC">
        <w:tc>
          <w:tcPr>
            <w:tcW w:w="7088" w:type="dxa"/>
          </w:tcPr>
          <w:p w14:paraId="50B3DC85" w14:textId="77777777" w:rsidR="002C629D" w:rsidRPr="002C629D" w:rsidRDefault="002C629D" w:rsidP="002C629D">
            <w:pPr>
              <w:ind w:firstLine="357"/>
              <w:rPr>
                <w:rFonts w:cs="Times New Roman"/>
                <w:szCs w:val="24"/>
              </w:rPr>
            </w:pPr>
            <w:r w:rsidRPr="002C629D">
              <w:rPr>
                <w:rFonts w:cs="Times New Roman"/>
                <w:szCs w:val="24"/>
              </w:rPr>
              <w:t>v tom:</w:t>
            </w:r>
          </w:p>
        </w:tc>
        <w:tc>
          <w:tcPr>
            <w:tcW w:w="2162" w:type="dxa"/>
          </w:tcPr>
          <w:p w14:paraId="1F1FB1D6" w14:textId="77777777" w:rsidR="002C629D" w:rsidRPr="002C629D" w:rsidRDefault="002C629D" w:rsidP="002C629D">
            <w:pPr>
              <w:jc w:val="right"/>
              <w:rPr>
                <w:rFonts w:cs="Times New Roman"/>
                <w:color w:val="FF0000"/>
                <w:szCs w:val="24"/>
              </w:rPr>
            </w:pPr>
          </w:p>
        </w:tc>
      </w:tr>
      <w:tr w:rsidR="002C629D" w:rsidRPr="002C629D" w14:paraId="4ABC952A" w14:textId="77777777" w:rsidTr="001E02BC">
        <w:tc>
          <w:tcPr>
            <w:tcW w:w="7088" w:type="dxa"/>
          </w:tcPr>
          <w:p w14:paraId="087E2DF8" w14:textId="77777777" w:rsidR="002C629D" w:rsidRPr="002C629D" w:rsidRDefault="002C629D" w:rsidP="002C629D">
            <w:pPr>
              <w:numPr>
                <w:ilvl w:val="0"/>
                <w:numId w:val="5"/>
              </w:numPr>
              <w:tabs>
                <w:tab w:val="clear" w:pos="720"/>
                <w:tab w:val="num" w:pos="540"/>
              </w:tabs>
              <w:spacing w:line="240" w:lineRule="auto"/>
              <w:ind w:left="714" w:hanging="357"/>
              <w:rPr>
                <w:rFonts w:cs="Times New Roman"/>
                <w:szCs w:val="24"/>
              </w:rPr>
            </w:pPr>
            <w:r w:rsidRPr="002C629D">
              <w:rPr>
                <w:rFonts w:cs="Times New Roman"/>
                <w:szCs w:val="24"/>
              </w:rPr>
              <w:t>Neinvestiční převody z Národního fondu</w:t>
            </w:r>
          </w:p>
        </w:tc>
        <w:tc>
          <w:tcPr>
            <w:tcW w:w="2162" w:type="dxa"/>
          </w:tcPr>
          <w:p w14:paraId="6BB64687" w14:textId="675CDE84" w:rsidR="002C629D" w:rsidRPr="002C629D" w:rsidRDefault="002C629D" w:rsidP="002C629D">
            <w:pPr>
              <w:jc w:val="right"/>
              <w:rPr>
                <w:rFonts w:cs="Times New Roman"/>
                <w:color w:val="FF0000"/>
                <w:szCs w:val="24"/>
              </w:rPr>
            </w:pPr>
            <w:r w:rsidRPr="002C629D">
              <w:rPr>
                <w:rFonts w:cs="Times New Roman"/>
                <w:szCs w:val="24"/>
              </w:rPr>
              <w:t>132 434 tis. Kč</w:t>
            </w:r>
          </w:p>
        </w:tc>
      </w:tr>
      <w:tr w:rsidR="002C629D" w:rsidRPr="002C629D" w14:paraId="1D653562" w14:textId="77777777" w:rsidTr="001E02BC">
        <w:tc>
          <w:tcPr>
            <w:tcW w:w="7088" w:type="dxa"/>
          </w:tcPr>
          <w:p w14:paraId="3FB34A4B" w14:textId="77777777" w:rsidR="002C629D" w:rsidRPr="002C629D" w:rsidRDefault="002C629D" w:rsidP="002C629D">
            <w:pPr>
              <w:numPr>
                <w:ilvl w:val="0"/>
                <w:numId w:val="5"/>
              </w:numPr>
              <w:tabs>
                <w:tab w:val="clear" w:pos="720"/>
                <w:tab w:val="num" w:pos="540"/>
              </w:tabs>
              <w:spacing w:line="240" w:lineRule="auto"/>
              <w:ind w:left="714" w:hanging="357"/>
              <w:rPr>
                <w:rFonts w:cs="Times New Roman"/>
                <w:szCs w:val="24"/>
              </w:rPr>
            </w:pPr>
            <w:r w:rsidRPr="002C629D">
              <w:rPr>
                <w:rFonts w:cs="Times New Roman"/>
                <w:szCs w:val="24"/>
              </w:rPr>
              <w:t>Neinvestiční transfery přijaté od Evropské unie</w:t>
            </w:r>
          </w:p>
        </w:tc>
        <w:tc>
          <w:tcPr>
            <w:tcW w:w="2162" w:type="dxa"/>
          </w:tcPr>
          <w:p w14:paraId="5C35F783" w14:textId="1CF9C859" w:rsidR="002C629D" w:rsidRPr="002C629D" w:rsidRDefault="002C629D" w:rsidP="002C629D">
            <w:pPr>
              <w:jc w:val="right"/>
              <w:rPr>
                <w:rFonts w:cs="Times New Roman"/>
                <w:szCs w:val="24"/>
              </w:rPr>
            </w:pPr>
            <w:r w:rsidRPr="002C629D">
              <w:rPr>
                <w:rFonts w:cs="Times New Roman"/>
                <w:szCs w:val="24"/>
              </w:rPr>
              <w:t>22 576 tis. Kč</w:t>
            </w:r>
          </w:p>
        </w:tc>
      </w:tr>
      <w:tr w:rsidR="002C629D" w:rsidRPr="002C629D" w14:paraId="522AD8E9" w14:textId="77777777" w:rsidTr="001E02BC">
        <w:tc>
          <w:tcPr>
            <w:tcW w:w="7088" w:type="dxa"/>
          </w:tcPr>
          <w:p w14:paraId="4EBDAD71" w14:textId="77777777" w:rsidR="002C629D" w:rsidRPr="002C629D" w:rsidRDefault="002C629D" w:rsidP="002C629D">
            <w:pPr>
              <w:numPr>
                <w:ilvl w:val="1"/>
                <w:numId w:val="5"/>
              </w:numPr>
              <w:tabs>
                <w:tab w:val="clear" w:pos="1440"/>
                <w:tab w:val="num" w:pos="360"/>
              </w:tabs>
              <w:spacing w:before="120" w:line="240" w:lineRule="auto"/>
              <w:ind w:hanging="1440"/>
              <w:rPr>
                <w:rFonts w:cs="Times New Roman"/>
                <w:b/>
                <w:szCs w:val="24"/>
              </w:rPr>
            </w:pPr>
            <w:r w:rsidRPr="002C629D">
              <w:rPr>
                <w:rFonts w:cs="Times New Roman"/>
                <w:b/>
                <w:szCs w:val="24"/>
              </w:rPr>
              <w:t>Investiční přijaté transfery</w:t>
            </w:r>
          </w:p>
        </w:tc>
        <w:tc>
          <w:tcPr>
            <w:tcW w:w="2162" w:type="dxa"/>
          </w:tcPr>
          <w:p w14:paraId="5DB3B4C5" w14:textId="62F6F6BD" w:rsidR="002C629D" w:rsidRPr="002C629D" w:rsidRDefault="002C629D" w:rsidP="002C629D">
            <w:pPr>
              <w:spacing w:before="120"/>
              <w:jc w:val="right"/>
              <w:rPr>
                <w:rFonts w:cs="Times New Roman"/>
                <w:b/>
                <w:szCs w:val="24"/>
              </w:rPr>
            </w:pPr>
            <w:r w:rsidRPr="002C629D">
              <w:rPr>
                <w:rFonts w:cs="Times New Roman"/>
                <w:b/>
                <w:szCs w:val="24"/>
              </w:rPr>
              <w:t>37 336 376 tis. Kč</w:t>
            </w:r>
          </w:p>
        </w:tc>
      </w:tr>
      <w:tr w:rsidR="002C629D" w:rsidRPr="002C629D" w14:paraId="7AF236D2" w14:textId="77777777" w:rsidTr="001E02BC">
        <w:tc>
          <w:tcPr>
            <w:tcW w:w="7088" w:type="dxa"/>
          </w:tcPr>
          <w:p w14:paraId="50D03956" w14:textId="77777777" w:rsidR="002C629D" w:rsidRPr="002C629D" w:rsidRDefault="002C629D" w:rsidP="002C629D">
            <w:pPr>
              <w:ind w:left="357"/>
              <w:rPr>
                <w:rFonts w:cs="Times New Roman"/>
                <w:szCs w:val="24"/>
              </w:rPr>
            </w:pPr>
            <w:r w:rsidRPr="002C629D">
              <w:rPr>
                <w:rFonts w:cs="Times New Roman"/>
                <w:szCs w:val="24"/>
              </w:rPr>
              <w:t>v tom:</w:t>
            </w:r>
          </w:p>
        </w:tc>
        <w:tc>
          <w:tcPr>
            <w:tcW w:w="2162" w:type="dxa"/>
          </w:tcPr>
          <w:p w14:paraId="5F347826" w14:textId="77777777" w:rsidR="002C629D" w:rsidRPr="002C629D" w:rsidRDefault="002C629D" w:rsidP="002C629D">
            <w:pPr>
              <w:jc w:val="right"/>
              <w:rPr>
                <w:rFonts w:cs="Times New Roman"/>
                <w:szCs w:val="24"/>
              </w:rPr>
            </w:pPr>
          </w:p>
        </w:tc>
      </w:tr>
      <w:tr w:rsidR="002C629D" w:rsidRPr="002C629D" w14:paraId="5215C979" w14:textId="77777777" w:rsidTr="001E02BC">
        <w:tc>
          <w:tcPr>
            <w:tcW w:w="7088" w:type="dxa"/>
          </w:tcPr>
          <w:p w14:paraId="392E2182" w14:textId="77777777" w:rsidR="002C629D" w:rsidRPr="002C629D" w:rsidRDefault="002C629D" w:rsidP="002C629D">
            <w:pPr>
              <w:numPr>
                <w:ilvl w:val="0"/>
                <w:numId w:val="5"/>
              </w:numPr>
              <w:tabs>
                <w:tab w:val="clear" w:pos="720"/>
                <w:tab w:val="num" w:pos="540"/>
              </w:tabs>
              <w:spacing w:line="240" w:lineRule="auto"/>
              <w:ind w:left="714" w:hanging="357"/>
              <w:rPr>
                <w:rFonts w:cs="Times New Roman"/>
                <w:szCs w:val="24"/>
              </w:rPr>
            </w:pPr>
            <w:r w:rsidRPr="002C629D">
              <w:rPr>
                <w:rFonts w:cs="Times New Roman"/>
                <w:szCs w:val="24"/>
              </w:rPr>
              <w:t xml:space="preserve">Investiční převody z Národního fondu </w:t>
            </w:r>
          </w:p>
        </w:tc>
        <w:tc>
          <w:tcPr>
            <w:tcW w:w="2162" w:type="dxa"/>
          </w:tcPr>
          <w:p w14:paraId="39C83E96" w14:textId="7532FB95" w:rsidR="002C629D" w:rsidRPr="002C629D" w:rsidRDefault="002C629D" w:rsidP="002C629D">
            <w:pPr>
              <w:jc w:val="right"/>
              <w:rPr>
                <w:rFonts w:cs="Times New Roman"/>
                <w:szCs w:val="24"/>
              </w:rPr>
            </w:pPr>
            <w:r w:rsidRPr="002C629D">
              <w:rPr>
                <w:rFonts w:cs="Times New Roman"/>
                <w:szCs w:val="24"/>
              </w:rPr>
              <w:t xml:space="preserve"> 30 227 679 tis. Kč</w:t>
            </w:r>
          </w:p>
        </w:tc>
      </w:tr>
      <w:tr w:rsidR="002C629D" w:rsidRPr="002C629D" w14:paraId="0D2969A4" w14:textId="77777777" w:rsidTr="001E02BC">
        <w:tc>
          <w:tcPr>
            <w:tcW w:w="7088" w:type="dxa"/>
          </w:tcPr>
          <w:p w14:paraId="28DEFDA7" w14:textId="77777777" w:rsidR="002C629D" w:rsidRPr="002C629D" w:rsidRDefault="002C629D" w:rsidP="002C629D">
            <w:pPr>
              <w:numPr>
                <w:ilvl w:val="0"/>
                <w:numId w:val="5"/>
              </w:numPr>
              <w:tabs>
                <w:tab w:val="clear" w:pos="720"/>
                <w:tab w:val="num" w:pos="540"/>
              </w:tabs>
              <w:spacing w:line="240" w:lineRule="auto"/>
              <w:ind w:left="714" w:hanging="357"/>
              <w:rPr>
                <w:rFonts w:cs="Times New Roman"/>
                <w:szCs w:val="24"/>
              </w:rPr>
            </w:pPr>
            <w:r w:rsidRPr="002C629D">
              <w:rPr>
                <w:rFonts w:cs="Times New Roman"/>
                <w:szCs w:val="24"/>
              </w:rPr>
              <w:t>Investiční transfery přijaté od Evropské unie</w:t>
            </w:r>
          </w:p>
        </w:tc>
        <w:tc>
          <w:tcPr>
            <w:tcW w:w="2162" w:type="dxa"/>
          </w:tcPr>
          <w:p w14:paraId="0DB5A937" w14:textId="40F48546" w:rsidR="002C629D" w:rsidRPr="002C629D" w:rsidRDefault="002C629D" w:rsidP="002C629D">
            <w:pPr>
              <w:jc w:val="right"/>
              <w:rPr>
                <w:rFonts w:cs="Times New Roman"/>
                <w:szCs w:val="24"/>
              </w:rPr>
            </w:pPr>
            <w:r w:rsidRPr="002C629D">
              <w:rPr>
                <w:rFonts w:cs="Times New Roman"/>
                <w:szCs w:val="24"/>
              </w:rPr>
              <w:t>7 108 697 tis. Kč</w:t>
            </w:r>
          </w:p>
        </w:tc>
      </w:tr>
    </w:tbl>
    <w:p w14:paraId="5782D679" w14:textId="77777777" w:rsidR="00402666" w:rsidRPr="002C629D" w:rsidRDefault="00402666" w:rsidP="00402666">
      <w:pPr>
        <w:pStyle w:val="Styl1"/>
      </w:pPr>
      <w:r w:rsidRPr="002C629D">
        <w:t>Navržený souhrnný ukazatel „Příjmy celkem“ tvoří daňové a nedaňové příjmy, neinvestiční a investiční přijaté transfery dále uvedených organizačních složek státu, a to:</w:t>
      </w:r>
    </w:p>
    <w:p w14:paraId="516AB560" w14:textId="2F33E980" w:rsidR="00402666" w:rsidRPr="004E7764" w:rsidRDefault="00841077" w:rsidP="00402666">
      <w:pPr>
        <w:spacing w:before="240" w:after="120"/>
        <w:rPr>
          <w:rFonts w:cs="Times New Roman"/>
          <w:szCs w:val="24"/>
        </w:rPr>
      </w:pPr>
      <w:r w:rsidRPr="004E7764">
        <w:rPr>
          <w:rFonts w:cs="Times New Roman"/>
          <w:b/>
          <w:szCs w:val="24"/>
        </w:rPr>
        <w:t>Ú</w:t>
      </w:r>
      <w:r w:rsidR="00402666" w:rsidRPr="004E7764">
        <w:rPr>
          <w:rFonts w:cs="Times New Roman"/>
          <w:b/>
          <w:szCs w:val="24"/>
        </w:rPr>
        <w:t xml:space="preserve">střední orgán </w:t>
      </w:r>
      <w:r w:rsidR="00212084" w:rsidRPr="004E7764">
        <w:rPr>
          <w:rFonts w:cs="Times New Roman"/>
          <w:b/>
          <w:szCs w:val="24"/>
        </w:rPr>
        <w:t>MD</w:t>
      </w:r>
      <w:r w:rsidR="00212084" w:rsidRPr="004E7764">
        <w:rPr>
          <w:rFonts w:cs="Times New Roman"/>
          <w:szCs w:val="24"/>
        </w:rPr>
        <w:t xml:space="preserve"> – příjmy</w:t>
      </w:r>
      <w:r w:rsidR="00402666" w:rsidRPr="004E7764">
        <w:rPr>
          <w:rFonts w:cs="Times New Roman"/>
          <w:szCs w:val="24"/>
        </w:rPr>
        <w:t xml:space="preserve"> </w:t>
      </w:r>
      <w:r w:rsidR="00402666" w:rsidRPr="004E7764">
        <w:rPr>
          <w:rFonts w:cs="Times New Roman"/>
          <w:b/>
          <w:bCs/>
          <w:szCs w:val="24"/>
        </w:rPr>
        <w:t xml:space="preserve">celkem </w:t>
      </w:r>
      <w:r w:rsidR="004E7764" w:rsidRPr="004E7764">
        <w:rPr>
          <w:rFonts w:cs="Times New Roman"/>
          <w:b/>
          <w:bCs/>
          <w:szCs w:val="24"/>
        </w:rPr>
        <w:t>38 595 444</w:t>
      </w:r>
      <w:r w:rsidR="00402666" w:rsidRPr="004E7764">
        <w:rPr>
          <w:rFonts w:cs="Times New Roman"/>
          <w:b/>
          <w:bCs/>
          <w:szCs w:val="24"/>
        </w:rPr>
        <w:t xml:space="preserve"> tis. Kč,</w:t>
      </w:r>
      <w:r w:rsidR="00402666" w:rsidRPr="004E7764">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FA6A85" w:rsidRPr="004E7764" w14:paraId="451DD869" w14:textId="77777777" w:rsidTr="001E02BC">
        <w:tc>
          <w:tcPr>
            <w:tcW w:w="7270" w:type="dxa"/>
          </w:tcPr>
          <w:p w14:paraId="283E2AB7" w14:textId="77777777" w:rsidR="00FA6A85" w:rsidRPr="004E7764" w:rsidRDefault="00FA6A85" w:rsidP="001E02BC">
            <w:pPr>
              <w:rPr>
                <w:rFonts w:cs="Times New Roman"/>
                <w:szCs w:val="24"/>
              </w:rPr>
            </w:pPr>
            <w:r w:rsidRPr="004E7764">
              <w:rPr>
                <w:rFonts w:cs="Times New Roman"/>
                <w:szCs w:val="24"/>
              </w:rPr>
              <w:t xml:space="preserve">      - Správní poplatky</w:t>
            </w:r>
          </w:p>
        </w:tc>
        <w:tc>
          <w:tcPr>
            <w:tcW w:w="1980" w:type="dxa"/>
          </w:tcPr>
          <w:p w14:paraId="73F97C2E" w14:textId="69E14B19" w:rsidR="00FA6A85" w:rsidRPr="004E7764" w:rsidRDefault="004E7764" w:rsidP="001E02BC">
            <w:pPr>
              <w:pStyle w:val="xl54"/>
              <w:pBdr>
                <w:left w:val="none" w:sz="0" w:space="0" w:color="auto"/>
                <w:right w:val="none" w:sz="0" w:space="0" w:color="auto"/>
              </w:pBdr>
              <w:spacing w:before="0" w:beforeAutospacing="0" w:after="0" w:afterAutospacing="0"/>
            </w:pPr>
            <w:r w:rsidRPr="004E7764">
              <w:t>198 800</w:t>
            </w:r>
            <w:r w:rsidR="00FA6A85" w:rsidRPr="004E7764">
              <w:t xml:space="preserve"> tis. Kč</w:t>
            </w:r>
          </w:p>
        </w:tc>
      </w:tr>
      <w:tr w:rsidR="00FA6A85" w:rsidRPr="004E7764" w14:paraId="298E3C97" w14:textId="77777777" w:rsidTr="001E02BC">
        <w:tc>
          <w:tcPr>
            <w:tcW w:w="7270" w:type="dxa"/>
          </w:tcPr>
          <w:p w14:paraId="24810A14" w14:textId="77777777" w:rsidR="00FA6A85" w:rsidRPr="004E7764" w:rsidRDefault="00FA6A85" w:rsidP="001E02BC">
            <w:pPr>
              <w:rPr>
                <w:rFonts w:cs="Times New Roman"/>
                <w:szCs w:val="24"/>
              </w:rPr>
            </w:pPr>
            <w:r w:rsidRPr="004E7764">
              <w:rPr>
                <w:rFonts w:cs="Times New Roman"/>
                <w:szCs w:val="24"/>
              </w:rPr>
              <w:t xml:space="preserve">      - Příjmy z pronájmu majetku</w:t>
            </w:r>
          </w:p>
        </w:tc>
        <w:tc>
          <w:tcPr>
            <w:tcW w:w="1980" w:type="dxa"/>
          </w:tcPr>
          <w:p w14:paraId="056C5F3C" w14:textId="77777777" w:rsidR="00FA6A85" w:rsidRPr="004E7764" w:rsidRDefault="00FA6A85" w:rsidP="001E02BC">
            <w:pPr>
              <w:jc w:val="right"/>
              <w:rPr>
                <w:rFonts w:cs="Times New Roman"/>
                <w:szCs w:val="24"/>
              </w:rPr>
            </w:pPr>
            <w:r w:rsidRPr="004E7764">
              <w:rPr>
                <w:rFonts w:cs="Times New Roman"/>
                <w:szCs w:val="24"/>
              </w:rPr>
              <w:t>28 232 tis. Kč</w:t>
            </w:r>
          </w:p>
        </w:tc>
      </w:tr>
      <w:tr w:rsidR="00FA6A85" w:rsidRPr="004E7764" w14:paraId="0A93B77A" w14:textId="77777777" w:rsidTr="001E02BC">
        <w:tc>
          <w:tcPr>
            <w:tcW w:w="7270" w:type="dxa"/>
          </w:tcPr>
          <w:p w14:paraId="50B744BF" w14:textId="77777777" w:rsidR="00FA6A85" w:rsidRPr="004E7764" w:rsidRDefault="00FA6A85" w:rsidP="00FA6A85">
            <w:pPr>
              <w:pStyle w:val="Odstavecseseznamem"/>
              <w:numPr>
                <w:ilvl w:val="0"/>
                <w:numId w:val="5"/>
              </w:numPr>
              <w:tabs>
                <w:tab w:val="clear" w:pos="720"/>
                <w:tab w:val="num" w:pos="2059"/>
              </w:tabs>
              <w:ind w:left="476" w:hanging="113"/>
            </w:pPr>
            <w:r w:rsidRPr="004E7764">
              <w:t xml:space="preserve"> Přijaté sankční platby</w:t>
            </w:r>
          </w:p>
        </w:tc>
        <w:tc>
          <w:tcPr>
            <w:tcW w:w="1980" w:type="dxa"/>
          </w:tcPr>
          <w:p w14:paraId="21D52FB3" w14:textId="77777777" w:rsidR="00FA6A85" w:rsidRPr="004E7764" w:rsidRDefault="00FA6A85" w:rsidP="001E02BC">
            <w:pPr>
              <w:jc w:val="right"/>
              <w:rPr>
                <w:rFonts w:cs="Times New Roman"/>
                <w:szCs w:val="24"/>
              </w:rPr>
            </w:pPr>
            <w:r w:rsidRPr="004E7764">
              <w:rPr>
                <w:rFonts w:cs="Times New Roman"/>
                <w:szCs w:val="24"/>
              </w:rPr>
              <w:t>326 tis. Kč</w:t>
            </w:r>
          </w:p>
        </w:tc>
      </w:tr>
      <w:tr w:rsidR="004E7764" w:rsidRPr="004E7764" w14:paraId="172FC956" w14:textId="77777777" w:rsidTr="001E02BC">
        <w:tc>
          <w:tcPr>
            <w:tcW w:w="7270" w:type="dxa"/>
          </w:tcPr>
          <w:p w14:paraId="209F9212" w14:textId="3EFE9E46" w:rsidR="004E7764" w:rsidRPr="004E7764" w:rsidRDefault="004E7764" w:rsidP="004E7764">
            <w:pPr>
              <w:pStyle w:val="Odstavecseseznamem"/>
              <w:numPr>
                <w:ilvl w:val="0"/>
                <w:numId w:val="5"/>
              </w:numPr>
              <w:tabs>
                <w:tab w:val="clear" w:pos="720"/>
                <w:tab w:val="num" w:pos="2059"/>
              </w:tabs>
              <w:ind w:left="476" w:hanging="113"/>
            </w:pPr>
            <w:r w:rsidRPr="004E7764">
              <w:t xml:space="preserve"> </w:t>
            </w:r>
            <w:r w:rsidR="00983317" w:rsidRPr="00394568">
              <w:t>Odvody přebytků organizací s přímým vztahem</w:t>
            </w:r>
            <w:r w:rsidR="00983317" w:rsidRPr="004E7764">
              <w:rPr>
                <w:highlight w:val="green"/>
              </w:rPr>
              <w:t xml:space="preserve"> </w:t>
            </w:r>
          </w:p>
        </w:tc>
        <w:tc>
          <w:tcPr>
            <w:tcW w:w="1980" w:type="dxa"/>
          </w:tcPr>
          <w:p w14:paraId="24B38CDD" w14:textId="267940BE" w:rsidR="004E7764" w:rsidRPr="004E7764" w:rsidRDefault="004E7764" w:rsidP="001E02BC">
            <w:pPr>
              <w:jc w:val="right"/>
              <w:rPr>
                <w:rFonts w:cs="Times New Roman"/>
                <w:szCs w:val="24"/>
              </w:rPr>
            </w:pPr>
            <w:r w:rsidRPr="004E7764">
              <w:rPr>
                <w:rFonts w:cs="Times New Roman"/>
                <w:szCs w:val="24"/>
              </w:rPr>
              <w:t>800 000 tis. Kč</w:t>
            </w:r>
          </w:p>
        </w:tc>
      </w:tr>
      <w:tr w:rsidR="004E7764" w:rsidRPr="004E7764" w14:paraId="5336A26B" w14:textId="77777777" w:rsidTr="001E02BC">
        <w:tc>
          <w:tcPr>
            <w:tcW w:w="7270" w:type="dxa"/>
          </w:tcPr>
          <w:p w14:paraId="00078814" w14:textId="77777777" w:rsidR="004E7764" w:rsidRPr="004E7764" w:rsidRDefault="004E7764" w:rsidP="004E7764">
            <w:pPr>
              <w:pStyle w:val="Odstavecseseznamem"/>
              <w:numPr>
                <w:ilvl w:val="0"/>
                <w:numId w:val="5"/>
              </w:numPr>
              <w:tabs>
                <w:tab w:val="clear" w:pos="720"/>
                <w:tab w:val="num" w:pos="2059"/>
              </w:tabs>
              <w:ind w:left="476" w:hanging="113"/>
            </w:pPr>
            <w:r w:rsidRPr="004E7764">
              <w:t xml:space="preserve"> Příjmy z odvodů příspěvkových organizací</w:t>
            </w:r>
          </w:p>
          <w:p w14:paraId="6241766B" w14:textId="77777777" w:rsidR="004E7764" w:rsidRPr="004E7764" w:rsidRDefault="004E7764" w:rsidP="004E7764">
            <w:pPr>
              <w:pStyle w:val="Odstavecseseznamem"/>
              <w:numPr>
                <w:ilvl w:val="0"/>
                <w:numId w:val="5"/>
              </w:numPr>
              <w:tabs>
                <w:tab w:val="clear" w:pos="720"/>
                <w:tab w:val="num" w:pos="2059"/>
              </w:tabs>
              <w:ind w:left="476" w:hanging="113"/>
            </w:pPr>
            <w:r w:rsidRPr="004E7764">
              <w:t xml:space="preserve"> Ostatní přijaté vratky transferů a podobné příjmy</w:t>
            </w:r>
          </w:p>
          <w:p w14:paraId="68C7267E" w14:textId="3CF3FCB4" w:rsidR="004E7764" w:rsidRPr="004E7764" w:rsidRDefault="004E7764" w:rsidP="004E7764">
            <w:pPr>
              <w:pStyle w:val="Odstavecseseznamem"/>
              <w:numPr>
                <w:ilvl w:val="0"/>
                <w:numId w:val="5"/>
              </w:numPr>
              <w:tabs>
                <w:tab w:val="clear" w:pos="720"/>
                <w:tab w:val="num" w:pos="2059"/>
              </w:tabs>
              <w:ind w:left="476" w:hanging="113"/>
            </w:pPr>
            <w:r w:rsidRPr="004E7764">
              <w:t xml:space="preserve"> Ostatní nedaňové příjmy jinde nezařazené </w:t>
            </w:r>
          </w:p>
        </w:tc>
        <w:tc>
          <w:tcPr>
            <w:tcW w:w="1980" w:type="dxa"/>
          </w:tcPr>
          <w:p w14:paraId="2A3B3118" w14:textId="77777777" w:rsidR="004E7764" w:rsidRPr="004E7764" w:rsidRDefault="004E7764" w:rsidP="001E02BC">
            <w:pPr>
              <w:jc w:val="right"/>
              <w:rPr>
                <w:rFonts w:cs="Times New Roman"/>
                <w:szCs w:val="24"/>
              </w:rPr>
            </w:pPr>
            <w:r w:rsidRPr="004E7764">
              <w:rPr>
                <w:rFonts w:cs="Times New Roman"/>
                <w:szCs w:val="24"/>
              </w:rPr>
              <w:t>32 000 tis. Kč</w:t>
            </w:r>
          </w:p>
          <w:p w14:paraId="1062D794" w14:textId="77777777" w:rsidR="004E7764" w:rsidRPr="004E7764" w:rsidRDefault="004E7764" w:rsidP="001E02BC">
            <w:pPr>
              <w:jc w:val="right"/>
              <w:rPr>
                <w:rFonts w:cs="Times New Roman"/>
                <w:szCs w:val="24"/>
              </w:rPr>
            </w:pPr>
            <w:r w:rsidRPr="004E7764">
              <w:rPr>
                <w:rFonts w:cs="Times New Roman"/>
                <w:szCs w:val="24"/>
              </w:rPr>
              <w:t>25 000 tis. Kč</w:t>
            </w:r>
          </w:p>
          <w:p w14:paraId="3B1C996C" w14:textId="74756C23" w:rsidR="004E7764" w:rsidRPr="004E7764" w:rsidRDefault="004E7764" w:rsidP="001E02BC">
            <w:pPr>
              <w:jc w:val="right"/>
              <w:rPr>
                <w:rFonts w:cs="Times New Roman"/>
                <w:szCs w:val="24"/>
              </w:rPr>
            </w:pPr>
            <w:r w:rsidRPr="004E7764">
              <w:rPr>
                <w:rFonts w:cs="Times New Roman"/>
                <w:szCs w:val="24"/>
              </w:rPr>
              <w:t>20 500 tis. Kč</w:t>
            </w:r>
          </w:p>
        </w:tc>
      </w:tr>
      <w:tr w:rsidR="00FA6A85" w:rsidRPr="004E7764" w14:paraId="138C543B" w14:textId="77777777" w:rsidTr="001E02BC">
        <w:tc>
          <w:tcPr>
            <w:tcW w:w="7270" w:type="dxa"/>
          </w:tcPr>
          <w:p w14:paraId="5FF287CE" w14:textId="77777777" w:rsidR="00FA6A85" w:rsidRPr="004E7764" w:rsidRDefault="00FA6A85" w:rsidP="00FA6A85">
            <w:pPr>
              <w:pStyle w:val="Odstavecseseznamem"/>
              <w:numPr>
                <w:ilvl w:val="0"/>
                <w:numId w:val="5"/>
              </w:numPr>
              <w:tabs>
                <w:tab w:val="clear" w:pos="720"/>
                <w:tab w:val="num" w:pos="2059"/>
              </w:tabs>
              <w:ind w:left="482" w:hanging="113"/>
            </w:pPr>
            <w:r w:rsidRPr="004E7764">
              <w:t xml:space="preserve"> Neinvestiční převody z Národního fondu</w:t>
            </w:r>
          </w:p>
        </w:tc>
        <w:tc>
          <w:tcPr>
            <w:tcW w:w="1980" w:type="dxa"/>
          </w:tcPr>
          <w:p w14:paraId="7650C46C" w14:textId="4A5CF2EA" w:rsidR="00FA6A85" w:rsidRPr="004E7764" w:rsidRDefault="004E7764" w:rsidP="001E02BC">
            <w:pPr>
              <w:jc w:val="right"/>
              <w:rPr>
                <w:rFonts w:cs="Times New Roman"/>
                <w:szCs w:val="24"/>
              </w:rPr>
            </w:pPr>
            <w:r w:rsidRPr="004E7764">
              <w:rPr>
                <w:rFonts w:cs="Times New Roman"/>
                <w:szCs w:val="24"/>
              </w:rPr>
              <w:t>132 434</w:t>
            </w:r>
            <w:r w:rsidR="00FA6A85" w:rsidRPr="004E7764">
              <w:rPr>
                <w:rFonts w:cs="Times New Roman"/>
                <w:szCs w:val="24"/>
              </w:rPr>
              <w:t xml:space="preserve"> tis. Kč</w:t>
            </w:r>
          </w:p>
        </w:tc>
      </w:tr>
      <w:tr w:rsidR="00FA6A85" w:rsidRPr="004E7764" w14:paraId="7D67139F" w14:textId="77777777" w:rsidTr="001E02BC">
        <w:tc>
          <w:tcPr>
            <w:tcW w:w="7270" w:type="dxa"/>
          </w:tcPr>
          <w:p w14:paraId="09880B9E" w14:textId="77777777" w:rsidR="00FA6A85" w:rsidRPr="004E7764" w:rsidRDefault="00FA6A85" w:rsidP="00FA6A85">
            <w:pPr>
              <w:numPr>
                <w:ilvl w:val="0"/>
                <w:numId w:val="5"/>
              </w:numPr>
              <w:tabs>
                <w:tab w:val="clear" w:pos="720"/>
                <w:tab w:val="num" w:pos="540"/>
              </w:tabs>
              <w:spacing w:line="240" w:lineRule="auto"/>
              <w:rPr>
                <w:rFonts w:cs="Times New Roman"/>
                <w:color w:val="FF0000"/>
                <w:szCs w:val="24"/>
              </w:rPr>
            </w:pPr>
            <w:r w:rsidRPr="004E7764">
              <w:rPr>
                <w:rFonts w:cs="Times New Roman"/>
                <w:szCs w:val="24"/>
              </w:rPr>
              <w:t>Neinvestiční transfery přijaté od Evropské unie</w:t>
            </w:r>
          </w:p>
        </w:tc>
        <w:tc>
          <w:tcPr>
            <w:tcW w:w="1980" w:type="dxa"/>
          </w:tcPr>
          <w:p w14:paraId="43325802" w14:textId="2A8C9FE5" w:rsidR="00FA6A85" w:rsidRPr="004E7764" w:rsidRDefault="004E7764" w:rsidP="001E02BC">
            <w:pPr>
              <w:jc w:val="right"/>
              <w:rPr>
                <w:rFonts w:cs="Times New Roman"/>
                <w:color w:val="FF0000"/>
                <w:szCs w:val="24"/>
              </w:rPr>
            </w:pPr>
            <w:r w:rsidRPr="004E7764">
              <w:rPr>
                <w:rFonts w:cs="Times New Roman"/>
                <w:szCs w:val="24"/>
              </w:rPr>
              <w:t>22 576</w:t>
            </w:r>
            <w:r w:rsidR="00FA6A85" w:rsidRPr="004E7764">
              <w:rPr>
                <w:rFonts w:cs="Times New Roman"/>
                <w:szCs w:val="24"/>
              </w:rPr>
              <w:t xml:space="preserve"> tis. Kč</w:t>
            </w:r>
          </w:p>
        </w:tc>
      </w:tr>
      <w:tr w:rsidR="00FA6A85" w:rsidRPr="004E7764" w14:paraId="750F5EE6" w14:textId="77777777" w:rsidTr="001E02BC">
        <w:tc>
          <w:tcPr>
            <w:tcW w:w="7270" w:type="dxa"/>
          </w:tcPr>
          <w:p w14:paraId="7668C53A" w14:textId="77777777" w:rsidR="00FA6A85" w:rsidRPr="004E7764" w:rsidRDefault="00FA6A85" w:rsidP="00FA6A85">
            <w:pPr>
              <w:numPr>
                <w:ilvl w:val="0"/>
                <w:numId w:val="5"/>
              </w:numPr>
              <w:tabs>
                <w:tab w:val="clear" w:pos="720"/>
                <w:tab w:val="num" w:pos="540"/>
              </w:tabs>
              <w:spacing w:line="240" w:lineRule="auto"/>
              <w:rPr>
                <w:rFonts w:cs="Times New Roman"/>
                <w:szCs w:val="24"/>
              </w:rPr>
            </w:pPr>
            <w:r w:rsidRPr="004E7764">
              <w:rPr>
                <w:rFonts w:cs="Times New Roman"/>
                <w:szCs w:val="24"/>
              </w:rPr>
              <w:t xml:space="preserve">Investiční převody z Národního fondu </w:t>
            </w:r>
          </w:p>
        </w:tc>
        <w:tc>
          <w:tcPr>
            <w:tcW w:w="1980" w:type="dxa"/>
          </w:tcPr>
          <w:p w14:paraId="2C6335B0" w14:textId="6C52AB0E" w:rsidR="00FA6A85" w:rsidRPr="004E7764" w:rsidRDefault="004E7764" w:rsidP="001E02BC">
            <w:pPr>
              <w:jc w:val="right"/>
              <w:rPr>
                <w:rFonts w:cs="Times New Roman"/>
                <w:szCs w:val="24"/>
              </w:rPr>
            </w:pPr>
            <w:r w:rsidRPr="004E7764">
              <w:rPr>
                <w:rFonts w:cs="Times New Roman"/>
                <w:szCs w:val="24"/>
              </w:rPr>
              <w:t xml:space="preserve">30 227 679 </w:t>
            </w:r>
            <w:r w:rsidR="00FA6A85" w:rsidRPr="004E7764">
              <w:rPr>
                <w:rFonts w:cs="Times New Roman"/>
                <w:szCs w:val="24"/>
              </w:rPr>
              <w:t>tis. Kč</w:t>
            </w:r>
          </w:p>
        </w:tc>
      </w:tr>
      <w:tr w:rsidR="00FA6A85" w:rsidRPr="00D070B8" w14:paraId="728C4DCC" w14:textId="77777777" w:rsidTr="001E02BC">
        <w:tc>
          <w:tcPr>
            <w:tcW w:w="7270" w:type="dxa"/>
          </w:tcPr>
          <w:p w14:paraId="69B8A612" w14:textId="77777777" w:rsidR="00FA6A85" w:rsidRPr="004E7764" w:rsidRDefault="00FA6A85" w:rsidP="00FA6A85">
            <w:pPr>
              <w:numPr>
                <w:ilvl w:val="0"/>
                <w:numId w:val="5"/>
              </w:numPr>
              <w:tabs>
                <w:tab w:val="clear" w:pos="720"/>
                <w:tab w:val="num" w:pos="540"/>
              </w:tabs>
              <w:spacing w:line="240" w:lineRule="auto"/>
              <w:ind w:left="714" w:hanging="357"/>
              <w:rPr>
                <w:rFonts w:cs="Times New Roman"/>
                <w:szCs w:val="24"/>
              </w:rPr>
            </w:pPr>
            <w:r w:rsidRPr="004E7764">
              <w:rPr>
                <w:rFonts w:cs="Times New Roman"/>
                <w:szCs w:val="24"/>
              </w:rPr>
              <w:t>Investiční transfery přijaté od Evropské unie</w:t>
            </w:r>
          </w:p>
        </w:tc>
        <w:tc>
          <w:tcPr>
            <w:tcW w:w="1980" w:type="dxa"/>
          </w:tcPr>
          <w:p w14:paraId="6BC7FEF1" w14:textId="1DA0EAF3" w:rsidR="00FA6A85" w:rsidRPr="004E7764" w:rsidRDefault="00E46834" w:rsidP="001E02BC">
            <w:pPr>
              <w:jc w:val="right"/>
              <w:rPr>
                <w:rFonts w:cs="Times New Roman"/>
                <w:szCs w:val="24"/>
              </w:rPr>
            </w:pPr>
            <w:r w:rsidRPr="004E7764">
              <w:rPr>
                <w:rFonts w:cs="Times New Roman"/>
                <w:szCs w:val="24"/>
              </w:rPr>
              <w:t>7</w:t>
            </w:r>
            <w:r w:rsidR="004E7764" w:rsidRPr="004E7764">
              <w:rPr>
                <w:rFonts w:cs="Times New Roman"/>
                <w:szCs w:val="24"/>
              </w:rPr>
              <w:t> 108 697</w:t>
            </w:r>
            <w:r w:rsidR="00FA6A85" w:rsidRPr="004E7764">
              <w:rPr>
                <w:rFonts w:cs="Times New Roman"/>
                <w:szCs w:val="24"/>
              </w:rPr>
              <w:t xml:space="preserve"> tis. Kč</w:t>
            </w:r>
          </w:p>
        </w:tc>
      </w:tr>
    </w:tbl>
    <w:p w14:paraId="1641410F" w14:textId="51D7FEC1" w:rsidR="00402666" w:rsidRPr="004E7764" w:rsidRDefault="00402666" w:rsidP="00402666">
      <w:pPr>
        <w:spacing w:before="240" w:after="120"/>
        <w:rPr>
          <w:rFonts w:cs="Times New Roman"/>
          <w:szCs w:val="24"/>
        </w:rPr>
      </w:pPr>
      <w:r w:rsidRPr="004E7764">
        <w:rPr>
          <w:rFonts w:cs="Times New Roman"/>
          <w:b/>
          <w:szCs w:val="24"/>
        </w:rPr>
        <w:t>Úřad pro civilní letectví</w:t>
      </w:r>
      <w:r w:rsidRPr="004E7764">
        <w:rPr>
          <w:rFonts w:cs="Times New Roman"/>
          <w:szCs w:val="24"/>
        </w:rPr>
        <w:t xml:space="preserve"> – příjmy </w:t>
      </w:r>
      <w:r w:rsidR="00E744DD" w:rsidRPr="004E7764">
        <w:rPr>
          <w:rFonts w:cs="Times New Roman"/>
          <w:b/>
          <w:bCs/>
          <w:szCs w:val="24"/>
        </w:rPr>
        <w:t xml:space="preserve">celkem </w:t>
      </w:r>
      <w:r w:rsidR="005A2601" w:rsidRPr="004E7764">
        <w:rPr>
          <w:rFonts w:cs="Times New Roman"/>
          <w:b/>
          <w:bCs/>
          <w:szCs w:val="24"/>
        </w:rPr>
        <w:t>59 000</w:t>
      </w:r>
      <w:r w:rsidRPr="004E7764">
        <w:rPr>
          <w:rFonts w:cs="Times New Roman"/>
          <w:b/>
          <w:bCs/>
          <w:szCs w:val="24"/>
        </w:rPr>
        <w:t xml:space="preserve"> tis. Kč,</w:t>
      </w:r>
      <w:r w:rsidRPr="004E7764">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629"/>
        <w:gridCol w:w="1621"/>
      </w:tblGrid>
      <w:tr w:rsidR="00B22498" w:rsidRPr="004E7764" w14:paraId="0B41E0A9" w14:textId="77777777" w:rsidTr="001E02BC">
        <w:tc>
          <w:tcPr>
            <w:tcW w:w="7629" w:type="dxa"/>
          </w:tcPr>
          <w:p w14:paraId="7B1DE15D" w14:textId="77777777" w:rsidR="00B22498" w:rsidRPr="004E7764" w:rsidRDefault="00B22498" w:rsidP="001E02BC">
            <w:pPr>
              <w:rPr>
                <w:rFonts w:cs="Times New Roman"/>
                <w:szCs w:val="24"/>
              </w:rPr>
            </w:pPr>
            <w:r w:rsidRPr="004E7764">
              <w:rPr>
                <w:rFonts w:cs="Times New Roman"/>
                <w:szCs w:val="24"/>
              </w:rPr>
              <w:t xml:space="preserve">      - Správní poplatky</w:t>
            </w:r>
          </w:p>
        </w:tc>
        <w:tc>
          <w:tcPr>
            <w:tcW w:w="1621" w:type="dxa"/>
          </w:tcPr>
          <w:p w14:paraId="445BA7D1" w14:textId="77777777" w:rsidR="00B22498" w:rsidRPr="004E7764" w:rsidRDefault="00B22498" w:rsidP="001E02BC">
            <w:pPr>
              <w:jc w:val="right"/>
              <w:rPr>
                <w:rFonts w:cs="Times New Roman"/>
                <w:szCs w:val="24"/>
              </w:rPr>
            </w:pPr>
            <w:r w:rsidRPr="004E7764">
              <w:rPr>
                <w:rFonts w:cs="Times New Roman"/>
                <w:szCs w:val="24"/>
              </w:rPr>
              <w:t>13 000 tis. Kč</w:t>
            </w:r>
          </w:p>
        </w:tc>
      </w:tr>
      <w:tr w:rsidR="00B22498" w:rsidRPr="004E7764" w14:paraId="6524E844" w14:textId="77777777" w:rsidTr="001E02BC">
        <w:tc>
          <w:tcPr>
            <w:tcW w:w="7629" w:type="dxa"/>
          </w:tcPr>
          <w:p w14:paraId="79545DCD" w14:textId="77777777" w:rsidR="00B22498" w:rsidRPr="004E7764" w:rsidRDefault="00B22498" w:rsidP="001E02BC">
            <w:pPr>
              <w:rPr>
                <w:rFonts w:cs="Times New Roman"/>
                <w:szCs w:val="24"/>
              </w:rPr>
            </w:pPr>
            <w:r w:rsidRPr="004E7764">
              <w:rPr>
                <w:rFonts w:cs="Times New Roman"/>
                <w:szCs w:val="24"/>
              </w:rPr>
              <w:t xml:space="preserve">      - Příjmy z vlastní činnosti             </w:t>
            </w:r>
          </w:p>
        </w:tc>
        <w:tc>
          <w:tcPr>
            <w:tcW w:w="1621" w:type="dxa"/>
          </w:tcPr>
          <w:p w14:paraId="349F7A55" w14:textId="77777777" w:rsidR="00B22498" w:rsidRPr="004E7764" w:rsidRDefault="00B22498" w:rsidP="001E02BC">
            <w:pPr>
              <w:jc w:val="right"/>
              <w:rPr>
                <w:rFonts w:cs="Times New Roman"/>
                <w:szCs w:val="24"/>
              </w:rPr>
            </w:pPr>
            <w:r w:rsidRPr="004E7764">
              <w:rPr>
                <w:rFonts w:cs="Times New Roman"/>
                <w:szCs w:val="24"/>
              </w:rPr>
              <w:t>45 600 tis. Kč</w:t>
            </w:r>
          </w:p>
        </w:tc>
      </w:tr>
      <w:tr w:rsidR="00B22498" w:rsidRPr="00D070B8" w14:paraId="0193A5FB" w14:textId="77777777" w:rsidTr="001E02BC">
        <w:tc>
          <w:tcPr>
            <w:tcW w:w="7629" w:type="dxa"/>
          </w:tcPr>
          <w:p w14:paraId="53EF6D4A" w14:textId="77777777" w:rsidR="00B22498" w:rsidRPr="004E7764" w:rsidRDefault="00B22498" w:rsidP="001E02BC">
            <w:pPr>
              <w:rPr>
                <w:rFonts w:cs="Times New Roman"/>
                <w:szCs w:val="24"/>
              </w:rPr>
            </w:pPr>
            <w:r w:rsidRPr="004E7764">
              <w:rPr>
                <w:rFonts w:cs="Times New Roman"/>
                <w:szCs w:val="24"/>
              </w:rPr>
              <w:t xml:space="preserve">      - Přijaté sankční platby</w:t>
            </w:r>
          </w:p>
        </w:tc>
        <w:tc>
          <w:tcPr>
            <w:tcW w:w="1621" w:type="dxa"/>
          </w:tcPr>
          <w:p w14:paraId="2340A200" w14:textId="77777777" w:rsidR="00B22498" w:rsidRPr="004E7764" w:rsidRDefault="00B22498" w:rsidP="001E02BC">
            <w:pPr>
              <w:jc w:val="right"/>
              <w:rPr>
                <w:rFonts w:cs="Times New Roman"/>
                <w:szCs w:val="24"/>
              </w:rPr>
            </w:pPr>
            <w:r w:rsidRPr="004E7764">
              <w:rPr>
                <w:rFonts w:cs="Times New Roman"/>
                <w:szCs w:val="24"/>
              </w:rPr>
              <w:t>400 tis. Kč</w:t>
            </w:r>
          </w:p>
        </w:tc>
      </w:tr>
    </w:tbl>
    <w:p w14:paraId="23A6A7C8" w14:textId="0DE5653D" w:rsidR="00402666" w:rsidRPr="004E7764" w:rsidRDefault="00402666" w:rsidP="00402666">
      <w:pPr>
        <w:spacing w:before="240" w:after="120"/>
        <w:rPr>
          <w:rFonts w:cs="Times New Roman"/>
          <w:szCs w:val="24"/>
        </w:rPr>
      </w:pPr>
      <w:r w:rsidRPr="004E7764">
        <w:rPr>
          <w:rFonts w:cs="Times New Roman"/>
          <w:b/>
          <w:szCs w:val="24"/>
        </w:rPr>
        <w:t xml:space="preserve">Státní plavební </w:t>
      </w:r>
      <w:r w:rsidR="00212084" w:rsidRPr="004E7764">
        <w:rPr>
          <w:rFonts w:cs="Times New Roman"/>
          <w:b/>
          <w:szCs w:val="24"/>
        </w:rPr>
        <w:t>správa</w:t>
      </w:r>
      <w:r w:rsidR="00212084" w:rsidRPr="004E7764">
        <w:rPr>
          <w:rFonts w:cs="Times New Roman"/>
          <w:szCs w:val="24"/>
        </w:rPr>
        <w:t xml:space="preserve"> – příjmy</w:t>
      </w:r>
      <w:r w:rsidRPr="004E7764">
        <w:rPr>
          <w:rFonts w:cs="Times New Roman"/>
          <w:szCs w:val="24"/>
        </w:rPr>
        <w:t xml:space="preserve"> </w:t>
      </w:r>
      <w:r w:rsidRPr="004E7764">
        <w:rPr>
          <w:rFonts w:cs="Times New Roman"/>
          <w:b/>
          <w:bCs/>
          <w:szCs w:val="24"/>
        </w:rPr>
        <w:t xml:space="preserve">celkem 6 300 tis. Kč, </w:t>
      </w:r>
      <w:r w:rsidRPr="004E7764">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AA1D3E" w:rsidRPr="004E7764" w14:paraId="14758153" w14:textId="77777777" w:rsidTr="00316A6C">
        <w:tc>
          <w:tcPr>
            <w:tcW w:w="7270" w:type="dxa"/>
          </w:tcPr>
          <w:p w14:paraId="4B7F7B9F" w14:textId="3BD9193C" w:rsidR="00402666" w:rsidRPr="004E7764" w:rsidRDefault="00D41D85" w:rsidP="00402666">
            <w:pPr>
              <w:pStyle w:val="Odstavecseseznamem"/>
              <w:numPr>
                <w:ilvl w:val="0"/>
                <w:numId w:val="5"/>
              </w:numPr>
              <w:tabs>
                <w:tab w:val="clear" w:pos="720"/>
                <w:tab w:val="num" w:pos="334"/>
              </w:tabs>
              <w:ind w:left="489" w:hanging="244"/>
            </w:pPr>
            <w:r w:rsidRPr="004E7764">
              <w:t xml:space="preserve"> </w:t>
            </w:r>
            <w:r w:rsidR="00402666" w:rsidRPr="004E7764">
              <w:t>Správní poplatky</w:t>
            </w:r>
          </w:p>
        </w:tc>
        <w:tc>
          <w:tcPr>
            <w:tcW w:w="1980" w:type="dxa"/>
          </w:tcPr>
          <w:p w14:paraId="74B6660A" w14:textId="77777777" w:rsidR="00402666" w:rsidRPr="004E7764" w:rsidRDefault="00402666" w:rsidP="00316A6C">
            <w:pPr>
              <w:jc w:val="right"/>
              <w:rPr>
                <w:rFonts w:cs="Times New Roman"/>
                <w:szCs w:val="24"/>
              </w:rPr>
            </w:pPr>
            <w:r w:rsidRPr="004E7764">
              <w:rPr>
                <w:rFonts w:cs="Times New Roman"/>
                <w:szCs w:val="24"/>
              </w:rPr>
              <w:t>6 200 tis. Kč</w:t>
            </w:r>
          </w:p>
        </w:tc>
      </w:tr>
      <w:tr w:rsidR="00AA1D3E" w:rsidRPr="00D070B8" w14:paraId="5BE1DF11" w14:textId="77777777" w:rsidTr="00316A6C">
        <w:tc>
          <w:tcPr>
            <w:tcW w:w="7270" w:type="dxa"/>
          </w:tcPr>
          <w:p w14:paraId="7AEF1202" w14:textId="12A9E7B2" w:rsidR="00402666" w:rsidRPr="004E7764" w:rsidRDefault="00D41D85" w:rsidP="00402666">
            <w:pPr>
              <w:pStyle w:val="Odstavecseseznamem"/>
              <w:numPr>
                <w:ilvl w:val="0"/>
                <w:numId w:val="5"/>
              </w:numPr>
              <w:tabs>
                <w:tab w:val="clear" w:pos="720"/>
                <w:tab w:val="num" w:pos="334"/>
              </w:tabs>
              <w:ind w:left="489" w:hanging="244"/>
            </w:pPr>
            <w:r w:rsidRPr="004E7764">
              <w:t xml:space="preserve"> </w:t>
            </w:r>
            <w:r w:rsidR="00402666" w:rsidRPr="004E7764">
              <w:t>Příjmy z pronájmu majetku</w:t>
            </w:r>
          </w:p>
        </w:tc>
        <w:tc>
          <w:tcPr>
            <w:tcW w:w="1980" w:type="dxa"/>
          </w:tcPr>
          <w:p w14:paraId="4092D428" w14:textId="77777777" w:rsidR="00402666" w:rsidRPr="004E7764" w:rsidRDefault="00402666" w:rsidP="00316A6C">
            <w:pPr>
              <w:jc w:val="right"/>
              <w:rPr>
                <w:rFonts w:cs="Times New Roman"/>
                <w:szCs w:val="24"/>
              </w:rPr>
            </w:pPr>
            <w:r w:rsidRPr="004E7764">
              <w:rPr>
                <w:rFonts w:cs="Times New Roman"/>
                <w:szCs w:val="24"/>
              </w:rPr>
              <w:t>100 tis. Kč</w:t>
            </w:r>
          </w:p>
        </w:tc>
      </w:tr>
    </w:tbl>
    <w:p w14:paraId="03377588" w14:textId="43C8D686" w:rsidR="00402666" w:rsidRPr="004E7764" w:rsidRDefault="00402666" w:rsidP="006B75C3">
      <w:pPr>
        <w:spacing w:before="200" w:after="120"/>
        <w:rPr>
          <w:rFonts w:cs="Times New Roman"/>
          <w:szCs w:val="24"/>
        </w:rPr>
      </w:pPr>
      <w:r w:rsidRPr="004E7764">
        <w:rPr>
          <w:rFonts w:cs="Times New Roman"/>
          <w:b/>
          <w:szCs w:val="24"/>
        </w:rPr>
        <w:t xml:space="preserve">Drážní </w:t>
      </w:r>
      <w:r w:rsidR="00212084" w:rsidRPr="004E7764">
        <w:rPr>
          <w:rFonts w:cs="Times New Roman"/>
          <w:b/>
          <w:szCs w:val="24"/>
        </w:rPr>
        <w:t>úřad</w:t>
      </w:r>
      <w:r w:rsidR="00212084" w:rsidRPr="004E7764">
        <w:rPr>
          <w:rFonts w:cs="Times New Roman"/>
          <w:szCs w:val="24"/>
        </w:rPr>
        <w:t xml:space="preserve"> – příjmy</w:t>
      </w:r>
      <w:r w:rsidRPr="004E7764">
        <w:rPr>
          <w:rFonts w:cs="Times New Roman"/>
          <w:szCs w:val="24"/>
        </w:rPr>
        <w:t xml:space="preserve"> </w:t>
      </w:r>
      <w:r w:rsidRPr="004E7764">
        <w:rPr>
          <w:rFonts w:cs="Times New Roman"/>
          <w:b/>
          <w:bCs/>
          <w:szCs w:val="24"/>
        </w:rPr>
        <w:t xml:space="preserve">celkem 2 842 tis. Kč, </w:t>
      </w:r>
      <w:r w:rsidRPr="004E7764">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D56A8D" w:rsidRPr="004E7764" w14:paraId="1561D18A" w14:textId="77777777" w:rsidTr="00316A6C">
        <w:tc>
          <w:tcPr>
            <w:tcW w:w="7270" w:type="dxa"/>
          </w:tcPr>
          <w:p w14:paraId="01A49A88" w14:textId="77777777" w:rsidR="00402666" w:rsidRPr="004E7764" w:rsidRDefault="00402666" w:rsidP="00316A6C">
            <w:pPr>
              <w:rPr>
                <w:rFonts w:cs="Times New Roman"/>
                <w:szCs w:val="24"/>
              </w:rPr>
            </w:pPr>
            <w:r w:rsidRPr="004E7764">
              <w:rPr>
                <w:rFonts w:cs="Times New Roman"/>
                <w:szCs w:val="24"/>
              </w:rPr>
              <w:t xml:space="preserve">      - Správní poplatky</w:t>
            </w:r>
          </w:p>
        </w:tc>
        <w:tc>
          <w:tcPr>
            <w:tcW w:w="1980" w:type="dxa"/>
          </w:tcPr>
          <w:p w14:paraId="22C908C2" w14:textId="77777777" w:rsidR="00402666" w:rsidRPr="004E7764" w:rsidRDefault="00402666" w:rsidP="00316A6C">
            <w:pPr>
              <w:jc w:val="right"/>
              <w:rPr>
                <w:rFonts w:cs="Times New Roman"/>
                <w:szCs w:val="24"/>
              </w:rPr>
            </w:pPr>
            <w:r w:rsidRPr="004E7764">
              <w:rPr>
                <w:rFonts w:cs="Times New Roman"/>
                <w:szCs w:val="24"/>
              </w:rPr>
              <w:t>2 500 tis. Kč</w:t>
            </w:r>
          </w:p>
        </w:tc>
      </w:tr>
      <w:tr w:rsidR="00D56A8D" w:rsidRPr="00D070B8" w14:paraId="63969AA2" w14:textId="77777777" w:rsidTr="00316A6C">
        <w:tc>
          <w:tcPr>
            <w:tcW w:w="7270" w:type="dxa"/>
          </w:tcPr>
          <w:p w14:paraId="64B06460" w14:textId="77777777" w:rsidR="00402666" w:rsidRPr="004E7764" w:rsidRDefault="00402666" w:rsidP="00316A6C">
            <w:pPr>
              <w:rPr>
                <w:rFonts w:cs="Times New Roman"/>
                <w:szCs w:val="24"/>
              </w:rPr>
            </w:pPr>
            <w:r w:rsidRPr="004E7764">
              <w:rPr>
                <w:rFonts w:cs="Times New Roman"/>
                <w:szCs w:val="24"/>
              </w:rPr>
              <w:t xml:space="preserve">      - Přijaté sankční platby</w:t>
            </w:r>
          </w:p>
        </w:tc>
        <w:tc>
          <w:tcPr>
            <w:tcW w:w="1980" w:type="dxa"/>
          </w:tcPr>
          <w:p w14:paraId="5E0792C6" w14:textId="77777777" w:rsidR="00402666" w:rsidRPr="004E7764" w:rsidRDefault="00402666" w:rsidP="00316A6C">
            <w:pPr>
              <w:jc w:val="right"/>
              <w:rPr>
                <w:rFonts w:cs="Times New Roman"/>
                <w:szCs w:val="24"/>
              </w:rPr>
            </w:pPr>
            <w:r w:rsidRPr="004E7764">
              <w:rPr>
                <w:rFonts w:cs="Times New Roman"/>
                <w:szCs w:val="24"/>
              </w:rPr>
              <w:t>342 tis. Kč</w:t>
            </w:r>
          </w:p>
        </w:tc>
      </w:tr>
    </w:tbl>
    <w:p w14:paraId="23B7177D" w14:textId="211723D8" w:rsidR="00402666" w:rsidRPr="004E7764" w:rsidRDefault="00402666" w:rsidP="006B75C3">
      <w:pPr>
        <w:spacing w:before="200" w:after="120"/>
        <w:rPr>
          <w:rFonts w:cs="Times New Roman"/>
          <w:szCs w:val="24"/>
        </w:rPr>
      </w:pPr>
      <w:r w:rsidRPr="004E7764">
        <w:rPr>
          <w:rFonts w:cs="Times New Roman"/>
          <w:b/>
          <w:szCs w:val="24"/>
        </w:rPr>
        <w:lastRenderedPageBreak/>
        <w:t xml:space="preserve">Ředitelství vodních cest </w:t>
      </w:r>
      <w:r w:rsidR="00212084" w:rsidRPr="004E7764">
        <w:rPr>
          <w:rFonts w:cs="Times New Roman"/>
          <w:b/>
          <w:szCs w:val="24"/>
        </w:rPr>
        <w:t>ČR</w:t>
      </w:r>
      <w:r w:rsidR="00212084" w:rsidRPr="004E7764">
        <w:rPr>
          <w:rFonts w:cs="Times New Roman"/>
          <w:szCs w:val="24"/>
        </w:rPr>
        <w:t xml:space="preserve"> – příjmy</w:t>
      </w:r>
      <w:r w:rsidRPr="004E7764">
        <w:rPr>
          <w:rFonts w:cs="Times New Roman"/>
          <w:szCs w:val="24"/>
        </w:rPr>
        <w:t xml:space="preserve"> </w:t>
      </w:r>
      <w:r w:rsidRPr="004E7764">
        <w:rPr>
          <w:rFonts w:cs="Times New Roman"/>
          <w:b/>
          <w:bCs/>
          <w:szCs w:val="24"/>
        </w:rPr>
        <w:t xml:space="preserve">celkem </w:t>
      </w:r>
      <w:r w:rsidR="004E7764" w:rsidRPr="004E7764">
        <w:rPr>
          <w:rFonts w:cs="Times New Roman"/>
          <w:b/>
          <w:bCs/>
          <w:szCs w:val="24"/>
        </w:rPr>
        <w:t>9 500</w:t>
      </w:r>
      <w:r w:rsidRPr="004E7764">
        <w:rPr>
          <w:rFonts w:cs="Times New Roman"/>
          <w:b/>
          <w:bCs/>
          <w:szCs w:val="24"/>
        </w:rPr>
        <w:t xml:space="preserve"> tis. Kč, </w:t>
      </w:r>
      <w:r w:rsidRPr="004E7764">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AA1D3E" w:rsidRPr="004E7764" w14:paraId="1651EE09" w14:textId="77777777" w:rsidTr="00316A6C">
        <w:tc>
          <w:tcPr>
            <w:tcW w:w="7270" w:type="dxa"/>
          </w:tcPr>
          <w:p w14:paraId="420CD9B2" w14:textId="77777777" w:rsidR="00402666" w:rsidRPr="004E7764" w:rsidRDefault="00402666" w:rsidP="00316A6C">
            <w:pPr>
              <w:rPr>
                <w:rFonts w:cs="Times New Roman"/>
                <w:szCs w:val="24"/>
              </w:rPr>
            </w:pPr>
            <w:r w:rsidRPr="004E7764">
              <w:rPr>
                <w:rFonts w:cs="Times New Roman"/>
                <w:szCs w:val="24"/>
              </w:rPr>
              <w:t xml:space="preserve">      - Příjmy z vlastní činnosti             </w:t>
            </w:r>
          </w:p>
        </w:tc>
        <w:tc>
          <w:tcPr>
            <w:tcW w:w="1980" w:type="dxa"/>
          </w:tcPr>
          <w:p w14:paraId="02085FDA" w14:textId="06659996" w:rsidR="00402666" w:rsidRPr="004E7764" w:rsidRDefault="004E7764" w:rsidP="00316A6C">
            <w:pPr>
              <w:jc w:val="right"/>
              <w:rPr>
                <w:rFonts w:cs="Times New Roman"/>
                <w:szCs w:val="24"/>
              </w:rPr>
            </w:pPr>
            <w:r w:rsidRPr="004E7764">
              <w:rPr>
                <w:rFonts w:cs="Times New Roman"/>
                <w:szCs w:val="24"/>
              </w:rPr>
              <w:t>5 2</w:t>
            </w:r>
            <w:r w:rsidR="00402666" w:rsidRPr="004E7764">
              <w:rPr>
                <w:rFonts w:cs="Times New Roman"/>
                <w:szCs w:val="24"/>
              </w:rPr>
              <w:t>00 tis. Kč</w:t>
            </w:r>
          </w:p>
        </w:tc>
      </w:tr>
      <w:tr w:rsidR="00AA1D3E" w:rsidRPr="00D070B8" w14:paraId="727B2DB6" w14:textId="77777777" w:rsidTr="00316A6C">
        <w:tc>
          <w:tcPr>
            <w:tcW w:w="7270" w:type="dxa"/>
          </w:tcPr>
          <w:p w14:paraId="60259FD1" w14:textId="77777777" w:rsidR="00402666" w:rsidRPr="004E7764" w:rsidRDefault="00402666" w:rsidP="00316A6C">
            <w:pPr>
              <w:rPr>
                <w:rFonts w:cs="Times New Roman"/>
                <w:szCs w:val="24"/>
              </w:rPr>
            </w:pPr>
            <w:r w:rsidRPr="004E7764">
              <w:rPr>
                <w:rFonts w:cs="Times New Roman"/>
                <w:szCs w:val="24"/>
              </w:rPr>
              <w:t xml:space="preserve">      - Příjmy z pronájmu majetku</w:t>
            </w:r>
          </w:p>
        </w:tc>
        <w:tc>
          <w:tcPr>
            <w:tcW w:w="1980" w:type="dxa"/>
          </w:tcPr>
          <w:p w14:paraId="1E710FE3" w14:textId="77777777" w:rsidR="00402666" w:rsidRPr="004E7764" w:rsidRDefault="00402666" w:rsidP="00316A6C">
            <w:pPr>
              <w:jc w:val="right"/>
              <w:rPr>
                <w:rFonts w:cs="Times New Roman"/>
                <w:szCs w:val="24"/>
              </w:rPr>
            </w:pPr>
            <w:r w:rsidRPr="004E7764">
              <w:rPr>
                <w:rFonts w:cs="Times New Roman"/>
                <w:szCs w:val="24"/>
              </w:rPr>
              <w:t>4 300 tis. Kč</w:t>
            </w:r>
          </w:p>
        </w:tc>
      </w:tr>
    </w:tbl>
    <w:p w14:paraId="39845A5B" w14:textId="5AA41D3D" w:rsidR="00DD7C64" w:rsidRPr="004E7764" w:rsidRDefault="00DD7C64" w:rsidP="0074483C">
      <w:pPr>
        <w:pStyle w:val="Styl1"/>
        <w:spacing w:before="200" w:after="120"/>
      </w:pPr>
      <w:r w:rsidRPr="004E7764">
        <w:rPr>
          <w:b/>
          <w:bCs/>
        </w:rPr>
        <w:t>Dopravní a energetický stavební úřad</w:t>
      </w:r>
      <w:r w:rsidRPr="004E7764">
        <w:t xml:space="preserve"> – příjmy </w:t>
      </w:r>
      <w:r w:rsidRPr="004E7764">
        <w:rPr>
          <w:b/>
          <w:bCs/>
        </w:rPr>
        <w:t xml:space="preserve">celkem </w:t>
      </w:r>
      <w:r w:rsidR="004E7764" w:rsidRPr="004E7764">
        <w:rPr>
          <w:b/>
          <w:bCs/>
        </w:rPr>
        <w:t>5 300</w:t>
      </w:r>
      <w:r w:rsidRPr="004E7764">
        <w:rPr>
          <w:b/>
          <w:bCs/>
        </w:rPr>
        <w:t xml:space="preserve"> tis. Kč</w:t>
      </w:r>
      <w:r w:rsidRPr="004E7764">
        <w:t>, v tom:</w:t>
      </w:r>
    </w:p>
    <w:tbl>
      <w:tblPr>
        <w:tblW w:w="9250" w:type="dxa"/>
        <w:tblCellMar>
          <w:left w:w="70" w:type="dxa"/>
          <w:right w:w="70" w:type="dxa"/>
        </w:tblCellMar>
        <w:tblLook w:val="0000" w:firstRow="0" w:lastRow="0" w:firstColumn="0" w:lastColumn="0" w:noHBand="0" w:noVBand="0"/>
      </w:tblPr>
      <w:tblGrid>
        <w:gridCol w:w="7270"/>
        <w:gridCol w:w="1980"/>
      </w:tblGrid>
      <w:tr w:rsidR="00DD7C64" w:rsidRPr="00D070B8" w14:paraId="11622FCE" w14:textId="77777777" w:rsidTr="001E02BC">
        <w:tc>
          <w:tcPr>
            <w:tcW w:w="7270" w:type="dxa"/>
          </w:tcPr>
          <w:p w14:paraId="258B2A8E" w14:textId="77777777" w:rsidR="00DD7C64" w:rsidRPr="004E7764" w:rsidRDefault="00DD7C64" w:rsidP="001E02BC">
            <w:pPr>
              <w:rPr>
                <w:rFonts w:cs="Times New Roman"/>
                <w:szCs w:val="24"/>
              </w:rPr>
            </w:pPr>
            <w:r w:rsidRPr="004E7764">
              <w:rPr>
                <w:rFonts w:cs="Times New Roman"/>
                <w:szCs w:val="24"/>
              </w:rPr>
              <w:t xml:space="preserve">      - Správní poplatky           </w:t>
            </w:r>
          </w:p>
        </w:tc>
        <w:tc>
          <w:tcPr>
            <w:tcW w:w="1980" w:type="dxa"/>
          </w:tcPr>
          <w:p w14:paraId="66EC46BA" w14:textId="67A9E099" w:rsidR="00DD7C64" w:rsidRPr="004E7764" w:rsidRDefault="004E7764" w:rsidP="001E02BC">
            <w:pPr>
              <w:jc w:val="right"/>
              <w:rPr>
                <w:rFonts w:cs="Times New Roman"/>
                <w:szCs w:val="24"/>
              </w:rPr>
            </w:pPr>
            <w:r w:rsidRPr="004E7764">
              <w:rPr>
                <w:rFonts w:cs="Times New Roman"/>
                <w:szCs w:val="24"/>
              </w:rPr>
              <w:t>5 300</w:t>
            </w:r>
            <w:r w:rsidR="00DD7C64" w:rsidRPr="004E7764">
              <w:rPr>
                <w:rFonts w:cs="Times New Roman"/>
                <w:szCs w:val="24"/>
              </w:rPr>
              <w:t xml:space="preserve"> tis. Kč</w:t>
            </w:r>
          </w:p>
        </w:tc>
      </w:tr>
    </w:tbl>
    <w:p w14:paraId="63D1E75D" w14:textId="77777777" w:rsidR="00983317" w:rsidRPr="00D422CD" w:rsidRDefault="00983317" w:rsidP="00983317">
      <w:pPr>
        <w:pStyle w:val="Styl1"/>
        <w:rPr>
          <w:color w:val="FF0000"/>
        </w:rPr>
      </w:pPr>
      <w:r w:rsidRPr="00EF35EE">
        <w:t xml:space="preserve">V navrženém objemu příjmů tvoří nejvyšší část přijaté transfery, které jsou rozpočtovány </w:t>
      </w:r>
      <w:r w:rsidRPr="00EF35EE">
        <w:br/>
        <w:t xml:space="preserve">ve výši </w:t>
      </w:r>
      <w:r>
        <w:t>37 491 386</w:t>
      </w:r>
      <w:r w:rsidRPr="00EF35EE">
        <w:t xml:space="preserve"> tis. Kč, tj. </w:t>
      </w:r>
      <w:r>
        <w:t>96</w:t>
      </w:r>
      <w:r w:rsidRPr="00EF35EE">
        <w:t>,</w:t>
      </w:r>
      <w:r>
        <w:t>93</w:t>
      </w:r>
      <w:r w:rsidRPr="00EF35EE">
        <w:t xml:space="preserve"> % souhrnného ukazatele příjmy celkem.</w:t>
      </w:r>
      <w:r w:rsidRPr="00D422CD">
        <w:t xml:space="preserve"> </w:t>
      </w:r>
    </w:p>
    <w:p w14:paraId="06A5B707" w14:textId="77777777" w:rsidR="00983317" w:rsidRPr="000B476A" w:rsidRDefault="00983317" w:rsidP="00983317">
      <w:pPr>
        <w:pStyle w:val="Styl1"/>
        <w:rPr>
          <w:color w:val="FF0000"/>
        </w:rPr>
      </w:pPr>
      <w:r w:rsidRPr="000B476A">
        <w:t xml:space="preserve">Součástí těchto přijatých transferů jsou </w:t>
      </w:r>
      <w:r w:rsidRPr="000B476A">
        <w:rPr>
          <w:u w:val="single"/>
        </w:rPr>
        <w:t>investiční převody z Národního fondu</w:t>
      </w:r>
      <w:r w:rsidRPr="000B476A">
        <w:t>, které jsou rozpočtovány ve výši</w:t>
      </w:r>
      <w:r w:rsidRPr="000B476A">
        <w:rPr>
          <w:color w:val="FF0000"/>
        </w:rPr>
        <w:t xml:space="preserve"> </w:t>
      </w:r>
      <w:r w:rsidRPr="000B476A">
        <w:t xml:space="preserve">30 227 679 tis. Kč, tj. 78,15 % souhrnného ukazatele příjmy celkem </w:t>
      </w:r>
      <w:r w:rsidRPr="000B476A">
        <w:br/>
        <w:t xml:space="preserve">a </w:t>
      </w:r>
      <w:r w:rsidRPr="000B476A">
        <w:rPr>
          <w:u w:val="single"/>
        </w:rPr>
        <w:t>neinvestiční převody z Národního fondu</w:t>
      </w:r>
      <w:r w:rsidRPr="000B476A">
        <w:t xml:space="preserve"> s částkou 132 434 tis. Kč, tj. 0,34 % souhrnného ukazatele. Investiční a neinvestiční převody z Národního fondu jsou příjmy z rozpočtu Evropské unie související s realizací programů spolufinancovaných z prostředků fondů EU </w:t>
      </w:r>
      <w:r w:rsidRPr="000B476A">
        <w:br/>
        <w:t>(ze strukturálních fondů a Fondu soudržnosti). V roce 2025 jde o příjmy z Programu Doprava 2021-2027.</w:t>
      </w:r>
    </w:p>
    <w:p w14:paraId="1E6B2BA9" w14:textId="336506AC" w:rsidR="00983317" w:rsidRPr="00D57F16" w:rsidRDefault="00983317" w:rsidP="00983317">
      <w:pPr>
        <w:pStyle w:val="Styl1"/>
        <w:rPr>
          <w:color w:val="FF0000"/>
        </w:rPr>
      </w:pPr>
      <w:r w:rsidRPr="00483D67">
        <w:t xml:space="preserve">Další součástí přijatých transferů jsou </w:t>
      </w:r>
      <w:r w:rsidRPr="00483D67">
        <w:rPr>
          <w:u w:val="single"/>
        </w:rPr>
        <w:t>investiční transfery přijaté od Evropské unie</w:t>
      </w:r>
      <w:r w:rsidRPr="00483D67">
        <w:t xml:space="preserve"> </w:t>
      </w:r>
      <w:r w:rsidRPr="00483D67">
        <w:br/>
        <w:t xml:space="preserve">ve výši 7 108 697 tis. Kč, tj. 18,38 % z celkových příjmů, a </w:t>
      </w:r>
      <w:r w:rsidRPr="00483D67">
        <w:rPr>
          <w:u w:val="single"/>
        </w:rPr>
        <w:t>neinvestiční transfery přijaté od Evropské unie</w:t>
      </w:r>
      <w:r w:rsidRPr="00483D67">
        <w:t xml:space="preserve"> ve výši 22 576 tis. Kč, tj 0,06 % z celkových příjmů. </w:t>
      </w:r>
      <w:r w:rsidRPr="00D422CD">
        <w:t xml:space="preserve">Tyto částky jsou v roce </w:t>
      </w:r>
      <w:r w:rsidRPr="00026651">
        <w:t xml:space="preserve">2025 tvořeny příjmy z Nástroje pro propojení Evropy – CEF 2021+ (7 119 744 tis. Kč), </w:t>
      </w:r>
      <w:r w:rsidRPr="00D57F16">
        <w:t>z programu Horizont Evropa (328 tis. Kč), z Kosmického programu Unie (3 4</w:t>
      </w:r>
      <w:r w:rsidR="00917602">
        <w:t>8</w:t>
      </w:r>
      <w:r w:rsidRPr="00D57F16">
        <w:t>5 tis. Kč) a Národního plánu obnovy (7 717 tis. Kč).</w:t>
      </w:r>
    </w:p>
    <w:p w14:paraId="1076BB01" w14:textId="77777777" w:rsidR="00983317" w:rsidRPr="00D422CD" w:rsidRDefault="00983317" w:rsidP="00983317">
      <w:pPr>
        <w:pStyle w:val="Styl1"/>
      </w:pPr>
      <w:r w:rsidRPr="00D422CD">
        <w:t>Příjemcem uvedených „příjmů z rozpočtu Evropské unie“ je pouze ústřední orgán Ministerstva dopravy.</w:t>
      </w:r>
    </w:p>
    <w:p w14:paraId="35F0C937" w14:textId="77777777" w:rsidR="00983317" w:rsidRPr="006177A9" w:rsidRDefault="00983317" w:rsidP="00983317">
      <w:pPr>
        <w:pStyle w:val="Styl1"/>
        <w:rPr>
          <w:color w:val="FF0000"/>
        </w:rPr>
      </w:pPr>
      <w:r w:rsidRPr="006B4B9F">
        <w:t xml:space="preserve">Součástí souhrnného ukazatele příjmy celkem jsou dále </w:t>
      </w:r>
      <w:r w:rsidRPr="006B4B9F">
        <w:rPr>
          <w:u w:val="single"/>
        </w:rPr>
        <w:t>správní poplatky</w:t>
      </w:r>
      <w:r w:rsidRPr="006B4B9F">
        <w:t xml:space="preserve"> rozpočtované ve výši </w:t>
      </w:r>
      <w:r w:rsidRPr="006177A9">
        <w:t>225 000 tis. Kč, tj. 0,</w:t>
      </w:r>
      <w:r>
        <w:t>5</w:t>
      </w:r>
      <w:r w:rsidRPr="006177A9">
        <w:t xml:space="preserve">8 % souhrnného ukazatele. </w:t>
      </w:r>
      <w:r w:rsidRPr="006B4B9F">
        <w:t xml:space="preserve">Jde především o poplatky za správní úkony, jejichž výsledkem jsou vydaná povolení, rozhodnutí apod. </w:t>
      </w:r>
      <w:r w:rsidRPr="00D422CD">
        <w:t>Nejvyšší měrou se na výběru správních poplatků podílí ústřední orgán Ministerstva dopravy, a to částkou 198 000 tis</w:t>
      </w:r>
      <w:r w:rsidRPr="00B135AE">
        <w:t xml:space="preserve">. Kč, což představuje 88,00 % z dané položky příjmů, </w:t>
      </w:r>
      <w:r w:rsidRPr="006B4B9F">
        <w:t xml:space="preserve">dále Úřad pro civilní letectví </w:t>
      </w:r>
      <w:r w:rsidRPr="006B4B9F">
        <w:rPr>
          <w:color w:val="FF0000"/>
        </w:rPr>
        <w:br/>
      </w:r>
      <w:r w:rsidRPr="00B135AE">
        <w:t xml:space="preserve">částkou 13 000 tis. Kč, tj. 5,78 %, Státní plavební správa částkou 6 200 tis. Kč, tj. 2,76 %,  </w:t>
      </w:r>
      <w:r w:rsidRPr="006177A9">
        <w:t>Drážní úřad částkou 2 500 tis. Kč, tj. 1,11 % Dopravní a energetický stavební úřad 5 300 tis. Kč, tj. 2</w:t>
      </w:r>
      <w:r>
        <w:t>,</w:t>
      </w:r>
      <w:r w:rsidRPr="006177A9">
        <w:t>36 %.</w:t>
      </w:r>
    </w:p>
    <w:p w14:paraId="707CEF79" w14:textId="2423CAB7" w:rsidR="009A325C" w:rsidRDefault="00983317" w:rsidP="00983317">
      <w:pPr>
        <w:pStyle w:val="Styl1"/>
      </w:pPr>
      <w:r w:rsidRPr="00154B15">
        <w:rPr>
          <w:u w:val="single"/>
        </w:rPr>
        <w:t>Příjmy z vlastní činnosti</w:t>
      </w:r>
      <w:r w:rsidRPr="00154B15">
        <w:t xml:space="preserve"> organizačních složek </w:t>
      </w:r>
      <w:r w:rsidRPr="002B5C62">
        <w:t xml:space="preserve">státu jsou rozpočtovány ve výši </w:t>
      </w:r>
      <w:r>
        <w:t xml:space="preserve">50 800 </w:t>
      </w:r>
      <w:r w:rsidRPr="002B5C62">
        <w:t xml:space="preserve">tis. Kč, </w:t>
      </w:r>
      <w:r w:rsidRPr="00D57CF0">
        <w:t>což představuje</w:t>
      </w:r>
      <w:r w:rsidRPr="00D57CF0">
        <w:rPr>
          <w:color w:val="FF0000"/>
        </w:rPr>
        <w:t xml:space="preserve"> </w:t>
      </w:r>
      <w:r w:rsidRPr="00D57CF0">
        <w:t>0,1</w:t>
      </w:r>
      <w:r w:rsidR="002F5D5F">
        <w:t>3</w:t>
      </w:r>
      <w:r w:rsidRPr="00D57CF0">
        <w:t xml:space="preserve"> % souhrnného ukazatele příjmy celkem. Tyto příjmy vytváří především Úřad pro civilní letectví, a to ve výši 45 600 tis. Kč, tj. </w:t>
      </w:r>
      <w:r>
        <w:t>89,76</w:t>
      </w:r>
      <w:r w:rsidRPr="00D57CF0">
        <w:t xml:space="preserve"> % z dané položky příjmů. Jde zejména o příjmy z poskytování letových navigačních služeb v souladu s nařízením EK </w:t>
      </w:r>
      <w:r w:rsidRPr="00D57CF0">
        <w:br/>
        <w:t xml:space="preserve">č. 390/2013. Dále se na těchto příjmech podílí Ředitelství vodních cest ČR částkou </w:t>
      </w:r>
      <w:r w:rsidRPr="00D57CF0">
        <w:br/>
        <w:t>5 200 tis. Kč, tj. podíl 10</w:t>
      </w:r>
      <w:r>
        <w:t>,24</w:t>
      </w:r>
      <w:r w:rsidRPr="00D57CF0">
        <w:t xml:space="preserve"> %, a to za služby poskytované při provozování říční přístavní infrastruktury.</w:t>
      </w:r>
    </w:p>
    <w:p w14:paraId="2523D0EB" w14:textId="1D0ED0BD" w:rsidR="00983317" w:rsidRDefault="00983317" w:rsidP="00983317">
      <w:pPr>
        <w:pStyle w:val="Styl1"/>
      </w:pPr>
      <w:r w:rsidRPr="00D57CF0">
        <w:rPr>
          <w:u w:val="single"/>
        </w:rPr>
        <w:lastRenderedPageBreak/>
        <w:t>Příjmy z pronájmu majetku</w:t>
      </w:r>
      <w:r w:rsidRPr="00D57CF0">
        <w:t xml:space="preserve"> jsou rozpočtovány částkou 32 </w:t>
      </w:r>
      <w:r w:rsidR="00917602">
        <w:t>632</w:t>
      </w:r>
      <w:r w:rsidRPr="00D57CF0">
        <w:t xml:space="preserve"> tis. Kč, tj. 0,</w:t>
      </w:r>
      <w:r w:rsidR="002F5D5F">
        <w:t>08</w:t>
      </w:r>
      <w:r w:rsidRPr="00D57CF0">
        <w:t xml:space="preserve"> % souhrnného ukazatele. Na tvorbě tohoto druhu příjmů se podílí ústřední orgán Ministerstva dopravy částkou</w:t>
      </w:r>
      <w:r w:rsidRPr="00FD39AD">
        <w:t xml:space="preserve"> </w:t>
      </w:r>
      <w:r w:rsidR="00917602">
        <w:t>28 232</w:t>
      </w:r>
      <w:r w:rsidRPr="00750A7A">
        <w:t xml:space="preserve"> tis. Kč, což představuje 86,</w:t>
      </w:r>
      <w:r w:rsidR="00917602">
        <w:t>52</w:t>
      </w:r>
      <w:r w:rsidRPr="00750A7A">
        <w:t xml:space="preserve"> % uvedených příjmů, Ředitelství vodních cest ČR částkou 4 300 tis. Kč, tj. 13,</w:t>
      </w:r>
      <w:r w:rsidR="00917602">
        <w:t>18</w:t>
      </w:r>
      <w:r w:rsidRPr="00750A7A">
        <w:t xml:space="preserve"> %, a Státní plavební správa částkou 100 tis. Kč, tj. 0,3</w:t>
      </w:r>
      <w:r w:rsidR="00917602">
        <w:t>0</w:t>
      </w:r>
      <w:r w:rsidRPr="00750A7A">
        <w:t xml:space="preserve"> %.</w:t>
      </w:r>
    </w:p>
    <w:p w14:paraId="6F1BF4FB" w14:textId="0DE97E75" w:rsidR="00C7464B" w:rsidRDefault="00C7464B" w:rsidP="00983317">
      <w:pPr>
        <w:pStyle w:val="Styl1"/>
      </w:pPr>
      <w:r w:rsidRPr="00A12AE9">
        <w:rPr>
          <w:u w:val="single"/>
        </w:rPr>
        <w:t>Odvody přebytků organizací s přímým vztahem</w:t>
      </w:r>
      <w:r w:rsidRPr="00A12AE9">
        <w:t xml:space="preserve"> jsou rozpočtovány ve výši </w:t>
      </w:r>
      <w:r>
        <w:t>800</w:t>
      </w:r>
      <w:r w:rsidRPr="00A12AE9">
        <w:t xml:space="preserve"> 000 tis. Kč, tj. </w:t>
      </w:r>
      <w:r>
        <w:t>2,07</w:t>
      </w:r>
      <w:r w:rsidRPr="00A12AE9">
        <w:t xml:space="preserve"> % souhrnného ukazatele. V plné výši jde o příjmy ze státních podniků spadajících pod Ministerstvo dopravy.</w:t>
      </w:r>
    </w:p>
    <w:p w14:paraId="511A9F7D" w14:textId="354C94BC" w:rsidR="00C7464B" w:rsidRPr="00750A7A" w:rsidRDefault="00C7464B" w:rsidP="00983317">
      <w:pPr>
        <w:pStyle w:val="Styl1"/>
        <w:rPr>
          <w:color w:val="FF0000"/>
        </w:rPr>
      </w:pPr>
      <w:r w:rsidRPr="00C7464B">
        <w:rPr>
          <w:u w:val="single"/>
        </w:rPr>
        <w:t>Příjmy z odvodů příspěvkových organizací</w:t>
      </w:r>
      <w:r>
        <w:t xml:space="preserve"> jsou rozpočtovány ve výši 32 000 tis. Kč</w:t>
      </w:r>
      <w:r w:rsidR="002F5D5F" w:rsidRPr="002F5D5F">
        <w:t>, tj. 0,08 % souhrnného ukazatele</w:t>
      </w:r>
      <w:r w:rsidRPr="002F5D5F">
        <w:t>.</w:t>
      </w:r>
    </w:p>
    <w:p w14:paraId="531AE9BF" w14:textId="383AA6F5" w:rsidR="00251B6B" w:rsidRPr="00D070B8" w:rsidRDefault="00983317" w:rsidP="00983317">
      <w:pPr>
        <w:pStyle w:val="Styl1"/>
        <w:rPr>
          <w:highlight w:val="yellow"/>
        </w:rPr>
      </w:pPr>
      <w:r w:rsidRPr="007B07BC">
        <w:rPr>
          <w:u w:val="single"/>
        </w:rPr>
        <w:t>Přijaté sankční platby</w:t>
      </w:r>
      <w:r w:rsidRPr="007B07BC">
        <w:t xml:space="preserve"> jsou rozpočtovány ve výši 1 068 tis. Kč, tj. </w:t>
      </w:r>
      <w:r w:rsidRPr="00750A7A">
        <w:t xml:space="preserve">0,01 % souhrnného ukazatele. </w:t>
      </w:r>
      <w:r w:rsidRPr="00FD39AD">
        <w:t xml:space="preserve">Jde o pokuty udělené za porušení obecně závazných předpisů v rámci činností souvisejících s dopravou. Nejvyšší přijaté sankční platby jsou rozpočtovány u Úřadu pro civilní letectví </w:t>
      </w:r>
      <w:r w:rsidRPr="00DB3B5E">
        <w:t>částkou 400 tis. Kč, což představuje 37,45 % z uvedených příjmů, dále u Drážního úřadu částkou 342 tis. Kč, tj. 32,02 % a v poslední řadě u Ministerstva dopravy ve výši 326 tis. Kč, tj. 30, 52 %.</w:t>
      </w:r>
      <w:r w:rsidR="00251B6B" w:rsidRPr="00D070B8">
        <w:rPr>
          <w:highlight w:val="yellow"/>
        </w:rPr>
        <w:t xml:space="preserve"> </w:t>
      </w:r>
    </w:p>
    <w:p w14:paraId="48172B39" w14:textId="47A24209" w:rsidR="0071552E" w:rsidRPr="00D070B8" w:rsidRDefault="00983317" w:rsidP="0071552E">
      <w:pPr>
        <w:pStyle w:val="Styl1"/>
        <w:rPr>
          <w:highlight w:val="yellow"/>
        </w:rPr>
      </w:pPr>
      <w:r w:rsidRPr="00154B15">
        <w:t xml:space="preserve">Srovnání konstrukce souhrnného ukazatele „Daňové příjmy, nedaňové příjmy, kapitálové příjmy a přijaté transfery celkem“ pro rok 2025 se schváleným rozpočtem roku 2024 vyjadřuje následující </w:t>
      </w:r>
      <w:r w:rsidRPr="00E946AC">
        <w:t>tabulka</w:t>
      </w:r>
      <w:r w:rsidR="0071552E" w:rsidRPr="00E946AC">
        <w:t>.</w:t>
      </w:r>
    </w:p>
    <w:p w14:paraId="276BAAE4" w14:textId="2F5BF278" w:rsidR="00CF4BB2" w:rsidRPr="00E946AC" w:rsidRDefault="00CF4BB2" w:rsidP="00CF4BB2">
      <w:pPr>
        <w:pStyle w:val="Titulek"/>
      </w:pPr>
      <w:r w:rsidRPr="00E946AC">
        <w:t xml:space="preserve">Tabulka č. </w:t>
      </w:r>
      <w:r w:rsidR="00696CFC" w:rsidRPr="00E946AC">
        <w:fldChar w:fldCharType="begin"/>
      </w:r>
      <w:r w:rsidR="00696CFC" w:rsidRPr="00E946AC">
        <w:instrText xml:space="preserve"> SEQ Tabulka \* ARABIC </w:instrText>
      </w:r>
      <w:r w:rsidR="00696CFC" w:rsidRPr="00E946AC">
        <w:fldChar w:fldCharType="separate"/>
      </w:r>
      <w:r w:rsidR="003B0B01" w:rsidRPr="00E946AC">
        <w:rPr>
          <w:noProof/>
        </w:rPr>
        <w:t>4</w:t>
      </w:r>
      <w:r w:rsidR="00696CFC" w:rsidRPr="00E946AC">
        <w:rPr>
          <w:noProof/>
        </w:rPr>
        <w:fldChar w:fldCharType="end"/>
      </w:r>
      <w:r w:rsidRPr="00E946AC">
        <w:t xml:space="preserve"> Druhové členění příjmů celkem (v tis. Kč)</w:t>
      </w:r>
    </w:p>
    <w:tbl>
      <w:tblPr>
        <w:tblStyle w:val="Svtltabulkasmkou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110"/>
        <w:gridCol w:w="1440"/>
        <w:gridCol w:w="1440"/>
        <w:gridCol w:w="1072"/>
      </w:tblGrid>
      <w:tr w:rsidR="00480EAA" w:rsidRPr="00D070B8" w14:paraId="15243229" w14:textId="77777777" w:rsidTr="001E02BC">
        <w:tc>
          <w:tcPr>
            <w:tcW w:w="511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D21802F" w14:textId="77777777" w:rsidR="00480EAA" w:rsidRPr="00C7464B" w:rsidRDefault="00480EAA" w:rsidP="001E02BC">
            <w:pPr>
              <w:pStyle w:val="Zkladntext"/>
              <w:jc w:val="center"/>
              <w:rPr>
                <w:b/>
              </w:rPr>
            </w:pPr>
            <w:r w:rsidRPr="00C7464B">
              <w:rPr>
                <w:b/>
              </w:rPr>
              <w:t>Ukazatel</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693F6D9A" w14:textId="77777777" w:rsidR="00480EAA" w:rsidRPr="00C7464B" w:rsidRDefault="00480EAA" w:rsidP="001E02BC">
            <w:pPr>
              <w:jc w:val="center"/>
              <w:rPr>
                <w:rFonts w:cs="Times New Roman"/>
                <w:b/>
                <w:szCs w:val="24"/>
              </w:rPr>
            </w:pPr>
            <w:r w:rsidRPr="00C7464B">
              <w:rPr>
                <w:rFonts w:cs="Times New Roman"/>
                <w:b/>
                <w:szCs w:val="24"/>
              </w:rPr>
              <w:t>Schválený</w:t>
            </w:r>
          </w:p>
          <w:p w14:paraId="415CA7AE" w14:textId="77777777" w:rsidR="00480EAA" w:rsidRPr="00C7464B" w:rsidRDefault="00480EAA" w:rsidP="001E02BC">
            <w:pPr>
              <w:jc w:val="center"/>
              <w:rPr>
                <w:rFonts w:cs="Times New Roman"/>
                <w:b/>
                <w:szCs w:val="24"/>
              </w:rPr>
            </w:pPr>
            <w:r w:rsidRPr="00C7464B">
              <w:rPr>
                <w:rFonts w:cs="Times New Roman"/>
                <w:b/>
                <w:szCs w:val="24"/>
              </w:rPr>
              <w:t>rozpočet</w:t>
            </w:r>
          </w:p>
          <w:p w14:paraId="1A9985EC" w14:textId="7E4359AC" w:rsidR="00480EAA" w:rsidRPr="00C7464B" w:rsidRDefault="00480EAA" w:rsidP="001E02BC">
            <w:pPr>
              <w:jc w:val="center"/>
              <w:rPr>
                <w:rFonts w:cs="Times New Roman"/>
                <w:b/>
                <w:szCs w:val="24"/>
              </w:rPr>
            </w:pPr>
            <w:r w:rsidRPr="00C7464B">
              <w:rPr>
                <w:rFonts w:cs="Times New Roman"/>
                <w:b/>
                <w:szCs w:val="24"/>
              </w:rPr>
              <w:t>202</w:t>
            </w:r>
            <w:r w:rsidR="00983317" w:rsidRPr="00C7464B">
              <w:rPr>
                <w:rFonts w:cs="Times New Roman"/>
                <w:b/>
                <w:szCs w:val="24"/>
              </w:rPr>
              <w:t>4</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0EB35BB2" w14:textId="77777777" w:rsidR="00480EAA" w:rsidRPr="00C7464B" w:rsidRDefault="00480EAA" w:rsidP="001E02BC">
            <w:pPr>
              <w:jc w:val="center"/>
              <w:rPr>
                <w:rFonts w:cs="Times New Roman"/>
                <w:b/>
                <w:szCs w:val="24"/>
              </w:rPr>
            </w:pPr>
            <w:r w:rsidRPr="00C7464B">
              <w:rPr>
                <w:rFonts w:cs="Times New Roman"/>
                <w:b/>
                <w:szCs w:val="24"/>
              </w:rPr>
              <w:t>Návrh</w:t>
            </w:r>
          </w:p>
          <w:p w14:paraId="11D16E8B" w14:textId="77777777" w:rsidR="00480EAA" w:rsidRPr="00C7464B" w:rsidRDefault="00480EAA" w:rsidP="001E02BC">
            <w:pPr>
              <w:jc w:val="center"/>
              <w:rPr>
                <w:rFonts w:cs="Times New Roman"/>
                <w:b/>
                <w:szCs w:val="24"/>
              </w:rPr>
            </w:pPr>
            <w:r w:rsidRPr="00C7464B">
              <w:rPr>
                <w:rFonts w:cs="Times New Roman"/>
                <w:b/>
                <w:szCs w:val="24"/>
              </w:rPr>
              <w:t>rozpočtu</w:t>
            </w:r>
          </w:p>
          <w:p w14:paraId="2A8A8AC9" w14:textId="7E36A9A9" w:rsidR="00480EAA" w:rsidRPr="00C7464B" w:rsidRDefault="00480EAA" w:rsidP="001E02BC">
            <w:pPr>
              <w:jc w:val="center"/>
              <w:rPr>
                <w:rFonts w:cs="Times New Roman"/>
                <w:b/>
                <w:szCs w:val="24"/>
              </w:rPr>
            </w:pPr>
            <w:r w:rsidRPr="00C7464B">
              <w:rPr>
                <w:rFonts w:cs="Times New Roman"/>
                <w:b/>
                <w:szCs w:val="24"/>
              </w:rPr>
              <w:t>202</w:t>
            </w:r>
            <w:r w:rsidR="00983317" w:rsidRPr="00C7464B">
              <w:rPr>
                <w:rFonts w:cs="Times New Roman"/>
                <w:b/>
                <w:szCs w:val="24"/>
              </w:rPr>
              <w:t>5</w:t>
            </w:r>
          </w:p>
        </w:tc>
        <w:tc>
          <w:tcPr>
            <w:tcW w:w="1072"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1FFB1504" w14:textId="77777777" w:rsidR="00480EAA" w:rsidRPr="00C7464B" w:rsidRDefault="00480EAA" w:rsidP="001E02BC">
            <w:pPr>
              <w:jc w:val="center"/>
              <w:rPr>
                <w:rFonts w:cs="Times New Roman"/>
                <w:b/>
                <w:szCs w:val="24"/>
              </w:rPr>
            </w:pPr>
            <w:r w:rsidRPr="00C7464B">
              <w:rPr>
                <w:rFonts w:cs="Times New Roman"/>
                <w:b/>
                <w:szCs w:val="24"/>
              </w:rPr>
              <w:t>Index</w:t>
            </w:r>
          </w:p>
          <w:p w14:paraId="7E6205AD" w14:textId="4EFCEDC0" w:rsidR="00480EAA" w:rsidRPr="00C7464B" w:rsidRDefault="00480EAA" w:rsidP="001E02BC">
            <w:pPr>
              <w:jc w:val="center"/>
              <w:rPr>
                <w:rFonts w:cs="Times New Roman"/>
                <w:b/>
                <w:szCs w:val="24"/>
              </w:rPr>
            </w:pPr>
            <w:r w:rsidRPr="00C7464B">
              <w:rPr>
                <w:rFonts w:cs="Times New Roman"/>
                <w:b/>
                <w:szCs w:val="24"/>
              </w:rPr>
              <w:t>202</w:t>
            </w:r>
            <w:r w:rsidR="00983317" w:rsidRPr="00C7464B">
              <w:rPr>
                <w:rFonts w:cs="Times New Roman"/>
                <w:b/>
                <w:szCs w:val="24"/>
              </w:rPr>
              <w:t>5</w:t>
            </w:r>
            <w:r w:rsidRPr="00C7464B">
              <w:rPr>
                <w:rFonts w:cs="Times New Roman"/>
                <w:b/>
                <w:szCs w:val="24"/>
              </w:rPr>
              <w:t>/</w:t>
            </w:r>
            <w:r w:rsidRPr="00C7464B">
              <w:rPr>
                <w:rFonts w:cs="Times New Roman"/>
                <w:b/>
                <w:szCs w:val="24"/>
              </w:rPr>
              <w:br/>
              <w:t>202</w:t>
            </w:r>
            <w:r w:rsidR="00983317" w:rsidRPr="00C7464B">
              <w:rPr>
                <w:rFonts w:cs="Times New Roman"/>
                <w:b/>
                <w:szCs w:val="24"/>
              </w:rPr>
              <w:t>4</w:t>
            </w:r>
          </w:p>
          <w:p w14:paraId="1180CC24" w14:textId="77777777" w:rsidR="00480EAA" w:rsidRPr="00C7464B" w:rsidRDefault="00480EAA" w:rsidP="001E02BC">
            <w:pPr>
              <w:jc w:val="center"/>
              <w:rPr>
                <w:rFonts w:cs="Times New Roman"/>
                <w:b/>
                <w:szCs w:val="24"/>
              </w:rPr>
            </w:pPr>
            <w:r w:rsidRPr="00C7464B">
              <w:rPr>
                <w:rFonts w:cs="Times New Roman"/>
                <w:b/>
                <w:szCs w:val="24"/>
              </w:rPr>
              <w:t>(v %)</w:t>
            </w:r>
          </w:p>
        </w:tc>
      </w:tr>
      <w:tr w:rsidR="00AF68DF" w:rsidRPr="00D070B8" w14:paraId="40348776" w14:textId="77777777" w:rsidTr="001E02BC">
        <w:tc>
          <w:tcPr>
            <w:tcW w:w="5110" w:type="dxa"/>
            <w:tcBorders>
              <w:top w:val="single" w:sz="8" w:space="0" w:color="7F7F7F" w:themeColor="text1" w:themeTint="80"/>
              <w:bottom w:val="single" w:sz="8" w:space="0" w:color="7F7F7F" w:themeColor="text1" w:themeTint="80"/>
            </w:tcBorders>
          </w:tcPr>
          <w:p w14:paraId="28A50166" w14:textId="77777777" w:rsidR="00AF68DF" w:rsidRPr="00C7464B" w:rsidRDefault="00AF68DF" w:rsidP="00AF68DF">
            <w:pPr>
              <w:jc w:val="left"/>
              <w:rPr>
                <w:rFonts w:cs="Times New Roman"/>
                <w:b/>
                <w:szCs w:val="24"/>
              </w:rPr>
            </w:pPr>
            <w:r w:rsidRPr="00C7464B">
              <w:rPr>
                <w:rFonts w:cs="Times New Roman"/>
                <w:b/>
                <w:szCs w:val="24"/>
              </w:rPr>
              <w:t xml:space="preserve">Daňové příjmy, nedaňové příjmy, kapitálové příjmy a přijaté transfery celkem </w:t>
            </w:r>
            <w:r w:rsidRPr="00C7464B">
              <w:rPr>
                <w:rFonts w:cs="Times New Roman"/>
              </w:rPr>
              <w:t>v tom:</w:t>
            </w:r>
          </w:p>
        </w:tc>
        <w:tc>
          <w:tcPr>
            <w:tcW w:w="1440" w:type="dxa"/>
            <w:tcBorders>
              <w:top w:val="single" w:sz="8" w:space="0" w:color="7F7F7F" w:themeColor="text1" w:themeTint="80"/>
              <w:bottom w:val="single" w:sz="8" w:space="0" w:color="7F7F7F" w:themeColor="text1" w:themeTint="80"/>
            </w:tcBorders>
            <w:vAlign w:val="center"/>
          </w:tcPr>
          <w:p w14:paraId="5D3369DD" w14:textId="573F9BD6" w:rsidR="00AF68DF" w:rsidRPr="00C7464B" w:rsidRDefault="00AF68DF" w:rsidP="00AF68DF">
            <w:pPr>
              <w:pStyle w:val="Zkladntext"/>
              <w:spacing w:before="120"/>
              <w:jc w:val="right"/>
              <w:rPr>
                <w:b/>
                <w:bCs w:val="0"/>
                <w:color w:val="FF0000"/>
              </w:rPr>
            </w:pPr>
            <w:r w:rsidRPr="008D795F">
              <w:rPr>
                <w:b/>
                <w:bCs w:val="0"/>
              </w:rPr>
              <w:t>25 109 487</w:t>
            </w:r>
          </w:p>
        </w:tc>
        <w:tc>
          <w:tcPr>
            <w:tcW w:w="1440" w:type="dxa"/>
            <w:tcBorders>
              <w:top w:val="single" w:sz="8" w:space="0" w:color="7F7F7F" w:themeColor="text1" w:themeTint="80"/>
              <w:bottom w:val="single" w:sz="8" w:space="0" w:color="7F7F7F" w:themeColor="text1" w:themeTint="80"/>
            </w:tcBorders>
            <w:vAlign w:val="center"/>
          </w:tcPr>
          <w:p w14:paraId="18712BE3" w14:textId="49AA9563" w:rsidR="00AF68DF" w:rsidRPr="00D070B8" w:rsidRDefault="00AF68DF" w:rsidP="00AF68DF">
            <w:pPr>
              <w:pStyle w:val="Zkladntext"/>
              <w:spacing w:before="120"/>
              <w:jc w:val="right"/>
              <w:rPr>
                <w:b/>
                <w:bCs w:val="0"/>
                <w:color w:val="FF0000"/>
                <w:highlight w:val="yellow"/>
              </w:rPr>
            </w:pPr>
            <w:r w:rsidRPr="00F00CE2">
              <w:rPr>
                <w:b/>
                <w:bCs w:val="0"/>
              </w:rPr>
              <w:t xml:space="preserve">38 678 386 </w:t>
            </w:r>
          </w:p>
        </w:tc>
        <w:tc>
          <w:tcPr>
            <w:tcW w:w="1072" w:type="dxa"/>
            <w:tcBorders>
              <w:top w:val="single" w:sz="8" w:space="0" w:color="7F7F7F" w:themeColor="text1" w:themeTint="80"/>
              <w:bottom w:val="single" w:sz="8" w:space="0" w:color="7F7F7F" w:themeColor="text1" w:themeTint="80"/>
            </w:tcBorders>
            <w:vAlign w:val="center"/>
          </w:tcPr>
          <w:p w14:paraId="48AD6CD2" w14:textId="28A4FE0F" w:rsidR="00AF68DF" w:rsidRPr="00D070B8" w:rsidRDefault="002F5D5F" w:rsidP="00AF68DF">
            <w:pPr>
              <w:pStyle w:val="Zkladntext"/>
              <w:spacing w:before="120"/>
              <w:jc w:val="right"/>
              <w:rPr>
                <w:b/>
                <w:bCs w:val="0"/>
                <w:color w:val="FF0000"/>
                <w:highlight w:val="yellow"/>
              </w:rPr>
            </w:pPr>
            <w:r>
              <w:rPr>
                <w:b/>
                <w:bCs w:val="0"/>
              </w:rPr>
              <w:t>154,04</w:t>
            </w:r>
          </w:p>
        </w:tc>
      </w:tr>
      <w:tr w:rsidR="00AF68DF" w:rsidRPr="00D070B8" w14:paraId="364482E2" w14:textId="77777777" w:rsidTr="001E02BC">
        <w:tc>
          <w:tcPr>
            <w:tcW w:w="5110" w:type="dxa"/>
          </w:tcPr>
          <w:p w14:paraId="3A3D852C" w14:textId="77777777" w:rsidR="00AF68DF" w:rsidRPr="00C7464B" w:rsidRDefault="00AF68DF" w:rsidP="00AF68DF">
            <w:pPr>
              <w:rPr>
                <w:rFonts w:cs="Times New Roman"/>
                <w:szCs w:val="24"/>
              </w:rPr>
            </w:pPr>
            <w:r w:rsidRPr="00C7464B">
              <w:rPr>
                <w:rFonts w:cs="Times New Roman"/>
                <w:szCs w:val="24"/>
              </w:rPr>
              <w:t>správní poplatky</w:t>
            </w:r>
          </w:p>
        </w:tc>
        <w:tc>
          <w:tcPr>
            <w:tcW w:w="1440" w:type="dxa"/>
            <w:vAlign w:val="center"/>
          </w:tcPr>
          <w:p w14:paraId="652AB183" w14:textId="2DADC305" w:rsidR="00AF68DF" w:rsidRPr="00C7464B" w:rsidRDefault="00AF68DF" w:rsidP="00AF68DF">
            <w:pPr>
              <w:pStyle w:val="Zkladntext"/>
              <w:jc w:val="right"/>
            </w:pPr>
            <w:r w:rsidRPr="008D795F">
              <w:t>195 000</w:t>
            </w:r>
          </w:p>
        </w:tc>
        <w:tc>
          <w:tcPr>
            <w:tcW w:w="1440" w:type="dxa"/>
            <w:vAlign w:val="center"/>
          </w:tcPr>
          <w:p w14:paraId="31E8E833" w14:textId="500AD030" w:rsidR="00AF68DF" w:rsidRPr="00AF68DF" w:rsidRDefault="00AF68DF" w:rsidP="00AF68DF">
            <w:pPr>
              <w:pStyle w:val="Zkladntext"/>
              <w:jc w:val="right"/>
              <w:rPr>
                <w:color w:val="FF0000"/>
              </w:rPr>
            </w:pPr>
            <w:r w:rsidRPr="00AF68DF">
              <w:t>225 000</w:t>
            </w:r>
          </w:p>
        </w:tc>
        <w:tc>
          <w:tcPr>
            <w:tcW w:w="1072" w:type="dxa"/>
            <w:vAlign w:val="center"/>
          </w:tcPr>
          <w:p w14:paraId="4F20BECC" w14:textId="65984B5E" w:rsidR="00AF68DF" w:rsidRPr="00AF68DF" w:rsidRDefault="00AF68DF" w:rsidP="00AF68DF">
            <w:pPr>
              <w:pStyle w:val="Zkladntext"/>
              <w:jc w:val="right"/>
              <w:rPr>
                <w:color w:val="FF0000"/>
              </w:rPr>
            </w:pPr>
            <w:r w:rsidRPr="009307FC">
              <w:t>115,3</w:t>
            </w:r>
            <w:r w:rsidR="002F5D5F">
              <w:t>8</w:t>
            </w:r>
          </w:p>
        </w:tc>
      </w:tr>
      <w:tr w:rsidR="00AF68DF" w:rsidRPr="00D070B8" w14:paraId="5D1F61B7" w14:textId="77777777" w:rsidTr="001E02BC">
        <w:tc>
          <w:tcPr>
            <w:tcW w:w="5110" w:type="dxa"/>
          </w:tcPr>
          <w:p w14:paraId="7D5DEBB8" w14:textId="77777777" w:rsidR="00AF68DF" w:rsidRPr="00C7464B" w:rsidRDefault="00AF68DF" w:rsidP="00AF68DF">
            <w:pPr>
              <w:ind w:left="180" w:hanging="180"/>
              <w:rPr>
                <w:rFonts w:cs="Times New Roman"/>
                <w:szCs w:val="24"/>
              </w:rPr>
            </w:pPr>
            <w:r w:rsidRPr="00C7464B">
              <w:rPr>
                <w:rFonts w:cs="Times New Roman"/>
                <w:szCs w:val="24"/>
              </w:rPr>
              <w:t>příjmy z vlastní činnosti</w:t>
            </w:r>
          </w:p>
        </w:tc>
        <w:tc>
          <w:tcPr>
            <w:tcW w:w="1440" w:type="dxa"/>
            <w:vAlign w:val="center"/>
          </w:tcPr>
          <w:p w14:paraId="1728E6F6" w14:textId="169C356E" w:rsidR="00AF68DF" w:rsidRPr="00C7464B" w:rsidRDefault="00AF68DF" w:rsidP="00AF68DF">
            <w:pPr>
              <w:pStyle w:val="Zkladntext"/>
              <w:jc w:val="right"/>
            </w:pPr>
            <w:r w:rsidRPr="008D795F">
              <w:t>48 300</w:t>
            </w:r>
          </w:p>
        </w:tc>
        <w:tc>
          <w:tcPr>
            <w:tcW w:w="1440" w:type="dxa"/>
            <w:vAlign w:val="center"/>
          </w:tcPr>
          <w:p w14:paraId="17311B40" w14:textId="72C9F73F" w:rsidR="00AF68DF" w:rsidRPr="00A00649" w:rsidRDefault="00AF68DF" w:rsidP="00AF68DF">
            <w:pPr>
              <w:pStyle w:val="Zkladntext"/>
              <w:jc w:val="right"/>
            </w:pPr>
            <w:r w:rsidRPr="00A00649">
              <w:t>50 800</w:t>
            </w:r>
          </w:p>
        </w:tc>
        <w:tc>
          <w:tcPr>
            <w:tcW w:w="1072" w:type="dxa"/>
            <w:vAlign w:val="center"/>
          </w:tcPr>
          <w:p w14:paraId="51EF1C59" w14:textId="2FE8E385" w:rsidR="00AF68DF" w:rsidRPr="00D070B8" w:rsidRDefault="00AF68DF" w:rsidP="00AF68DF">
            <w:pPr>
              <w:pStyle w:val="Zkladntext"/>
              <w:jc w:val="right"/>
              <w:rPr>
                <w:highlight w:val="yellow"/>
              </w:rPr>
            </w:pPr>
            <w:r w:rsidRPr="009307FC">
              <w:t>1</w:t>
            </w:r>
            <w:r>
              <w:t>05,18</w:t>
            </w:r>
          </w:p>
        </w:tc>
      </w:tr>
      <w:tr w:rsidR="00AF68DF" w:rsidRPr="00D070B8" w14:paraId="55F87735" w14:textId="77777777" w:rsidTr="001E02BC">
        <w:tc>
          <w:tcPr>
            <w:tcW w:w="5110" w:type="dxa"/>
          </w:tcPr>
          <w:p w14:paraId="45A253F9" w14:textId="77777777" w:rsidR="00AF68DF" w:rsidRPr="00C7464B" w:rsidRDefault="00AF68DF" w:rsidP="00AF68DF">
            <w:pPr>
              <w:ind w:left="180" w:hanging="180"/>
              <w:rPr>
                <w:rFonts w:cs="Times New Roman"/>
                <w:szCs w:val="24"/>
              </w:rPr>
            </w:pPr>
            <w:r w:rsidRPr="00C7464B">
              <w:rPr>
                <w:rFonts w:cs="Times New Roman"/>
                <w:szCs w:val="24"/>
              </w:rPr>
              <w:t>příjmy z pronájmu majetku</w:t>
            </w:r>
          </w:p>
        </w:tc>
        <w:tc>
          <w:tcPr>
            <w:tcW w:w="1440" w:type="dxa"/>
            <w:vAlign w:val="center"/>
          </w:tcPr>
          <w:p w14:paraId="7F7C4D52" w14:textId="6BCB2414" w:rsidR="00AF68DF" w:rsidRPr="00C7464B" w:rsidRDefault="00AF68DF" w:rsidP="00AF68DF">
            <w:pPr>
              <w:pStyle w:val="Zkladntext"/>
              <w:jc w:val="right"/>
              <w:rPr>
                <w:color w:val="FF0000"/>
              </w:rPr>
            </w:pPr>
            <w:r w:rsidRPr="008D795F">
              <w:t>32 632</w:t>
            </w:r>
          </w:p>
        </w:tc>
        <w:tc>
          <w:tcPr>
            <w:tcW w:w="1440" w:type="dxa"/>
            <w:vAlign w:val="center"/>
          </w:tcPr>
          <w:p w14:paraId="5EAF4922" w14:textId="77777777" w:rsidR="00AF68DF" w:rsidRPr="00A00649" w:rsidRDefault="00AF68DF" w:rsidP="00AF68DF">
            <w:pPr>
              <w:pStyle w:val="Zkladntext"/>
              <w:jc w:val="right"/>
            </w:pPr>
            <w:r w:rsidRPr="00A00649">
              <w:t>32 632</w:t>
            </w:r>
          </w:p>
        </w:tc>
        <w:tc>
          <w:tcPr>
            <w:tcW w:w="1072" w:type="dxa"/>
            <w:vAlign w:val="center"/>
          </w:tcPr>
          <w:p w14:paraId="0595916B" w14:textId="3B0BF682" w:rsidR="00AF68DF" w:rsidRPr="00D070B8" w:rsidRDefault="00AF68DF" w:rsidP="00AF68DF">
            <w:pPr>
              <w:pStyle w:val="Zkladntext"/>
              <w:jc w:val="right"/>
              <w:rPr>
                <w:highlight w:val="yellow"/>
              </w:rPr>
            </w:pPr>
            <w:r>
              <w:t>100,00</w:t>
            </w:r>
          </w:p>
        </w:tc>
      </w:tr>
      <w:tr w:rsidR="00C7464B" w:rsidRPr="00D070B8" w14:paraId="0BDBA28E" w14:textId="77777777" w:rsidTr="001E02BC">
        <w:tc>
          <w:tcPr>
            <w:tcW w:w="5110" w:type="dxa"/>
          </w:tcPr>
          <w:p w14:paraId="068BB6D4" w14:textId="748EB37D" w:rsidR="00C7464B" w:rsidRPr="00C7464B" w:rsidRDefault="00C7464B" w:rsidP="001E02BC">
            <w:pPr>
              <w:ind w:left="180" w:hanging="180"/>
              <w:rPr>
                <w:rFonts w:cs="Times New Roman"/>
                <w:szCs w:val="24"/>
              </w:rPr>
            </w:pPr>
            <w:r>
              <w:rPr>
                <w:rFonts w:cs="Times New Roman"/>
                <w:szCs w:val="24"/>
              </w:rPr>
              <w:t>o</w:t>
            </w:r>
            <w:r w:rsidRPr="00C7464B">
              <w:rPr>
                <w:rFonts w:cs="Times New Roman"/>
                <w:szCs w:val="24"/>
              </w:rPr>
              <w:t>dvody přebytků organizací</w:t>
            </w:r>
            <w:r>
              <w:rPr>
                <w:rFonts w:cs="Times New Roman"/>
                <w:szCs w:val="24"/>
              </w:rPr>
              <w:t xml:space="preserve"> s přímým vztahem</w:t>
            </w:r>
          </w:p>
        </w:tc>
        <w:tc>
          <w:tcPr>
            <w:tcW w:w="1440" w:type="dxa"/>
            <w:vAlign w:val="center"/>
          </w:tcPr>
          <w:p w14:paraId="38F198E4" w14:textId="5A126F10" w:rsidR="00C7464B" w:rsidRPr="00C7464B" w:rsidRDefault="00C7464B" w:rsidP="001E02BC">
            <w:pPr>
              <w:pStyle w:val="Zkladntext"/>
              <w:jc w:val="right"/>
            </w:pPr>
            <w:r w:rsidRPr="00C7464B">
              <w:t>0</w:t>
            </w:r>
          </w:p>
        </w:tc>
        <w:tc>
          <w:tcPr>
            <w:tcW w:w="1440" w:type="dxa"/>
            <w:tcBorders>
              <w:bottom w:val="single" w:sz="4" w:space="0" w:color="7F7F7F" w:themeColor="text1" w:themeTint="80"/>
            </w:tcBorders>
            <w:vAlign w:val="center"/>
          </w:tcPr>
          <w:p w14:paraId="27832D4F" w14:textId="155BA656" w:rsidR="00C7464B" w:rsidRPr="00C7464B" w:rsidRDefault="00C7464B" w:rsidP="001E02BC">
            <w:pPr>
              <w:pStyle w:val="Zkladntext"/>
              <w:jc w:val="right"/>
              <w:rPr>
                <w:bCs w:val="0"/>
              </w:rPr>
            </w:pPr>
            <w:r w:rsidRPr="00C7464B">
              <w:rPr>
                <w:bCs w:val="0"/>
              </w:rPr>
              <w:t>800 000</w:t>
            </w:r>
          </w:p>
        </w:tc>
        <w:tc>
          <w:tcPr>
            <w:tcW w:w="1072" w:type="dxa"/>
            <w:vAlign w:val="center"/>
          </w:tcPr>
          <w:p w14:paraId="6E6DF84D" w14:textId="3EC5BE72" w:rsidR="00C7464B" w:rsidRPr="00C7464B" w:rsidRDefault="00C7464B" w:rsidP="001E02BC">
            <w:pPr>
              <w:pStyle w:val="Zkladntext"/>
              <w:jc w:val="right"/>
            </w:pPr>
            <w:r w:rsidRPr="00C7464B">
              <w:t>x</w:t>
            </w:r>
          </w:p>
        </w:tc>
      </w:tr>
      <w:tr w:rsidR="00C7464B" w:rsidRPr="00D070B8" w14:paraId="7EBEF17D" w14:textId="77777777" w:rsidTr="001E02BC">
        <w:tc>
          <w:tcPr>
            <w:tcW w:w="5110" w:type="dxa"/>
          </w:tcPr>
          <w:p w14:paraId="46475345" w14:textId="6EB037D7" w:rsidR="00C7464B" w:rsidRPr="00C7464B" w:rsidRDefault="00C7464B" w:rsidP="001E02BC">
            <w:pPr>
              <w:ind w:left="180" w:hanging="180"/>
              <w:rPr>
                <w:rFonts w:cs="Times New Roman"/>
                <w:szCs w:val="24"/>
              </w:rPr>
            </w:pPr>
            <w:r>
              <w:rPr>
                <w:rFonts w:cs="Times New Roman"/>
                <w:szCs w:val="24"/>
              </w:rPr>
              <w:t>příjmy z odvodů příspěvkových organizací</w:t>
            </w:r>
          </w:p>
        </w:tc>
        <w:tc>
          <w:tcPr>
            <w:tcW w:w="1440" w:type="dxa"/>
            <w:vAlign w:val="center"/>
          </w:tcPr>
          <w:p w14:paraId="39525163" w14:textId="17AD82CA" w:rsidR="00C7464B" w:rsidRPr="00C7464B" w:rsidRDefault="00C7464B" w:rsidP="001E02BC">
            <w:pPr>
              <w:pStyle w:val="Zkladntext"/>
              <w:jc w:val="right"/>
            </w:pPr>
            <w:r>
              <w:t>0</w:t>
            </w:r>
          </w:p>
        </w:tc>
        <w:tc>
          <w:tcPr>
            <w:tcW w:w="1440" w:type="dxa"/>
            <w:vAlign w:val="center"/>
          </w:tcPr>
          <w:p w14:paraId="26091C35" w14:textId="09CD1835" w:rsidR="00C7464B" w:rsidRPr="00C7464B" w:rsidRDefault="00C7464B" w:rsidP="001E02BC">
            <w:pPr>
              <w:pStyle w:val="Zkladntext"/>
              <w:jc w:val="right"/>
            </w:pPr>
            <w:r w:rsidRPr="00C7464B">
              <w:t>32 000</w:t>
            </w:r>
          </w:p>
        </w:tc>
        <w:tc>
          <w:tcPr>
            <w:tcW w:w="1072" w:type="dxa"/>
            <w:vAlign w:val="center"/>
          </w:tcPr>
          <w:p w14:paraId="468BDD8B" w14:textId="1C266C9F" w:rsidR="00C7464B" w:rsidRPr="00C7464B" w:rsidRDefault="00C7464B" w:rsidP="001E02BC">
            <w:pPr>
              <w:pStyle w:val="Zkladntext"/>
              <w:jc w:val="right"/>
            </w:pPr>
            <w:r w:rsidRPr="00C7464B">
              <w:t>x</w:t>
            </w:r>
          </w:p>
        </w:tc>
      </w:tr>
      <w:tr w:rsidR="009A0D5C" w:rsidRPr="00D070B8" w14:paraId="52490C2F" w14:textId="77777777" w:rsidTr="001E02BC">
        <w:tc>
          <w:tcPr>
            <w:tcW w:w="5110" w:type="dxa"/>
          </w:tcPr>
          <w:p w14:paraId="686211D1" w14:textId="0F0B4ECE" w:rsidR="009A0D5C" w:rsidRDefault="009A0D5C" w:rsidP="001E02BC">
            <w:pPr>
              <w:ind w:left="180" w:hanging="180"/>
              <w:rPr>
                <w:rFonts w:cs="Times New Roman"/>
                <w:szCs w:val="24"/>
              </w:rPr>
            </w:pPr>
            <w:r>
              <w:rPr>
                <w:rFonts w:cs="Times New Roman"/>
                <w:szCs w:val="24"/>
              </w:rPr>
              <w:t>ostatní nedaňové příjmy</w:t>
            </w:r>
          </w:p>
        </w:tc>
        <w:tc>
          <w:tcPr>
            <w:tcW w:w="1440" w:type="dxa"/>
            <w:vAlign w:val="center"/>
          </w:tcPr>
          <w:p w14:paraId="15527816" w14:textId="3FDADC53" w:rsidR="009A0D5C" w:rsidRDefault="009A0D5C" w:rsidP="001E02BC">
            <w:pPr>
              <w:pStyle w:val="Zkladntext"/>
              <w:jc w:val="right"/>
            </w:pPr>
            <w:r>
              <w:t>0</w:t>
            </w:r>
          </w:p>
        </w:tc>
        <w:tc>
          <w:tcPr>
            <w:tcW w:w="1440" w:type="dxa"/>
            <w:vAlign w:val="center"/>
          </w:tcPr>
          <w:p w14:paraId="17D5B2D2" w14:textId="498C9F58" w:rsidR="009A0D5C" w:rsidRPr="00C7464B" w:rsidRDefault="009A0D5C" w:rsidP="001E02BC">
            <w:pPr>
              <w:pStyle w:val="Zkladntext"/>
              <w:jc w:val="right"/>
            </w:pPr>
            <w:r>
              <w:t>20 500</w:t>
            </w:r>
          </w:p>
        </w:tc>
        <w:tc>
          <w:tcPr>
            <w:tcW w:w="1072" w:type="dxa"/>
            <w:vAlign w:val="center"/>
          </w:tcPr>
          <w:p w14:paraId="7C39D90F" w14:textId="32C9D846" w:rsidR="009A0D5C" w:rsidRPr="00C7464B" w:rsidRDefault="009A0D5C" w:rsidP="001E02BC">
            <w:pPr>
              <w:pStyle w:val="Zkladntext"/>
              <w:jc w:val="right"/>
            </w:pPr>
            <w:r>
              <w:t>x</w:t>
            </w:r>
          </w:p>
        </w:tc>
      </w:tr>
      <w:tr w:rsidR="00A00649" w:rsidRPr="00D070B8" w14:paraId="59BFB75E" w14:textId="77777777" w:rsidTr="001E02BC">
        <w:tc>
          <w:tcPr>
            <w:tcW w:w="5110" w:type="dxa"/>
          </w:tcPr>
          <w:p w14:paraId="7FE97E82" w14:textId="77777777" w:rsidR="00A00649" w:rsidRPr="00C7464B" w:rsidRDefault="00A00649" w:rsidP="00A00649">
            <w:pPr>
              <w:ind w:left="180" w:hanging="180"/>
              <w:rPr>
                <w:rFonts w:cs="Times New Roman"/>
                <w:szCs w:val="24"/>
              </w:rPr>
            </w:pPr>
            <w:r w:rsidRPr="00C7464B">
              <w:rPr>
                <w:rFonts w:cs="Times New Roman"/>
                <w:szCs w:val="24"/>
              </w:rPr>
              <w:t>přijaté sankční platby</w:t>
            </w:r>
          </w:p>
        </w:tc>
        <w:tc>
          <w:tcPr>
            <w:tcW w:w="1440" w:type="dxa"/>
            <w:vAlign w:val="center"/>
          </w:tcPr>
          <w:p w14:paraId="3BA73F7B" w14:textId="71AD6A4D" w:rsidR="00A00649" w:rsidRPr="00C7464B" w:rsidRDefault="00A00649" w:rsidP="00A00649">
            <w:pPr>
              <w:pStyle w:val="Zkladntext"/>
              <w:jc w:val="right"/>
            </w:pPr>
            <w:r w:rsidRPr="008D795F">
              <w:t>1 068</w:t>
            </w:r>
          </w:p>
        </w:tc>
        <w:tc>
          <w:tcPr>
            <w:tcW w:w="1440" w:type="dxa"/>
            <w:vAlign w:val="center"/>
          </w:tcPr>
          <w:p w14:paraId="1A3B2E13" w14:textId="310E160D" w:rsidR="00A00649" w:rsidRPr="00D070B8" w:rsidRDefault="00A00649" w:rsidP="00A00649">
            <w:pPr>
              <w:pStyle w:val="Zkladntext"/>
              <w:jc w:val="right"/>
              <w:rPr>
                <w:highlight w:val="yellow"/>
              </w:rPr>
            </w:pPr>
            <w:r w:rsidRPr="00F00CE2">
              <w:t>1 068</w:t>
            </w:r>
          </w:p>
        </w:tc>
        <w:tc>
          <w:tcPr>
            <w:tcW w:w="1072" w:type="dxa"/>
            <w:vAlign w:val="center"/>
          </w:tcPr>
          <w:p w14:paraId="6B6340F4" w14:textId="62ABD0BD" w:rsidR="00A00649" w:rsidRPr="00D070B8" w:rsidRDefault="00A00649" w:rsidP="00A00649">
            <w:pPr>
              <w:pStyle w:val="Zkladntext"/>
              <w:jc w:val="right"/>
              <w:rPr>
                <w:highlight w:val="yellow"/>
              </w:rPr>
            </w:pPr>
            <w:r w:rsidRPr="009307FC">
              <w:t>100,00</w:t>
            </w:r>
          </w:p>
        </w:tc>
      </w:tr>
      <w:tr w:rsidR="009A0D5C" w:rsidRPr="00D070B8" w14:paraId="08CE6CA3" w14:textId="77777777" w:rsidTr="001E02BC">
        <w:tc>
          <w:tcPr>
            <w:tcW w:w="5110" w:type="dxa"/>
          </w:tcPr>
          <w:p w14:paraId="1D697146" w14:textId="137EE117" w:rsidR="009A0D5C" w:rsidRPr="00C7464B" w:rsidRDefault="009A0D5C" w:rsidP="00A00649">
            <w:pPr>
              <w:ind w:left="180" w:hanging="180"/>
              <w:rPr>
                <w:rFonts w:cs="Times New Roman"/>
                <w:szCs w:val="24"/>
              </w:rPr>
            </w:pPr>
            <w:r>
              <w:rPr>
                <w:rFonts w:cs="Times New Roman"/>
                <w:szCs w:val="24"/>
              </w:rPr>
              <w:t>vratky transferů a podobné příjmy</w:t>
            </w:r>
          </w:p>
        </w:tc>
        <w:tc>
          <w:tcPr>
            <w:tcW w:w="1440" w:type="dxa"/>
            <w:vAlign w:val="center"/>
          </w:tcPr>
          <w:p w14:paraId="712B59DA" w14:textId="058DEE13" w:rsidR="009A0D5C" w:rsidRPr="008D795F" w:rsidRDefault="009A0D5C" w:rsidP="00A00649">
            <w:pPr>
              <w:pStyle w:val="Zkladntext"/>
              <w:jc w:val="right"/>
            </w:pPr>
            <w:r>
              <w:t>0</w:t>
            </w:r>
          </w:p>
        </w:tc>
        <w:tc>
          <w:tcPr>
            <w:tcW w:w="1440" w:type="dxa"/>
            <w:vAlign w:val="center"/>
          </w:tcPr>
          <w:p w14:paraId="2722EEB7" w14:textId="0E59AA00" w:rsidR="009A0D5C" w:rsidRPr="00F00CE2" w:rsidRDefault="009A0D5C" w:rsidP="00A00649">
            <w:pPr>
              <w:pStyle w:val="Zkladntext"/>
              <w:jc w:val="right"/>
            </w:pPr>
            <w:r>
              <w:t>25 000</w:t>
            </w:r>
          </w:p>
        </w:tc>
        <w:tc>
          <w:tcPr>
            <w:tcW w:w="1072" w:type="dxa"/>
            <w:vAlign w:val="center"/>
          </w:tcPr>
          <w:p w14:paraId="022CB954" w14:textId="20DB76C0" w:rsidR="009A0D5C" w:rsidRPr="009307FC" w:rsidRDefault="009A0D5C" w:rsidP="00A00649">
            <w:pPr>
              <w:pStyle w:val="Zkladntext"/>
              <w:jc w:val="right"/>
            </w:pPr>
            <w:r>
              <w:t>x</w:t>
            </w:r>
          </w:p>
        </w:tc>
      </w:tr>
      <w:tr w:rsidR="00A00649" w:rsidRPr="00D070B8" w14:paraId="7AF1C805" w14:textId="77777777" w:rsidTr="001E02BC">
        <w:tc>
          <w:tcPr>
            <w:tcW w:w="5110" w:type="dxa"/>
          </w:tcPr>
          <w:p w14:paraId="2AEA6C30" w14:textId="77777777" w:rsidR="00A00649" w:rsidRPr="00C7464B" w:rsidRDefault="00A00649" w:rsidP="00A00649">
            <w:pPr>
              <w:ind w:left="180" w:hanging="180"/>
              <w:rPr>
                <w:rFonts w:cs="Times New Roman"/>
                <w:szCs w:val="24"/>
              </w:rPr>
            </w:pPr>
            <w:r w:rsidRPr="00C7464B">
              <w:rPr>
                <w:rFonts w:cs="Times New Roman"/>
                <w:szCs w:val="24"/>
              </w:rPr>
              <w:t>neinvestiční převody z Národního fondu</w:t>
            </w:r>
          </w:p>
        </w:tc>
        <w:tc>
          <w:tcPr>
            <w:tcW w:w="1440" w:type="dxa"/>
            <w:vAlign w:val="center"/>
          </w:tcPr>
          <w:p w14:paraId="7E453B82" w14:textId="72EF922B" w:rsidR="00A00649" w:rsidRPr="00C7464B" w:rsidRDefault="00A00649" w:rsidP="00A00649">
            <w:pPr>
              <w:pStyle w:val="Zkladntext"/>
              <w:jc w:val="right"/>
              <w:rPr>
                <w:bCs w:val="0"/>
              </w:rPr>
            </w:pPr>
            <w:r w:rsidRPr="008D795F">
              <w:rPr>
                <w:bCs w:val="0"/>
              </w:rPr>
              <w:t>127 762</w:t>
            </w:r>
          </w:p>
        </w:tc>
        <w:tc>
          <w:tcPr>
            <w:tcW w:w="1440" w:type="dxa"/>
            <w:vAlign w:val="center"/>
          </w:tcPr>
          <w:p w14:paraId="4108F4C5" w14:textId="76FADDC4" w:rsidR="00A00649" w:rsidRPr="00D070B8" w:rsidRDefault="00A00649" w:rsidP="00A00649">
            <w:pPr>
              <w:pStyle w:val="Zkladntext"/>
              <w:jc w:val="right"/>
              <w:rPr>
                <w:bCs w:val="0"/>
                <w:highlight w:val="yellow"/>
              </w:rPr>
            </w:pPr>
            <w:r w:rsidRPr="00F00CE2">
              <w:rPr>
                <w:bCs w:val="0"/>
              </w:rPr>
              <w:t>132 434</w:t>
            </w:r>
          </w:p>
        </w:tc>
        <w:tc>
          <w:tcPr>
            <w:tcW w:w="1072" w:type="dxa"/>
            <w:vAlign w:val="center"/>
          </w:tcPr>
          <w:p w14:paraId="0FA2FDDD" w14:textId="17D9A340" w:rsidR="00A00649" w:rsidRPr="00D070B8" w:rsidRDefault="00A00649" w:rsidP="00A00649">
            <w:pPr>
              <w:pStyle w:val="Zkladntext"/>
              <w:jc w:val="right"/>
              <w:rPr>
                <w:bCs w:val="0"/>
                <w:color w:val="FF0000"/>
                <w:highlight w:val="yellow"/>
              </w:rPr>
            </w:pPr>
            <w:r w:rsidRPr="009307FC">
              <w:t>103,66</w:t>
            </w:r>
          </w:p>
        </w:tc>
      </w:tr>
      <w:tr w:rsidR="00A00649" w:rsidRPr="00D070B8" w14:paraId="39D7A240" w14:textId="77777777" w:rsidTr="001E02BC">
        <w:tc>
          <w:tcPr>
            <w:tcW w:w="5110" w:type="dxa"/>
          </w:tcPr>
          <w:p w14:paraId="2893659F" w14:textId="77777777" w:rsidR="00A00649" w:rsidRPr="00C7464B" w:rsidRDefault="00A00649" w:rsidP="00A00649">
            <w:pPr>
              <w:rPr>
                <w:rFonts w:cs="Times New Roman"/>
                <w:szCs w:val="24"/>
              </w:rPr>
            </w:pPr>
            <w:r w:rsidRPr="00C7464B">
              <w:rPr>
                <w:rFonts w:cs="Times New Roman"/>
                <w:szCs w:val="24"/>
              </w:rPr>
              <w:t>neinvestiční transfery přijaté od Evropské unie</w:t>
            </w:r>
          </w:p>
        </w:tc>
        <w:tc>
          <w:tcPr>
            <w:tcW w:w="1440" w:type="dxa"/>
            <w:vAlign w:val="center"/>
          </w:tcPr>
          <w:p w14:paraId="39AE5DB4" w14:textId="5C4E1D32" w:rsidR="00A00649" w:rsidRPr="00C7464B" w:rsidRDefault="00A00649" w:rsidP="00A00649">
            <w:pPr>
              <w:pStyle w:val="Zkladntext"/>
              <w:jc w:val="right"/>
              <w:rPr>
                <w:bCs w:val="0"/>
              </w:rPr>
            </w:pPr>
            <w:r w:rsidRPr="008D795F">
              <w:rPr>
                <w:bCs w:val="0"/>
              </w:rPr>
              <w:t>28 681</w:t>
            </w:r>
          </w:p>
        </w:tc>
        <w:tc>
          <w:tcPr>
            <w:tcW w:w="1440" w:type="dxa"/>
            <w:vAlign w:val="center"/>
          </w:tcPr>
          <w:p w14:paraId="714D8D2B" w14:textId="43DE706E" w:rsidR="00A00649" w:rsidRPr="00D070B8" w:rsidRDefault="00A00649" w:rsidP="00A00649">
            <w:pPr>
              <w:pStyle w:val="Zkladntext"/>
              <w:jc w:val="right"/>
              <w:rPr>
                <w:bCs w:val="0"/>
                <w:highlight w:val="yellow"/>
              </w:rPr>
            </w:pPr>
            <w:r w:rsidRPr="00F00CE2">
              <w:rPr>
                <w:bCs w:val="0"/>
              </w:rPr>
              <w:t>22 576</w:t>
            </w:r>
          </w:p>
        </w:tc>
        <w:tc>
          <w:tcPr>
            <w:tcW w:w="1072" w:type="dxa"/>
            <w:vAlign w:val="center"/>
          </w:tcPr>
          <w:p w14:paraId="472D8F1A" w14:textId="1EC8D62B" w:rsidR="00A00649" w:rsidRPr="00D070B8" w:rsidRDefault="00A00649" w:rsidP="00A00649">
            <w:pPr>
              <w:pStyle w:val="Zkladntext"/>
              <w:jc w:val="right"/>
              <w:rPr>
                <w:bCs w:val="0"/>
                <w:color w:val="FF0000"/>
                <w:highlight w:val="yellow"/>
              </w:rPr>
            </w:pPr>
            <w:r w:rsidRPr="009307FC">
              <w:t>78,7</w:t>
            </w:r>
            <w:r w:rsidR="002F5D5F">
              <w:t>1</w:t>
            </w:r>
          </w:p>
        </w:tc>
      </w:tr>
      <w:tr w:rsidR="00A00649" w:rsidRPr="00D070B8" w14:paraId="021BB09D" w14:textId="77777777" w:rsidTr="001E02BC">
        <w:tc>
          <w:tcPr>
            <w:tcW w:w="5110" w:type="dxa"/>
          </w:tcPr>
          <w:p w14:paraId="207847DF" w14:textId="77777777" w:rsidR="00A00649" w:rsidRPr="00C7464B" w:rsidRDefault="00A00649" w:rsidP="00A00649">
            <w:pPr>
              <w:rPr>
                <w:rFonts w:cs="Times New Roman"/>
                <w:b/>
                <w:szCs w:val="24"/>
              </w:rPr>
            </w:pPr>
            <w:r w:rsidRPr="00C7464B">
              <w:rPr>
                <w:rFonts w:cs="Times New Roman"/>
                <w:szCs w:val="24"/>
              </w:rPr>
              <w:t>investiční převody z Národního fondu</w:t>
            </w:r>
          </w:p>
        </w:tc>
        <w:tc>
          <w:tcPr>
            <w:tcW w:w="1440" w:type="dxa"/>
            <w:vAlign w:val="center"/>
          </w:tcPr>
          <w:p w14:paraId="4169E897" w14:textId="42DEFFC1" w:rsidR="00A00649" w:rsidRPr="00C7464B" w:rsidRDefault="00A00649" w:rsidP="00A00649">
            <w:pPr>
              <w:pStyle w:val="Zkladntext"/>
              <w:jc w:val="right"/>
              <w:rPr>
                <w:bCs w:val="0"/>
              </w:rPr>
            </w:pPr>
            <w:r w:rsidRPr="008D795F">
              <w:rPr>
                <w:bCs w:val="0"/>
              </w:rPr>
              <w:t>17 356 901</w:t>
            </w:r>
          </w:p>
        </w:tc>
        <w:tc>
          <w:tcPr>
            <w:tcW w:w="1440" w:type="dxa"/>
            <w:vAlign w:val="center"/>
          </w:tcPr>
          <w:p w14:paraId="170CB3A3" w14:textId="63F7E1ED" w:rsidR="00A00649" w:rsidRPr="00D070B8" w:rsidRDefault="00A00649" w:rsidP="00A00649">
            <w:pPr>
              <w:pStyle w:val="Zkladntext"/>
              <w:jc w:val="right"/>
              <w:rPr>
                <w:highlight w:val="yellow"/>
              </w:rPr>
            </w:pPr>
            <w:r w:rsidRPr="00F00CE2">
              <w:t>30 227 679</w:t>
            </w:r>
          </w:p>
        </w:tc>
        <w:tc>
          <w:tcPr>
            <w:tcW w:w="1072" w:type="dxa"/>
            <w:vAlign w:val="center"/>
          </w:tcPr>
          <w:p w14:paraId="5D543254" w14:textId="50CBD040" w:rsidR="00A00649" w:rsidRPr="00D070B8" w:rsidRDefault="00A00649" w:rsidP="00A00649">
            <w:pPr>
              <w:pStyle w:val="Zkladntext"/>
              <w:jc w:val="right"/>
              <w:rPr>
                <w:bCs w:val="0"/>
                <w:color w:val="FF0000"/>
                <w:highlight w:val="yellow"/>
              </w:rPr>
            </w:pPr>
            <w:r>
              <w:rPr>
                <w:bCs w:val="0"/>
              </w:rPr>
              <w:t>174,15</w:t>
            </w:r>
          </w:p>
        </w:tc>
      </w:tr>
      <w:tr w:rsidR="00A00649" w:rsidRPr="00D070B8" w14:paraId="4679B4CA" w14:textId="77777777" w:rsidTr="001E02BC">
        <w:tc>
          <w:tcPr>
            <w:tcW w:w="5110" w:type="dxa"/>
          </w:tcPr>
          <w:p w14:paraId="7B532051" w14:textId="77777777" w:rsidR="00A00649" w:rsidRPr="00C7464B" w:rsidRDefault="00A00649" w:rsidP="00A00649">
            <w:pPr>
              <w:rPr>
                <w:rFonts w:cs="Times New Roman"/>
                <w:szCs w:val="24"/>
              </w:rPr>
            </w:pPr>
            <w:r w:rsidRPr="00C7464B">
              <w:rPr>
                <w:rFonts w:cs="Times New Roman"/>
                <w:szCs w:val="24"/>
              </w:rPr>
              <w:t>investiční transfery přijaté od Evropské unie</w:t>
            </w:r>
          </w:p>
        </w:tc>
        <w:tc>
          <w:tcPr>
            <w:tcW w:w="1440" w:type="dxa"/>
            <w:vAlign w:val="center"/>
          </w:tcPr>
          <w:p w14:paraId="3F0BC6DA" w14:textId="0F687C2A" w:rsidR="00A00649" w:rsidRPr="00C7464B" w:rsidRDefault="00A00649" w:rsidP="00A00649">
            <w:pPr>
              <w:pStyle w:val="Zkladntext"/>
              <w:jc w:val="right"/>
              <w:rPr>
                <w:bCs w:val="0"/>
              </w:rPr>
            </w:pPr>
            <w:r w:rsidRPr="008D795F">
              <w:t>7 319 143</w:t>
            </w:r>
          </w:p>
        </w:tc>
        <w:tc>
          <w:tcPr>
            <w:tcW w:w="1440" w:type="dxa"/>
            <w:vAlign w:val="center"/>
          </w:tcPr>
          <w:p w14:paraId="41D87AAD" w14:textId="07899826" w:rsidR="00A00649" w:rsidRPr="00D070B8" w:rsidRDefault="00A00649" w:rsidP="00A00649">
            <w:pPr>
              <w:pStyle w:val="Zkladntext"/>
              <w:jc w:val="right"/>
              <w:rPr>
                <w:highlight w:val="yellow"/>
              </w:rPr>
            </w:pPr>
            <w:r w:rsidRPr="00F00CE2">
              <w:t>7 108</w:t>
            </w:r>
            <w:r>
              <w:t> </w:t>
            </w:r>
            <w:r w:rsidRPr="00F00CE2">
              <w:t>697</w:t>
            </w:r>
          </w:p>
        </w:tc>
        <w:tc>
          <w:tcPr>
            <w:tcW w:w="1072" w:type="dxa"/>
            <w:vAlign w:val="center"/>
          </w:tcPr>
          <w:p w14:paraId="28E724C0" w14:textId="656D3987" w:rsidR="00A00649" w:rsidRPr="00D070B8" w:rsidRDefault="00A00649" w:rsidP="00A00649">
            <w:pPr>
              <w:pStyle w:val="Zkladntext"/>
              <w:jc w:val="right"/>
              <w:rPr>
                <w:bCs w:val="0"/>
                <w:color w:val="FF0000"/>
                <w:highlight w:val="yellow"/>
              </w:rPr>
            </w:pPr>
            <w:r>
              <w:rPr>
                <w:bCs w:val="0"/>
              </w:rPr>
              <w:t>97,1</w:t>
            </w:r>
            <w:r w:rsidR="002F5D5F">
              <w:rPr>
                <w:bCs w:val="0"/>
              </w:rPr>
              <w:t>2</w:t>
            </w:r>
          </w:p>
        </w:tc>
      </w:tr>
    </w:tbl>
    <w:p w14:paraId="41ACB3DC" w14:textId="77777777" w:rsidR="00635147" w:rsidRPr="00D070B8" w:rsidRDefault="00635147" w:rsidP="00635147">
      <w:pPr>
        <w:rPr>
          <w:color w:val="FF0000"/>
          <w:highlight w:val="yellow"/>
          <w:lang w:eastAsia="cs-CZ"/>
        </w:rPr>
      </w:pPr>
    </w:p>
    <w:p w14:paraId="197CE2F4" w14:textId="2CA65CF9" w:rsidR="00CF4BB2" w:rsidRPr="00CF417D" w:rsidRDefault="00CF4BB2" w:rsidP="005B5118">
      <w:pPr>
        <w:pStyle w:val="Titulek"/>
      </w:pPr>
      <w:bookmarkStart w:id="18" w:name="_Toc49763346"/>
      <w:bookmarkStart w:id="19" w:name="_Toc179888378"/>
      <w:bookmarkEnd w:id="17"/>
      <w:r w:rsidRPr="00E31A67">
        <w:lastRenderedPageBreak/>
        <w:t xml:space="preserve">Graf č. </w:t>
      </w:r>
      <w:r w:rsidR="00696CFC" w:rsidRPr="00E31A67">
        <w:fldChar w:fldCharType="begin"/>
      </w:r>
      <w:r w:rsidR="00696CFC" w:rsidRPr="00E31A67">
        <w:instrText xml:space="preserve"> SEQ Graf_č. \* ARABIC </w:instrText>
      </w:r>
      <w:r w:rsidR="00696CFC" w:rsidRPr="00E31A67">
        <w:fldChar w:fldCharType="separate"/>
      </w:r>
      <w:r w:rsidR="003B0B01" w:rsidRPr="00E31A67">
        <w:rPr>
          <w:noProof/>
        </w:rPr>
        <w:t>2</w:t>
      </w:r>
      <w:r w:rsidR="00696CFC" w:rsidRPr="00E31A67">
        <w:rPr>
          <w:noProof/>
        </w:rPr>
        <w:fldChar w:fldCharType="end"/>
      </w:r>
      <w:r w:rsidRPr="00E31A67">
        <w:t xml:space="preserve"> Porovnání transferů přijatých v kapitole 327-MD (v tis. Kč)</w:t>
      </w:r>
      <w:bookmarkEnd w:id="18"/>
      <w:bookmarkEnd w:id="19"/>
    </w:p>
    <w:p w14:paraId="671B70EC" w14:textId="45351F42" w:rsidR="00CF4BB2" w:rsidRPr="00AA1D3E" w:rsidRDefault="008E0586" w:rsidP="00CF4BB2">
      <w:pPr>
        <w:pStyle w:val="obyctext"/>
        <w:ind w:firstLine="0"/>
        <w:rPr>
          <w:noProof/>
          <w:color w:val="FF0000"/>
        </w:rPr>
      </w:pPr>
      <w:r w:rsidRPr="007E2F61">
        <w:rPr>
          <w:noProof/>
          <w:color w:val="FF0000"/>
        </w:rPr>
        <w:drawing>
          <wp:inline distT="0" distB="0" distL="0" distR="0" wp14:anchorId="0249686E" wp14:editId="0A6A7CBC">
            <wp:extent cx="5759450" cy="2519680"/>
            <wp:effectExtent l="0" t="0" r="12700" b="13970"/>
            <wp:docPr id="1589814302" name="Graf 158981430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C7F61D" w14:textId="7E0F6F57" w:rsidR="00CF4BB2" w:rsidRPr="00CF417D" w:rsidRDefault="00CF4BB2" w:rsidP="00CF4BB2">
      <w:pPr>
        <w:pStyle w:val="Titulek"/>
      </w:pPr>
      <w:bookmarkStart w:id="20" w:name="_Toc49763347"/>
      <w:bookmarkStart w:id="21" w:name="_Toc179888379"/>
      <w:r w:rsidRPr="00E31A67">
        <w:t xml:space="preserve">Graf č. </w:t>
      </w:r>
      <w:r w:rsidR="00696CFC" w:rsidRPr="00E31A67">
        <w:fldChar w:fldCharType="begin"/>
      </w:r>
      <w:r w:rsidR="00696CFC" w:rsidRPr="00E31A67">
        <w:instrText xml:space="preserve"> SEQ Graf_č. \* ARABIC </w:instrText>
      </w:r>
      <w:r w:rsidR="00696CFC" w:rsidRPr="00E31A67">
        <w:fldChar w:fldCharType="separate"/>
      </w:r>
      <w:r w:rsidR="003B0B01" w:rsidRPr="00E31A67">
        <w:rPr>
          <w:noProof/>
        </w:rPr>
        <w:t>3</w:t>
      </w:r>
      <w:r w:rsidR="00696CFC" w:rsidRPr="00E31A67">
        <w:rPr>
          <w:noProof/>
        </w:rPr>
        <w:fldChar w:fldCharType="end"/>
      </w:r>
      <w:r w:rsidRPr="00E31A67">
        <w:t xml:space="preserve"> Porovnání ostatních příjmů v kapitole 327-MD (v tis. Kč)</w:t>
      </w:r>
      <w:bookmarkEnd w:id="20"/>
      <w:bookmarkEnd w:id="21"/>
    </w:p>
    <w:p w14:paraId="6C396AFC" w14:textId="0B6E5B51" w:rsidR="00CF4BB2" w:rsidRPr="00AA1D3E" w:rsidRDefault="002253AC" w:rsidP="00CF4BB2">
      <w:pPr>
        <w:pStyle w:val="obyctext"/>
        <w:tabs>
          <w:tab w:val="left" w:pos="1276"/>
        </w:tabs>
        <w:ind w:firstLine="0"/>
        <w:rPr>
          <w:color w:val="FF0000"/>
        </w:rPr>
      </w:pPr>
      <w:r w:rsidRPr="007E2F61">
        <w:rPr>
          <w:noProof/>
          <w:color w:val="FF0000"/>
        </w:rPr>
        <w:drawing>
          <wp:inline distT="0" distB="0" distL="0" distR="0" wp14:anchorId="047B4B9B" wp14:editId="1F7A177B">
            <wp:extent cx="5759450" cy="2519680"/>
            <wp:effectExtent l="0" t="0" r="12700" b="13970"/>
            <wp:docPr id="2093107879" name="Graf 209310787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1CA2514" w14:textId="77777777" w:rsidR="00024ED6" w:rsidRPr="00AA1D3E" w:rsidRDefault="00024ED6" w:rsidP="00024ED6">
      <w:pPr>
        <w:pStyle w:val="obyctext"/>
        <w:tabs>
          <w:tab w:val="left" w:pos="1276"/>
        </w:tabs>
        <w:ind w:firstLine="0"/>
        <w:rPr>
          <w:color w:val="FF0000"/>
        </w:rPr>
      </w:pPr>
    </w:p>
    <w:p w14:paraId="72FD60E1" w14:textId="77777777" w:rsidR="00024ED6" w:rsidRPr="00AA1D3E" w:rsidRDefault="00024ED6" w:rsidP="00024ED6">
      <w:pPr>
        <w:pStyle w:val="obyctext"/>
        <w:tabs>
          <w:tab w:val="left" w:pos="1276"/>
        </w:tabs>
        <w:ind w:firstLine="0"/>
        <w:rPr>
          <w:color w:val="FF0000"/>
        </w:rPr>
      </w:pPr>
    </w:p>
    <w:p w14:paraId="3FCEC9AD" w14:textId="77777777" w:rsidR="00D5093B" w:rsidRPr="00AA1D3E" w:rsidRDefault="00D5093B" w:rsidP="004371E3">
      <w:pPr>
        <w:pStyle w:val="obyctext"/>
        <w:tabs>
          <w:tab w:val="left" w:pos="1276"/>
        </w:tabs>
        <w:ind w:firstLine="0"/>
        <w:rPr>
          <w:color w:val="FF0000"/>
        </w:rPr>
        <w:sectPr w:rsidR="00D5093B" w:rsidRPr="00AA1D3E" w:rsidSect="0002708E">
          <w:footerReference w:type="default" r:id="rId18"/>
          <w:footerReference w:type="first" r:id="rId19"/>
          <w:pgSz w:w="11906" w:h="16838" w:code="9"/>
          <w:pgMar w:top="1418" w:right="1418" w:bottom="993" w:left="1418" w:header="709" w:footer="709" w:gutter="0"/>
          <w:pgNumType w:start="1"/>
          <w:cols w:space="708"/>
          <w:titlePg/>
          <w:docGrid w:linePitch="360"/>
        </w:sectPr>
      </w:pPr>
    </w:p>
    <w:p w14:paraId="7B1BB9ED" w14:textId="7E55BD54" w:rsidR="00AD1F22" w:rsidRPr="00CF417D" w:rsidRDefault="00AD1F22" w:rsidP="00E32A1E">
      <w:pPr>
        <w:pStyle w:val="Nadpis1"/>
      </w:pPr>
      <w:bookmarkStart w:id="22" w:name="_Toc462314386"/>
      <w:bookmarkStart w:id="23" w:name="_Toc179964089"/>
      <w:r w:rsidRPr="00CF417D">
        <w:lastRenderedPageBreak/>
        <w:t>Rozpočet výdajů na rok 20</w:t>
      </w:r>
      <w:bookmarkEnd w:id="22"/>
      <w:r w:rsidR="00485912" w:rsidRPr="00CF417D">
        <w:t>2</w:t>
      </w:r>
      <w:r w:rsidR="008F0B47">
        <w:t>5</w:t>
      </w:r>
      <w:bookmarkEnd w:id="23"/>
    </w:p>
    <w:p w14:paraId="71B8AF42" w14:textId="77777777" w:rsidR="00AD1F22" w:rsidRPr="008F0B47" w:rsidRDefault="00AD1F22" w:rsidP="006C7E5B">
      <w:pPr>
        <w:pStyle w:val="Nadpis2"/>
      </w:pPr>
      <w:bookmarkStart w:id="24" w:name="_Toc462314387"/>
      <w:bookmarkStart w:id="25" w:name="_Toc179964090"/>
      <w:r w:rsidRPr="008F0B47">
        <w:t>Struktura výdajů</w:t>
      </w:r>
      <w:bookmarkEnd w:id="24"/>
      <w:bookmarkEnd w:id="25"/>
    </w:p>
    <w:p w14:paraId="3EA995F0" w14:textId="77777777" w:rsidR="002A56F4" w:rsidRPr="008F0B47" w:rsidRDefault="002A56F4" w:rsidP="002A56F4">
      <w:pPr>
        <w:pStyle w:val="Styl1"/>
      </w:pPr>
      <w:bookmarkStart w:id="26" w:name="_Toc432592775"/>
      <w:bookmarkStart w:id="27" w:name="_Toc462314388"/>
      <w:bookmarkStart w:id="28" w:name="_Toc489274094"/>
      <w:bookmarkStart w:id="29" w:name="_Toc21936865"/>
      <w:r w:rsidRPr="008F0B47">
        <w:t xml:space="preserve">Výdaje jsou strukturovány do jednotlivých bloků, okruhů, příp. dalších množin či podmnožin. </w:t>
      </w:r>
    </w:p>
    <w:p w14:paraId="0AE9F3FA" w14:textId="77777777" w:rsidR="002A56F4" w:rsidRPr="008F0B47" w:rsidRDefault="002A56F4" w:rsidP="002A56F4">
      <w:pPr>
        <w:pStyle w:val="Styl1"/>
      </w:pPr>
      <w:r w:rsidRPr="008F0B47">
        <w:t xml:space="preserve">Sourodé celky činností tvoří výdajové bloky, které se dále rozpadají do výdajových okruhů </w:t>
      </w:r>
      <w:r w:rsidRPr="008F0B47">
        <w:br/>
        <w:t xml:space="preserve">a dále do nižších úrovní členění (obdobný způsob konkretizace platí i pro cíle), přičemž vyšší úroveň je úplným součtem přímo podřízených úrovní. Stanovení výdajových bloků </w:t>
      </w:r>
      <w:r w:rsidRPr="008F0B47">
        <w:br/>
        <w:t>a výdajových okruhů je povinné, ostatní nižší úrovně členění jsou dobrovolné.</w:t>
      </w:r>
    </w:p>
    <w:p w14:paraId="4C4184DA" w14:textId="77777777" w:rsidR="002A56F4" w:rsidRPr="008F0B47" w:rsidRDefault="002A56F4" w:rsidP="002A56F4">
      <w:pPr>
        <w:pStyle w:val="Styl1"/>
      </w:pPr>
      <w:r w:rsidRPr="008F0B47">
        <w:t>Každý výdajový blok je specifickým ukazatelem na příslušný rozpočtový rok. Označení výdajového okruhu jako specifického ukazatele závisí na rozhodnutí kapitoly. Označit tak lze jakýkoli vybraný výdajový okruh, nejsou-li však označeny všechny spadající pod daný výdajový blok, jsou zbylé výdajové okruhy specifickým ukazatelem ve svém součtu.</w:t>
      </w:r>
    </w:p>
    <w:p w14:paraId="08928088" w14:textId="70151E06" w:rsidR="002A56F4" w:rsidRPr="008F0B47" w:rsidRDefault="002A56F4" w:rsidP="002A56F4">
      <w:pPr>
        <w:pStyle w:val="Titulek"/>
      </w:pPr>
      <w:r w:rsidRPr="008F0B47">
        <w:t xml:space="preserve">Tabulka č. </w:t>
      </w:r>
      <w:r w:rsidR="00696CFC" w:rsidRPr="008F0B47">
        <w:fldChar w:fldCharType="begin"/>
      </w:r>
      <w:r w:rsidR="00696CFC" w:rsidRPr="008F0B47">
        <w:instrText xml:space="preserve"> SEQ Tabulka \* ARABIC </w:instrText>
      </w:r>
      <w:r w:rsidR="00696CFC" w:rsidRPr="008F0B47">
        <w:fldChar w:fldCharType="separate"/>
      </w:r>
      <w:r w:rsidR="003B0B01" w:rsidRPr="008F0B47">
        <w:rPr>
          <w:noProof/>
        </w:rPr>
        <w:t>5</w:t>
      </w:r>
      <w:r w:rsidR="00696CFC" w:rsidRPr="008F0B47">
        <w:rPr>
          <w:noProof/>
        </w:rPr>
        <w:fldChar w:fldCharType="end"/>
      </w:r>
      <w:r w:rsidRPr="008F0B47">
        <w:t xml:space="preserve"> Struktura výdajů (v rámci PVS) pro rok 2024</w:t>
      </w:r>
    </w:p>
    <w:tbl>
      <w:tblPr>
        <w:tblStyle w:val="Svtltabulkasmkou1"/>
        <w:tblW w:w="0" w:type="auto"/>
        <w:tblBorders>
          <w:top w:val="single" w:sz="8" w:space="0" w:color="999999" w:themeColor="text1" w:themeTint="66"/>
          <w:left w:val="single" w:sz="8" w:space="0" w:color="999999" w:themeColor="text1" w:themeTint="66"/>
          <w:bottom w:val="single" w:sz="8" w:space="0" w:color="999999" w:themeColor="text1" w:themeTint="66"/>
          <w:right w:val="single" w:sz="8" w:space="0" w:color="999999" w:themeColor="text1" w:themeTint="66"/>
          <w:insideV w:val="none" w:sz="0" w:space="0" w:color="auto"/>
        </w:tblBorders>
        <w:tblLook w:val="01E0" w:firstRow="1" w:lastRow="1" w:firstColumn="1" w:lastColumn="1" w:noHBand="0" w:noVBand="0"/>
      </w:tblPr>
      <w:tblGrid>
        <w:gridCol w:w="1005"/>
        <w:gridCol w:w="1257"/>
        <w:gridCol w:w="6789"/>
      </w:tblGrid>
      <w:tr w:rsidR="002A56F4" w:rsidRPr="008F0B47" w14:paraId="2312BED1" w14:textId="77777777" w:rsidTr="001E02BC">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05" w:type="dxa"/>
            <w:tcBorders>
              <w:top w:val="single" w:sz="8"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14:paraId="77599301" w14:textId="77777777" w:rsidR="002A56F4" w:rsidRPr="008F0B47" w:rsidRDefault="002A56F4" w:rsidP="001E02BC">
            <w:pPr>
              <w:rPr>
                <w:rFonts w:cs="Times New Roman"/>
                <w:szCs w:val="24"/>
              </w:rPr>
            </w:pPr>
            <w:r w:rsidRPr="008F0B47">
              <w:rPr>
                <w:rFonts w:cs="Times New Roman"/>
                <w:szCs w:val="24"/>
              </w:rPr>
              <w:t>Blok</w:t>
            </w:r>
          </w:p>
        </w:tc>
        <w:tc>
          <w:tcPr>
            <w:tcW w:w="1257"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14:paraId="42699702" w14:textId="77777777" w:rsidR="002A56F4" w:rsidRPr="008F0B47" w:rsidRDefault="002A56F4" w:rsidP="001E02BC">
            <w:pPr>
              <w:cnfStyle w:val="100000000000" w:firstRow="1"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Okruh</w:t>
            </w: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shd w:val="thinReverseDiagStripe" w:color="D9D9D9" w:themeColor="background1" w:themeShade="D9" w:fill="FFFFFF" w:themeFill="background1"/>
          </w:tcPr>
          <w:p w14:paraId="67D2F520" w14:textId="77777777" w:rsidR="002A56F4" w:rsidRPr="008F0B47" w:rsidRDefault="002A56F4" w:rsidP="001E02BC">
            <w:pPr>
              <w:rPr>
                <w:rFonts w:cs="Times New Roman"/>
                <w:szCs w:val="24"/>
              </w:rPr>
            </w:pPr>
            <w:r w:rsidRPr="008F0B47">
              <w:rPr>
                <w:rFonts w:cs="Times New Roman"/>
                <w:szCs w:val="24"/>
              </w:rPr>
              <w:t>Název</w:t>
            </w:r>
          </w:p>
        </w:tc>
      </w:tr>
      <w:tr w:rsidR="002A56F4" w:rsidRPr="008F0B47" w14:paraId="601981C6"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212F2AE0" w14:textId="77777777" w:rsidR="002A56F4" w:rsidRPr="008F0B47" w:rsidRDefault="002A56F4" w:rsidP="001E02BC">
            <w:pPr>
              <w:rPr>
                <w:rFonts w:cs="Times New Roman"/>
                <w:szCs w:val="24"/>
              </w:rPr>
            </w:pPr>
            <w:r w:rsidRPr="008F0B47">
              <w:rPr>
                <w:rFonts w:cs="Times New Roman"/>
                <w:szCs w:val="24"/>
              </w:rPr>
              <w:t>501</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298C89C6"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0F8E45D4" w14:textId="77777777" w:rsidR="002A56F4" w:rsidRPr="008F0B47" w:rsidRDefault="002A56F4" w:rsidP="001E02BC">
            <w:pPr>
              <w:rPr>
                <w:rFonts w:cs="Times New Roman"/>
                <w:szCs w:val="24"/>
              </w:rPr>
            </w:pPr>
            <w:r w:rsidRPr="008F0B47">
              <w:rPr>
                <w:rFonts w:cs="Times New Roman"/>
                <w:szCs w:val="24"/>
              </w:rPr>
              <w:t>Drážní a kombinovaná doprava</w:t>
            </w:r>
          </w:p>
        </w:tc>
      </w:tr>
      <w:tr w:rsidR="002A56F4" w:rsidRPr="008F0B47" w14:paraId="6F88998E"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4D9465C4"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5110EC11"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501001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113D162E" w14:textId="77777777" w:rsidR="002A56F4" w:rsidRPr="008F0B47" w:rsidRDefault="002A56F4" w:rsidP="001E02BC">
            <w:pPr>
              <w:rPr>
                <w:rFonts w:cs="Times New Roman"/>
                <w:b w:val="0"/>
                <w:szCs w:val="24"/>
              </w:rPr>
            </w:pPr>
            <w:r w:rsidRPr="008F0B47">
              <w:rPr>
                <w:rFonts w:cs="Times New Roman"/>
                <w:b w:val="0"/>
                <w:szCs w:val="24"/>
              </w:rPr>
              <w:t>Doprovodný sociální program</w:t>
            </w:r>
          </w:p>
        </w:tc>
      </w:tr>
      <w:tr w:rsidR="002A56F4" w:rsidRPr="008F0B47" w14:paraId="19D08162"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677DB4A"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1F2485B8"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501002</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572AA388" w14:textId="77777777" w:rsidR="002A56F4" w:rsidRPr="008F0B47" w:rsidRDefault="002A56F4" w:rsidP="001E02BC">
            <w:pPr>
              <w:rPr>
                <w:rFonts w:cs="Times New Roman"/>
                <w:b w:val="0"/>
                <w:szCs w:val="24"/>
              </w:rPr>
            </w:pPr>
            <w:r w:rsidRPr="008F0B47">
              <w:rPr>
                <w:rFonts w:cs="Times New Roman"/>
                <w:b w:val="0"/>
                <w:szCs w:val="24"/>
              </w:rPr>
              <w:t>Úhrada ztráty ze závazku veřejné služby ve veřejné drážní osobní dopravě</w:t>
            </w:r>
          </w:p>
        </w:tc>
      </w:tr>
      <w:tr w:rsidR="002A56F4" w:rsidRPr="008F0B47" w14:paraId="1BC5BD9E"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F00526F"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7A675140"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501003</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68A4F7DD" w14:textId="77777777" w:rsidR="002A56F4" w:rsidRPr="008F0B47" w:rsidRDefault="002A56F4" w:rsidP="001E02BC">
            <w:pPr>
              <w:rPr>
                <w:rFonts w:cs="Times New Roman"/>
                <w:b w:val="0"/>
                <w:szCs w:val="24"/>
              </w:rPr>
            </w:pPr>
            <w:r w:rsidRPr="008F0B47">
              <w:rPr>
                <w:rFonts w:cs="Times New Roman"/>
                <w:b w:val="0"/>
                <w:szCs w:val="24"/>
              </w:rPr>
              <w:t>Příspěvek na dopravní cestu nehrazený ze SFDI</w:t>
            </w:r>
          </w:p>
        </w:tc>
      </w:tr>
      <w:tr w:rsidR="002A56F4" w:rsidRPr="008F0B47" w14:paraId="6BC3337B"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0C081232"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2CAEB9B1"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501004</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4616979D" w14:textId="77777777" w:rsidR="002A56F4" w:rsidRPr="008F0B47" w:rsidRDefault="002A56F4" w:rsidP="001E02BC">
            <w:pPr>
              <w:rPr>
                <w:rFonts w:cs="Times New Roman"/>
                <w:b w:val="0"/>
                <w:szCs w:val="24"/>
              </w:rPr>
            </w:pPr>
            <w:r w:rsidRPr="008F0B47">
              <w:rPr>
                <w:rFonts w:cs="Times New Roman"/>
                <w:b w:val="0"/>
                <w:szCs w:val="24"/>
              </w:rPr>
              <w:t>Kombinovaná doprava</w:t>
            </w:r>
          </w:p>
        </w:tc>
      </w:tr>
      <w:tr w:rsidR="002A56F4" w:rsidRPr="008F0B47" w14:paraId="09FDEB08"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3A9AE088"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62A49C25"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501005</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60071001" w14:textId="77777777" w:rsidR="002A56F4" w:rsidRPr="008F0B47" w:rsidRDefault="002A56F4" w:rsidP="001E02BC">
            <w:pPr>
              <w:rPr>
                <w:rFonts w:cs="Times New Roman"/>
                <w:b w:val="0"/>
                <w:szCs w:val="24"/>
              </w:rPr>
            </w:pPr>
            <w:r w:rsidRPr="008F0B47">
              <w:rPr>
                <w:rFonts w:cs="Times New Roman"/>
                <w:b w:val="0"/>
                <w:szCs w:val="24"/>
              </w:rPr>
              <w:t>Ostatní výdaje spojené s drážní dopravou</w:t>
            </w:r>
          </w:p>
        </w:tc>
      </w:tr>
      <w:tr w:rsidR="002A56F4" w:rsidRPr="008F0B47" w14:paraId="2CC04320"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6D2E3E43" w14:textId="77777777" w:rsidR="002A56F4" w:rsidRPr="008F0B47" w:rsidRDefault="002A56F4" w:rsidP="001E02BC">
            <w:pPr>
              <w:rPr>
                <w:rFonts w:cs="Times New Roman"/>
                <w:szCs w:val="24"/>
              </w:rPr>
            </w:pPr>
            <w:r w:rsidRPr="008F0B47">
              <w:rPr>
                <w:rFonts w:cs="Times New Roman"/>
                <w:szCs w:val="24"/>
              </w:rPr>
              <w:t>502</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22177E90"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7A5F1547" w14:textId="77777777" w:rsidR="002A56F4" w:rsidRPr="008F0B47" w:rsidRDefault="002A56F4" w:rsidP="001E02BC">
            <w:pPr>
              <w:rPr>
                <w:rFonts w:cs="Times New Roman"/>
                <w:szCs w:val="24"/>
              </w:rPr>
            </w:pPr>
            <w:r w:rsidRPr="008F0B47">
              <w:rPr>
                <w:rFonts w:cs="Times New Roman"/>
                <w:szCs w:val="24"/>
              </w:rPr>
              <w:t>Pozemní komunikace</w:t>
            </w:r>
          </w:p>
        </w:tc>
      </w:tr>
      <w:tr w:rsidR="002A56F4" w:rsidRPr="008F0B47" w14:paraId="6D52D40F"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66DBDFB1"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1C216491"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502001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481BCB4B" w14:textId="77777777" w:rsidR="002A56F4" w:rsidRPr="008F0B47" w:rsidRDefault="002A56F4" w:rsidP="001E02BC">
            <w:pPr>
              <w:rPr>
                <w:rFonts w:cs="Times New Roman"/>
                <w:b w:val="0"/>
                <w:szCs w:val="24"/>
              </w:rPr>
            </w:pPr>
            <w:r w:rsidRPr="008F0B47">
              <w:rPr>
                <w:rFonts w:cs="Times New Roman"/>
                <w:b w:val="0"/>
                <w:szCs w:val="24"/>
              </w:rPr>
              <w:t>Pozemní komunikace</w:t>
            </w:r>
          </w:p>
        </w:tc>
      </w:tr>
      <w:tr w:rsidR="002A56F4" w:rsidRPr="008F0B47" w14:paraId="4E27A396"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1D9E3F29" w14:textId="77777777" w:rsidR="002A56F4" w:rsidRPr="008F0B47" w:rsidRDefault="002A56F4" w:rsidP="001E02BC">
            <w:pPr>
              <w:rPr>
                <w:rFonts w:cs="Times New Roman"/>
                <w:szCs w:val="24"/>
              </w:rPr>
            </w:pPr>
            <w:r w:rsidRPr="008F0B47">
              <w:rPr>
                <w:rFonts w:cs="Times New Roman"/>
                <w:szCs w:val="24"/>
              </w:rPr>
              <w:t>503</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5AE9B72C"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5325046D" w14:textId="77777777" w:rsidR="002A56F4" w:rsidRPr="008F0B47" w:rsidRDefault="002A56F4" w:rsidP="001E02BC">
            <w:pPr>
              <w:rPr>
                <w:rFonts w:cs="Times New Roman"/>
                <w:szCs w:val="24"/>
              </w:rPr>
            </w:pPr>
            <w:r w:rsidRPr="008F0B47">
              <w:rPr>
                <w:rFonts w:cs="Times New Roman"/>
                <w:szCs w:val="24"/>
              </w:rPr>
              <w:t>Dotace pro Státní fond dopravní infrastruktury</w:t>
            </w:r>
          </w:p>
        </w:tc>
      </w:tr>
      <w:tr w:rsidR="002A56F4" w:rsidRPr="008F0B47" w14:paraId="14B47C07"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1BB9119"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73BA6397"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503001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508B8D31" w14:textId="77777777" w:rsidR="002A56F4" w:rsidRPr="008F0B47" w:rsidRDefault="002A56F4" w:rsidP="001E02BC">
            <w:pPr>
              <w:rPr>
                <w:rFonts w:cs="Times New Roman"/>
                <w:b w:val="0"/>
                <w:szCs w:val="24"/>
              </w:rPr>
            </w:pPr>
            <w:r w:rsidRPr="008F0B47">
              <w:rPr>
                <w:rFonts w:cs="Times New Roman"/>
                <w:b w:val="0"/>
                <w:szCs w:val="24"/>
              </w:rPr>
              <w:t>Dotace pro společné programy (projekty) EU a ČR</w:t>
            </w:r>
          </w:p>
        </w:tc>
      </w:tr>
      <w:tr w:rsidR="002A56F4" w:rsidRPr="008F0B47" w14:paraId="26CD6825"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6B06C93E"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7E635245"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503004</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43581FEC" w14:textId="77777777" w:rsidR="002A56F4" w:rsidRPr="008F0B47" w:rsidRDefault="002A56F4" w:rsidP="001E02BC">
            <w:pPr>
              <w:rPr>
                <w:rFonts w:cs="Times New Roman"/>
                <w:b w:val="0"/>
                <w:szCs w:val="24"/>
              </w:rPr>
            </w:pPr>
            <w:r w:rsidRPr="008F0B47">
              <w:rPr>
                <w:rFonts w:cs="Times New Roman"/>
                <w:b w:val="0"/>
                <w:szCs w:val="24"/>
              </w:rPr>
              <w:t>Ostatní dotace pro SFDI</w:t>
            </w:r>
          </w:p>
        </w:tc>
      </w:tr>
      <w:tr w:rsidR="002A56F4" w:rsidRPr="008F0B47" w14:paraId="7FB790EF"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31210AE4" w14:textId="77777777" w:rsidR="002A56F4" w:rsidRPr="008F0B47" w:rsidRDefault="002A56F4" w:rsidP="001E02BC">
            <w:pPr>
              <w:rPr>
                <w:rFonts w:cs="Times New Roman"/>
                <w:szCs w:val="24"/>
              </w:rPr>
            </w:pPr>
            <w:r w:rsidRPr="008F0B47">
              <w:rPr>
                <w:rFonts w:cs="Times New Roman"/>
                <w:szCs w:val="24"/>
              </w:rPr>
              <w:t>504</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5BAB9030"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89"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5FC76697" w14:textId="77777777" w:rsidR="002A56F4" w:rsidRPr="008F0B47" w:rsidRDefault="002A56F4" w:rsidP="001E02BC">
            <w:pPr>
              <w:rPr>
                <w:rFonts w:cs="Times New Roman"/>
                <w:szCs w:val="24"/>
              </w:rPr>
            </w:pPr>
            <w:r w:rsidRPr="008F0B47">
              <w:rPr>
                <w:rFonts w:cs="Times New Roman"/>
                <w:szCs w:val="24"/>
              </w:rPr>
              <w:t>Ostatní výdaje spojené s dopravní politikou státu</w:t>
            </w:r>
          </w:p>
        </w:tc>
      </w:tr>
      <w:tr w:rsidR="002A56F4" w:rsidRPr="008F0B47" w14:paraId="358710C2" w14:textId="77777777" w:rsidTr="001E02BC">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4040181C"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75E9CA9A" w14:textId="77777777" w:rsidR="002A56F4" w:rsidRPr="008F0B47" w:rsidRDefault="002A56F4" w:rsidP="001E02BC">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F0B47">
              <w:rPr>
                <w:rFonts w:cs="Times New Roman"/>
                <w:szCs w:val="24"/>
              </w:rPr>
              <w:t>504001</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250E6D62" w14:textId="77777777" w:rsidR="002A56F4" w:rsidRPr="008F0B47" w:rsidRDefault="002A56F4" w:rsidP="001E02BC">
            <w:pPr>
              <w:rPr>
                <w:rFonts w:cs="Times New Roman"/>
                <w:b w:val="0"/>
                <w:szCs w:val="24"/>
              </w:rPr>
            </w:pPr>
            <w:r w:rsidRPr="008F0B47">
              <w:rPr>
                <w:rFonts w:cs="Times New Roman"/>
                <w:b w:val="0"/>
                <w:szCs w:val="24"/>
              </w:rPr>
              <w:t>Další výdaje spojené s dopravní politikou státu</w:t>
            </w:r>
          </w:p>
        </w:tc>
      </w:tr>
      <w:tr w:rsidR="002A56F4" w:rsidRPr="00D070B8" w14:paraId="34DC58DF" w14:textId="77777777" w:rsidTr="001E02B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auto"/>
              <w:right w:val="single" w:sz="4" w:space="0" w:color="7F7F7F" w:themeColor="text1" w:themeTint="80"/>
            </w:tcBorders>
          </w:tcPr>
          <w:p w14:paraId="199AB93F" w14:textId="77777777" w:rsidR="002A56F4" w:rsidRPr="008F0B47" w:rsidRDefault="002A56F4" w:rsidP="001E02BC">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auto"/>
              <w:right w:val="single" w:sz="4" w:space="0" w:color="7F7F7F" w:themeColor="text1" w:themeTint="80"/>
            </w:tcBorders>
          </w:tcPr>
          <w:p w14:paraId="5FC16666" w14:textId="77777777" w:rsidR="002A56F4" w:rsidRPr="008F0B47" w:rsidRDefault="002A56F4" w:rsidP="001E02BC">
            <w:pPr>
              <w:cnfStyle w:val="010000000000" w:firstRow="0" w:lastRow="1" w:firstColumn="0" w:lastColumn="0" w:oddVBand="0" w:evenVBand="0" w:oddHBand="0" w:evenHBand="0" w:firstRowFirstColumn="0" w:firstRowLastColumn="0" w:lastRowFirstColumn="0" w:lastRowLastColumn="0"/>
              <w:rPr>
                <w:rFonts w:cs="Times New Roman"/>
                <w:b w:val="0"/>
                <w:bCs w:val="0"/>
                <w:szCs w:val="24"/>
              </w:rPr>
            </w:pPr>
            <w:r w:rsidRPr="008F0B47">
              <w:rPr>
                <w:rFonts w:cs="Times New Roman"/>
                <w:b w:val="0"/>
                <w:bCs w:val="0"/>
                <w:szCs w:val="24"/>
              </w:rPr>
              <w:t>504002</w:t>
            </w:r>
          </w:p>
        </w:tc>
        <w:tc>
          <w:tcPr>
            <w:cnfStyle w:val="000100000000" w:firstRow="0" w:lastRow="0" w:firstColumn="0" w:lastColumn="1" w:oddVBand="0" w:evenVBand="0" w:oddHBand="0" w:evenHBand="0" w:firstRowFirstColumn="0" w:firstRowLastColumn="0" w:lastRowFirstColumn="0" w:lastRowLastColumn="0"/>
            <w:tcW w:w="6789" w:type="dxa"/>
            <w:tcBorders>
              <w:top w:val="single" w:sz="4" w:space="0" w:color="999999" w:themeColor="text1" w:themeTint="66"/>
              <w:left w:val="single" w:sz="4" w:space="0" w:color="7F7F7F" w:themeColor="text1" w:themeTint="80"/>
              <w:bottom w:val="single" w:sz="4" w:space="0" w:color="auto"/>
              <w:right w:val="single" w:sz="8" w:space="0" w:color="7F7F7F" w:themeColor="text1" w:themeTint="80"/>
            </w:tcBorders>
          </w:tcPr>
          <w:p w14:paraId="19823FF5" w14:textId="77777777" w:rsidR="002A56F4" w:rsidRPr="008F0B47" w:rsidRDefault="002A56F4" w:rsidP="001E02BC">
            <w:pPr>
              <w:rPr>
                <w:rFonts w:cs="Times New Roman"/>
                <w:b w:val="0"/>
                <w:szCs w:val="24"/>
              </w:rPr>
            </w:pPr>
            <w:r w:rsidRPr="008F0B47">
              <w:rPr>
                <w:rFonts w:cs="Times New Roman"/>
                <w:b w:val="0"/>
                <w:szCs w:val="24"/>
              </w:rPr>
              <w:t>Výdaje spojené s kosmickými aktivitami</w:t>
            </w:r>
          </w:p>
        </w:tc>
      </w:tr>
    </w:tbl>
    <w:p w14:paraId="044A25B4" w14:textId="77777777" w:rsidR="002A56F4" w:rsidRPr="00663795" w:rsidRDefault="002A56F4" w:rsidP="002A56F4">
      <w:pPr>
        <w:pStyle w:val="Nadpis9"/>
      </w:pPr>
      <w:r w:rsidRPr="00663795">
        <w:t>501 – Drážní a kombinovaná doprava</w:t>
      </w:r>
    </w:p>
    <w:p w14:paraId="2B9510D5" w14:textId="094F1D54" w:rsidR="002A56F4" w:rsidRPr="00663795" w:rsidRDefault="002A56F4" w:rsidP="002A56F4">
      <w:pPr>
        <w:pStyle w:val="Styl1"/>
      </w:pPr>
      <w:r w:rsidRPr="00663795">
        <w:t>Výdajový blok je zaměřen na financování potřeb týkajících se drážní a kombinované dopravy. V roce 202</w:t>
      </w:r>
      <w:r w:rsidR="00663795" w:rsidRPr="00663795">
        <w:t>5</w:t>
      </w:r>
      <w:r w:rsidRPr="00663795">
        <w:t xml:space="preserve"> je na tento výdajový blok rozpočtováno celkem </w:t>
      </w:r>
      <w:r w:rsidR="00663795" w:rsidRPr="00663795">
        <w:t>11 056 915</w:t>
      </w:r>
      <w:r w:rsidRPr="00663795">
        <w:t xml:space="preserve"> tis. Kč, tj. </w:t>
      </w:r>
      <w:r w:rsidR="00663795" w:rsidRPr="00663795">
        <w:t>7,93</w:t>
      </w:r>
      <w:r w:rsidRPr="00663795">
        <w:t xml:space="preserve"> % souhrnného ukazatele výdaje celkem. Finanční prostředky jsou rozpočtovány na </w:t>
      </w:r>
      <w:r w:rsidR="00663795" w:rsidRPr="00663795">
        <w:t>jeden</w:t>
      </w:r>
      <w:r w:rsidRPr="00663795">
        <w:t xml:space="preserve"> okruh: </w:t>
      </w:r>
      <w:r w:rsidR="00EC03BC" w:rsidRPr="00663795">
        <w:t>Ú</w:t>
      </w:r>
      <w:r w:rsidRPr="00663795">
        <w:t>hrada ztráty ze závazku veřejné služby ve veřejné drážní osobní dopravě.</w:t>
      </w:r>
    </w:p>
    <w:p w14:paraId="10B375D4" w14:textId="77777777" w:rsidR="002A56F4" w:rsidRPr="00663795" w:rsidRDefault="002A56F4" w:rsidP="002A56F4">
      <w:pPr>
        <w:pStyle w:val="Nadpis9"/>
      </w:pPr>
      <w:r w:rsidRPr="00663795">
        <w:t>502 – Pozemní komunikace</w:t>
      </w:r>
    </w:p>
    <w:p w14:paraId="4FBBED34" w14:textId="77777777" w:rsidR="002A56F4" w:rsidRPr="00663795" w:rsidRDefault="002A56F4" w:rsidP="002A56F4">
      <w:pPr>
        <w:pStyle w:val="Styl1"/>
      </w:pPr>
      <w:r w:rsidRPr="00663795">
        <w:t xml:space="preserve">V rámci výdajového bloku se financují potřeby související s výstavbou, rekonstrukcí a modernizací pozemních komunikací ve vlastnictví státu, které jsou financovány prostřednictvím kapitoly 327-MD. </w:t>
      </w:r>
    </w:p>
    <w:p w14:paraId="7787BDA7" w14:textId="0DAE183C" w:rsidR="002A56F4" w:rsidRPr="00663795" w:rsidRDefault="002A56F4" w:rsidP="002A56F4">
      <w:pPr>
        <w:pStyle w:val="Styl1"/>
      </w:pPr>
      <w:r w:rsidRPr="00663795">
        <w:t>V roce 202</w:t>
      </w:r>
      <w:r w:rsidR="00663795" w:rsidRPr="00663795">
        <w:t>5</w:t>
      </w:r>
      <w:r w:rsidRPr="00663795">
        <w:t xml:space="preserve"> nejsou na tento výdajový blok rozpočtovány žádné prostředky. </w:t>
      </w:r>
    </w:p>
    <w:p w14:paraId="2D83A0BC" w14:textId="77777777" w:rsidR="002A56F4" w:rsidRPr="00663795" w:rsidRDefault="002A56F4" w:rsidP="002A56F4">
      <w:pPr>
        <w:pStyle w:val="Nadpis9"/>
      </w:pPr>
      <w:r w:rsidRPr="00663795">
        <w:lastRenderedPageBreak/>
        <w:t>503 – Dotace pro Státní fond dopravní infrastruktury</w:t>
      </w:r>
    </w:p>
    <w:p w14:paraId="2DBA29E2" w14:textId="77777777" w:rsidR="002A56F4" w:rsidRPr="00663795" w:rsidRDefault="002A56F4" w:rsidP="002A56F4">
      <w:pPr>
        <w:pStyle w:val="Styl1"/>
      </w:pPr>
      <w:r w:rsidRPr="00663795">
        <w:t xml:space="preserve">Výdajový blok se využívá k transferu finančních prostředků pro SFDI, kterému </w:t>
      </w:r>
      <w:r w:rsidRPr="00663795">
        <w:br/>
        <w:t>§ 4, odst. 1 písm. j) zákona č. 104/2000 Sb., o Státním fondu dopravní infrastruktury, umožňuje přijímat dotace ze státního rozpočtu.</w:t>
      </w:r>
    </w:p>
    <w:p w14:paraId="59E597EB" w14:textId="0F7E6CDD" w:rsidR="002A56F4" w:rsidRPr="00663795" w:rsidRDefault="002A56F4" w:rsidP="002A56F4">
      <w:pPr>
        <w:pStyle w:val="Styl1"/>
      </w:pPr>
      <w:r w:rsidRPr="00663795">
        <w:t>V roce 202</w:t>
      </w:r>
      <w:r w:rsidR="00663795" w:rsidRPr="00663795">
        <w:t>5</w:t>
      </w:r>
      <w:r w:rsidRPr="00663795">
        <w:t xml:space="preserve"> je na tento výdajový blok rozpočtováno celkem </w:t>
      </w:r>
      <w:r w:rsidR="00663795" w:rsidRPr="00663795">
        <w:t>119 202 234</w:t>
      </w:r>
      <w:r w:rsidRPr="00663795">
        <w:t xml:space="preserve"> tis. Kč, tj. </w:t>
      </w:r>
      <w:r w:rsidR="00663795" w:rsidRPr="00663795">
        <w:t>85,46</w:t>
      </w:r>
      <w:r w:rsidRPr="00663795">
        <w:t xml:space="preserve"> % souhrnného ukazatele výdaje celkem. Výdajový blok se dělí na dva výdajové okruhy:</w:t>
      </w:r>
    </w:p>
    <w:p w14:paraId="580203E3" w14:textId="14050C7A" w:rsidR="002A56F4" w:rsidRPr="00663795" w:rsidRDefault="002A56F4" w:rsidP="002A56F4">
      <w:pPr>
        <w:pStyle w:val="Styl1"/>
        <w:keepLines w:val="0"/>
        <w:numPr>
          <w:ilvl w:val="0"/>
          <w:numId w:val="22"/>
        </w:numPr>
        <w:ind w:left="568" w:hanging="284"/>
        <w:rPr>
          <w:b/>
          <w:bCs/>
        </w:rPr>
      </w:pPr>
      <w:r w:rsidRPr="00663795">
        <w:rPr>
          <w:u w:val="single"/>
        </w:rPr>
        <w:t>Dotace pro společné programy (projekty) EU a ČR</w:t>
      </w:r>
      <w:r w:rsidRPr="00663795">
        <w:t xml:space="preserve"> – prostřednictvím tohoto okruhu jsou poskytovány prostředky kryté příjmem EU na financování projektů </w:t>
      </w:r>
      <w:r w:rsidR="00924042" w:rsidRPr="00663795">
        <w:t>P</w:t>
      </w:r>
      <w:r w:rsidRPr="00663795">
        <w:t>rogramu Doprava, ve kterém SFDI plní funkci zprostředkujícího subjektu, dále také prostředky na financování komunitárních programů, u kterých zajišťuje SFDI národní spolufinancování. V roce 202</w:t>
      </w:r>
      <w:r w:rsidR="00663795" w:rsidRPr="00663795">
        <w:t>5</w:t>
      </w:r>
      <w:r w:rsidRPr="00663795">
        <w:t xml:space="preserve"> se předpokládají prostředky ve výši </w:t>
      </w:r>
      <w:r w:rsidR="00663795" w:rsidRPr="00663795">
        <w:t>37 397 288</w:t>
      </w:r>
      <w:r w:rsidRPr="00663795">
        <w:t xml:space="preserve"> tis. Kč, </w:t>
      </w:r>
      <w:r w:rsidRPr="00663795">
        <w:br/>
        <w:t>v plné výši se jedná o prostředky EU.</w:t>
      </w:r>
    </w:p>
    <w:p w14:paraId="605BFC6C" w14:textId="0CFE6644" w:rsidR="002A56F4" w:rsidRPr="00663795" w:rsidRDefault="002A56F4" w:rsidP="002A56F4">
      <w:pPr>
        <w:pStyle w:val="Styl1"/>
        <w:keepLines w:val="0"/>
        <w:numPr>
          <w:ilvl w:val="0"/>
          <w:numId w:val="22"/>
        </w:numPr>
        <w:ind w:left="568" w:hanging="284"/>
        <w:rPr>
          <w:b/>
          <w:bCs/>
        </w:rPr>
      </w:pPr>
      <w:r w:rsidRPr="00663795">
        <w:rPr>
          <w:u w:val="single"/>
        </w:rPr>
        <w:t>Ostatní dotace pro SFDI</w:t>
      </w:r>
      <w:r w:rsidRPr="00663795">
        <w:t xml:space="preserve"> – prostřednictvím tohoto okruhu se poskytují prostředky z úvěru přijatého Českou republikou od Evropské investiční banky na základě UV č. 726/2018, prostředky na krytí deficitu rozpočtu SFDI a na další aktivity, které nespadají do výše uvedeného výdajového okruhu. Pro rok 202</w:t>
      </w:r>
      <w:r w:rsidR="00663795" w:rsidRPr="00663795">
        <w:t>5</w:t>
      </w:r>
      <w:r w:rsidRPr="00663795">
        <w:t xml:space="preserve"> se navrhuje částka ve výši </w:t>
      </w:r>
      <w:r w:rsidRPr="00663795">
        <w:br/>
      </w:r>
      <w:r w:rsidR="00663795" w:rsidRPr="00663795">
        <w:t>81 804 946</w:t>
      </w:r>
      <w:r w:rsidRPr="00663795">
        <w:t xml:space="preserve"> tis. Kč, která je určena na zajištění pokrytí výdajů na dokončení rozestavěných staveb a na zajištění výdajů na nově zahajované stavby realizované ŘSD ČR a Správou železnic.</w:t>
      </w:r>
    </w:p>
    <w:p w14:paraId="43EF96B9" w14:textId="77777777" w:rsidR="002A56F4" w:rsidRPr="00C32DF5" w:rsidRDefault="002A56F4" w:rsidP="002A56F4">
      <w:pPr>
        <w:spacing w:before="240" w:after="120"/>
        <w:rPr>
          <w:rFonts w:cs="Times New Roman"/>
          <w:b/>
          <w:szCs w:val="24"/>
          <w:u w:val="single"/>
        </w:rPr>
      </w:pPr>
      <w:r w:rsidRPr="00C32DF5">
        <w:rPr>
          <w:rFonts w:cs="Times New Roman"/>
          <w:b/>
          <w:szCs w:val="24"/>
          <w:u w:val="single"/>
        </w:rPr>
        <w:t>504 – Ostatní výdaje spojené s </w:t>
      </w:r>
      <w:r w:rsidRPr="00C32DF5">
        <w:rPr>
          <w:rStyle w:val="Nadpis9Char"/>
        </w:rPr>
        <w:t>dopravní</w:t>
      </w:r>
      <w:r w:rsidRPr="00C32DF5">
        <w:rPr>
          <w:rFonts w:cs="Times New Roman"/>
          <w:b/>
          <w:szCs w:val="24"/>
          <w:u w:val="single"/>
        </w:rPr>
        <w:t xml:space="preserve"> politikou státu</w:t>
      </w:r>
    </w:p>
    <w:p w14:paraId="597608BA" w14:textId="0FD67D0A" w:rsidR="002A56F4" w:rsidRPr="00C32DF5" w:rsidRDefault="002A56F4" w:rsidP="002A56F4">
      <w:pPr>
        <w:pStyle w:val="Styl1"/>
      </w:pPr>
      <w:r w:rsidRPr="00C32DF5">
        <w:t>Výdajový blok zahrnuje všechny ostatní výdaje, které nespadají do předchozích výdajových bloků. V roce 202</w:t>
      </w:r>
      <w:r w:rsidR="00663795" w:rsidRPr="00C32DF5">
        <w:t>5</w:t>
      </w:r>
      <w:r w:rsidRPr="00C32DF5">
        <w:t xml:space="preserve"> je na tento výdajový blok rozpočtováno 9</w:t>
      </w:r>
      <w:r w:rsidR="00663795" w:rsidRPr="00C32DF5">
        <w:t> 227 662</w:t>
      </w:r>
      <w:r w:rsidRPr="00C32DF5">
        <w:t xml:space="preserve"> tis. Kč, tj. </w:t>
      </w:r>
      <w:r w:rsidR="00C32DF5" w:rsidRPr="00C32DF5">
        <w:t>6,62</w:t>
      </w:r>
      <w:r w:rsidRPr="00C32DF5">
        <w:t xml:space="preserve"> % souhrnného ukazatele výdaje celkem. Prostředky jsou rozpočtovány na dva okruhy: Další výdaje spojené s dopravní politikou státu (8</w:t>
      </w:r>
      <w:r w:rsidR="00C32DF5" w:rsidRPr="00C32DF5">
        <w:t> 017 048</w:t>
      </w:r>
      <w:r w:rsidRPr="00C32DF5">
        <w:t xml:space="preserve"> tis. Kč) a Výdaje spojené s kosmickými aktivitami (1 210 </w:t>
      </w:r>
      <w:r w:rsidR="00C32DF5" w:rsidRPr="00C32DF5">
        <w:t>61</w:t>
      </w:r>
      <w:r w:rsidRPr="00C32DF5">
        <w:t>5 tis. Kč).</w:t>
      </w:r>
    </w:p>
    <w:p w14:paraId="2039B963" w14:textId="77777777" w:rsidR="002A56F4" w:rsidRPr="00C32DF5" w:rsidRDefault="002A56F4" w:rsidP="002A56F4">
      <w:pPr>
        <w:pStyle w:val="Styl1"/>
        <w:rPr>
          <w:i/>
        </w:rPr>
      </w:pPr>
      <w:r w:rsidRPr="00C32DF5">
        <w:t>Podrobnější charakteristika vymezující funkční a věcný obsah tohoto bloku je uvedena v dalších částech kapitolního sešitu.</w:t>
      </w:r>
    </w:p>
    <w:p w14:paraId="6189E16E" w14:textId="03F8D8C4" w:rsidR="002A56F4" w:rsidRPr="00B538C7" w:rsidRDefault="002A56F4" w:rsidP="002A56F4">
      <w:pPr>
        <w:pStyle w:val="Titulek"/>
      </w:pPr>
      <w:r w:rsidRPr="00B538C7">
        <w:t xml:space="preserve">Tabulka č. </w:t>
      </w:r>
      <w:r w:rsidR="00696CFC" w:rsidRPr="00B538C7">
        <w:fldChar w:fldCharType="begin"/>
      </w:r>
      <w:r w:rsidR="00696CFC" w:rsidRPr="00B538C7">
        <w:instrText xml:space="preserve"> SEQ Tabulka \* ARABIC </w:instrText>
      </w:r>
      <w:r w:rsidR="00696CFC" w:rsidRPr="00B538C7">
        <w:fldChar w:fldCharType="separate"/>
      </w:r>
      <w:r w:rsidR="003B0B01" w:rsidRPr="00B538C7">
        <w:rPr>
          <w:noProof/>
        </w:rPr>
        <w:t>6</w:t>
      </w:r>
      <w:r w:rsidR="00696CFC" w:rsidRPr="00B538C7">
        <w:rPr>
          <w:noProof/>
        </w:rPr>
        <w:fldChar w:fldCharType="end"/>
      </w:r>
      <w:r w:rsidRPr="00B538C7">
        <w:t xml:space="preserve"> Přehled celkových výdajů v rámci kapitoly 327 MD (v tis. Kč)</w:t>
      </w:r>
    </w:p>
    <w:tbl>
      <w:tblPr>
        <w:tblStyle w:val="Svtltabulkasmkou1"/>
        <w:tblW w:w="962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124"/>
        <w:gridCol w:w="1417"/>
        <w:gridCol w:w="1418"/>
        <w:gridCol w:w="1418"/>
        <w:gridCol w:w="1418"/>
        <w:gridCol w:w="1417"/>
        <w:gridCol w:w="1417"/>
      </w:tblGrid>
      <w:tr w:rsidR="002A56F4" w:rsidRPr="00B538C7" w14:paraId="04AF6D2B" w14:textId="77777777" w:rsidTr="00C32DF5">
        <w:tc>
          <w:tcPr>
            <w:tcW w:w="1124" w:type="dxa"/>
            <w:vMerge w:val="restart"/>
            <w:tcBorders>
              <w:top w:val="single" w:sz="8" w:space="0" w:color="7F7F7F" w:themeColor="text1" w:themeTint="80"/>
            </w:tcBorders>
            <w:shd w:val="thinReverseDiagStripe" w:color="D9D9D9" w:themeColor="background1" w:themeShade="D9" w:fill="FFFFFF" w:themeFill="background1"/>
            <w:vAlign w:val="center"/>
          </w:tcPr>
          <w:p w14:paraId="019A2A55" w14:textId="77777777" w:rsidR="002A56F4" w:rsidRPr="00B538C7" w:rsidRDefault="002A56F4" w:rsidP="001E02BC">
            <w:pPr>
              <w:pStyle w:val="Zkladntext"/>
              <w:jc w:val="center"/>
              <w:rPr>
                <w:b/>
                <w:sz w:val="22"/>
                <w:szCs w:val="22"/>
              </w:rPr>
            </w:pPr>
            <w:r w:rsidRPr="00B538C7">
              <w:rPr>
                <w:b/>
                <w:sz w:val="22"/>
                <w:szCs w:val="22"/>
              </w:rPr>
              <w:t>Výdaje celkem</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1256AB8A" w14:textId="200E9867" w:rsidR="002A56F4" w:rsidRPr="00B538C7" w:rsidRDefault="002A56F4" w:rsidP="001E02BC">
            <w:pPr>
              <w:jc w:val="center"/>
              <w:rPr>
                <w:rFonts w:cs="Times New Roman"/>
                <w:b/>
                <w:sz w:val="22"/>
              </w:rPr>
            </w:pPr>
            <w:r w:rsidRPr="00B538C7">
              <w:rPr>
                <w:rFonts w:cs="Times New Roman"/>
                <w:b/>
                <w:sz w:val="22"/>
              </w:rPr>
              <w:t>Skutečnost 20</w:t>
            </w:r>
            <w:r w:rsidR="00B538C7" w:rsidRPr="00B538C7">
              <w:rPr>
                <w:rFonts w:cs="Times New Roman"/>
                <w:b/>
                <w:sz w:val="22"/>
              </w:rPr>
              <w:t>20</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21FF8A81" w14:textId="7C62D403" w:rsidR="002A56F4" w:rsidRPr="00B538C7" w:rsidRDefault="002A56F4" w:rsidP="001E02BC">
            <w:pPr>
              <w:jc w:val="center"/>
              <w:rPr>
                <w:rFonts w:cs="Times New Roman"/>
                <w:b/>
                <w:sz w:val="22"/>
              </w:rPr>
            </w:pPr>
            <w:r w:rsidRPr="00B538C7">
              <w:rPr>
                <w:rFonts w:cs="Times New Roman"/>
                <w:b/>
                <w:sz w:val="22"/>
              </w:rPr>
              <w:t>Skutečnost 202</w:t>
            </w:r>
            <w:r w:rsidR="00B538C7" w:rsidRPr="00B538C7">
              <w:rPr>
                <w:rFonts w:cs="Times New Roman"/>
                <w:b/>
                <w:sz w:val="22"/>
              </w:rPr>
              <w:t>1</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63712CC6" w14:textId="45A9B41C" w:rsidR="002A56F4" w:rsidRPr="00B538C7" w:rsidRDefault="002A56F4" w:rsidP="001E02BC">
            <w:pPr>
              <w:jc w:val="center"/>
              <w:rPr>
                <w:rFonts w:cs="Times New Roman"/>
                <w:b/>
                <w:sz w:val="22"/>
              </w:rPr>
            </w:pPr>
            <w:r w:rsidRPr="00B538C7">
              <w:rPr>
                <w:rFonts w:cs="Times New Roman"/>
                <w:b/>
                <w:sz w:val="22"/>
              </w:rPr>
              <w:t>Skutečnost 202</w:t>
            </w:r>
            <w:r w:rsidR="00C32DF5" w:rsidRPr="00B538C7">
              <w:rPr>
                <w:rFonts w:cs="Times New Roman"/>
                <w:b/>
                <w:sz w:val="22"/>
              </w:rPr>
              <w:t>2</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07CF8914" w14:textId="7056E83F" w:rsidR="002A56F4" w:rsidRPr="00B538C7" w:rsidRDefault="002A56F4" w:rsidP="001E02BC">
            <w:pPr>
              <w:jc w:val="center"/>
              <w:rPr>
                <w:rFonts w:cs="Times New Roman"/>
                <w:b/>
                <w:sz w:val="22"/>
              </w:rPr>
            </w:pPr>
            <w:r w:rsidRPr="00B538C7">
              <w:rPr>
                <w:rFonts w:cs="Times New Roman"/>
                <w:b/>
                <w:sz w:val="22"/>
              </w:rPr>
              <w:t>Skutečnost 202</w:t>
            </w:r>
            <w:r w:rsidR="00C32DF5" w:rsidRPr="00B538C7">
              <w:rPr>
                <w:rFonts w:cs="Times New Roman"/>
                <w:b/>
                <w:sz w:val="22"/>
              </w:rPr>
              <w:t>3</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3FCA77AB" w14:textId="391D6029" w:rsidR="002A56F4" w:rsidRPr="00B538C7" w:rsidRDefault="002A56F4" w:rsidP="001E02BC">
            <w:pPr>
              <w:jc w:val="center"/>
              <w:rPr>
                <w:rFonts w:cs="Times New Roman"/>
                <w:b/>
                <w:sz w:val="22"/>
              </w:rPr>
            </w:pPr>
            <w:r w:rsidRPr="00B538C7">
              <w:rPr>
                <w:rFonts w:cs="Times New Roman"/>
                <w:b/>
                <w:sz w:val="22"/>
              </w:rPr>
              <w:t>Schválený rozpočet 202</w:t>
            </w:r>
            <w:r w:rsidR="00C32DF5" w:rsidRPr="00B538C7">
              <w:rPr>
                <w:rFonts w:cs="Times New Roman"/>
                <w:b/>
                <w:sz w:val="22"/>
              </w:rPr>
              <w:t>4</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555DA5D3" w14:textId="407E5FC1" w:rsidR="002A56F4" w:rsidRPr="00B538C7" w:rsidRDefault="002A56F4" w:rsidP="001E02BC">
            <w:pPr>
              <w:jc w:val="center"/>
              <w:rPr>
                <w:rFonts w:cs="Times New Roman"/>
                <w:b/>
                <w:sz w:val="22"/>
              </w:rPr>
            </w:pPr>
            <w:r w:rsidRPr="00B538C7">
              <w:rPr>
                <w:rFonts w:cs="Times New Roman"/>
                <w:b/>
                <w:sz w:val="22"/>
              </w:rPr>
              <w:t>Návrh rozpočtu 202</w:t>
            </w:r>
            <w:r w:rsidR="00C32DF5" w:rsidRPr="00B538C7">
              <w:rPr>
                <w:rFonts w:cs="Times New Roman"/>
                <w:b/>
                <w:sz w:val="22"/>
              </w:rPr>
              <w:t>5</w:t>
            </w:r>
          </w:p>
        </w:tc>
      </w:tr>
      <w:tr w:rsidR="00C32DF5" w:rsidRPr="00D070B8" w14:paraId="79F468D5" w14:textId="77777777" w:rsidTr="00C32DF5">
        <w:tc>
          <w:tcPr>
            <w:tcW w:w="1124" w:type="dxa"/>
            <w:vMerge/>
            <w:tcBorders>
              <w:bottom w:val="single" w:sz="8" w:space="0" w:color="7F7F7F" w:themeColor="text1" w:themeTint="80"/>
            </w:tcBorders>
          </w:tcPr>
          <w:p w14:paraId="58FBB21B" w14:textId="77777777" w:rsidR="00C32DF5" w:rsidRPr="00B538C7" w:rsidRDefault="00C32DF5" w:rsidP="00C32DF5">
            <w:pPr>
              <w:rPr>
                <w:rFonts w:cs="Times New Roman"/>
                <w:b/>
                <w:szCs w:val="24"/>
              </w:rPr>
            </w:pPr>
          </w:p>
        </w:tc>
        <w:tc>
          <w:tcPr>
            <w:tcW w:w="1417" w:type="dxa"/>
            <w:tcBorders>
              <w:top w:val="single" w:sz="8" w:space="0" w:color="7F7F7F" w:themeColor="text1" w:themeTint="80"/>
              <w:bottom w:val="single" w:sz="8" w:space="0" w:color="7F7F7F" w:themeColor="text1" w:themeTint="80"/>
            </w:tcBorders>
          </w:tcPr>
          <w:p w14:paraId="4AECAB72" w14:textId="5458BC4F" w:rsidR="00C32DF5" w:rsidRPr="00B538C7" w:rsidRDefault="00C32DF5" w:rsidP="00C32DF5">
            <w:pPr>
              <w:pStyle w:val="Zkladntext"/>
              <w:spacing w:before="81"/>
              <w:jc w:val="right"/>
              <w:rPr>
                <w:bCs w:val="0"/>
                <w:sz w:val="22"/>
                <w:szCs w:val="22"/>
              </w:rPr>
            </w:pPr>
            <w:r w:rsidRPr="00B538C7">
              <w:rPr>
                <w:bCs w:val="0"/>
                <w:sz w:val="22"/>
                <w:szCs w:val="22"/>
              </w:rPr>
              <w:t>106 930 413</w:t>
            </w:r>
          </w:p>
        </w:tc>
        <w:tc>
          <w:tcPr>
            <w:tcW w:w="1418" w:type="dxa"/>
            <w:tcBorders>
              <w:top w:val="single" w:sz="8" w:space="0" w:color="7F7F7F" w:themeColor="text1" w:themeTint="80"/>
              <w:bottom w:val="single" w:sz="8" w:space="0" w:color="7F7F7F" w:themeColor="text1" w:themeTint="80"/>
            </w:tcBorders>
          </w:tcPr>
          <w:p w14:paraId="747A14FE" w14:textId="1ECABF22" w:rsidR="00C32DF5" w:rsidRPr="00B538C7" w:rsidRDefault="00C32DF5" w:rsidP="00C32DF5">
            <w:pPr>
              <w:pStyle w:val="Zkladntext"/>
              <w:spacing w:before="81"/>
              <w:jc w:val="right"/>
              <w:rPr>
                <w:bCs w:val="0"/>
                <w:sz w:val="22"/>
                <w:szCs w:val="22"/>
              </w:rPr>
            </w:pPr>
            <w:r w:rsidRPr="00B538C7">
              <w:rPr>
                <w:bCs w:val="0"/>
                <w:sz w:val="22"/>
                <w:szCs w:val="22"/>
              </w:rPr>
              <w:t>107 538 745</w:t>
            </w:r>
          </w:p>
        </w:tc>
        <w:tc>
          <w:tcPr>
            <w:tcW w:w="1418" w:type="dxa"/>
            <w:tcBorders>
              <w:top w:val="single" w:sz="8" w:space="0" w:color="7F7F7F" w:themeColor="text1" w:themeTint="80"/>
              <w:bottom w:val="single" w:sz="8" w:space="0" w:color="7F7F7F" w:themeColor="text1" w:themeTint="80"/>
            </w:tcBorders>
          </w:tcPr>
          <w:p w14:paraId="0A8459A6" w14:textId="46F1E555" w:rsidR="00C32DF5" w:rsidRPr="00B538C7" w:rsidRDefault="00B538C7" w:rsidP="00C32DF5">
            <w:pPr>
              <w:pStyle w:val="Zkladntext"/>
              <w:spacing w:before="81"/>
              <w:jc w:val="right"/>
              <w:rPr>
                <w:bCs w:val="0"/>
                <w:sz w:val="22"/>
                <w:szCs w:val="22"/>
              </w:rPr>
            </w:pPr>
            <w:r w:rsidRPr="00B538C7">
              <w:rPr>
                <w:bCs w:val="0"/>
                <w:sz w:val="22"/>
                <w:szCs w:val="22"/>
              </w:rPr>
              <w:t>111 949 214</w:t>
            </w:r>
          </w:p>
        </w:tc>
        <w:tc>
          <w:tcPr>
            <w:tcW w:w="1418" w:type="dxa"/>
            <w:tcBorders>
              <w:top w:val="single" w:sz="8" w:space="0" w:color="7F7F7F" w:themeColor="text1" w:themeTint="80"/>
              <w:bottom w:val="single" w:sz="8" w:space="0" w:color="7F7F7F" w:themeColor="text1" w:themeTint="80"/>
            </w:tcBorders>
          </w:tcPr>
          <w:p w14:paraId="126FF512" w14:textId="18F8B436" w:rsidR="00C32DF5" w:rsidRPr="00B538C7" w:rsidRDefault="00B538C7" w:rsidP="00C32DF5">
            <w:pPr>
              <w:pStyle w:val="Zkladntext"/>
              <w:spacing w:before="81"/>
              <w:jc w:val="right"/>
              <w:rPr>
                <w:bCs w:val="0"/>
                <w:sz w:val="22"/>
                <w:szCs w:val="22"/>
              </w:rPr>
            </w:pPr>
            <w:r w:rsidRPr="00B538C7">
              <w:rPr>
                <w:bCs w:val="0"/>
                <w:sz w:val="22"/>
                <w:szCs w:val="22"/>
              </w:rPr>
              <w:t>111 337 148</w:t>
            </w:r>
          </w:p>
        </w:tc>
        <w:tc>
          <w:tcPr>
            <w:tcW w:w="1417" w:type="dxa"/>
            <w:tcBorders>
              <w:top w:val="single" w:sz="8" w:space="0" w:color="7F7F7F" w:themeColor="text1" w:themeTint="80"/>
              <w:bottom w:val="single" w:sz="8" w:space="0" w:color="7F7F7F" w:themeColor="text1" w:themeTint="80"/>
            </w:tcBorders>
          </w:tcPr>
          <w:p w14:paraId="6C197D1E" w14:textId="4FE9EA3E" w:rsidR="00C32DF5" w:rsidRPr="00B538C7" w:rsidRDefault="00C32DF5" w:rsidP="00C32DF5">
            <w:pPr>
              <w:pStyle w:val="Zkladntext"/>
              <w:spacing w:before="81"/>
              <w:jc w:val="right"/>
              <w:rPr>
                <w:bCs w:val="0"/>
                <w:sz w:val="22"/>
                <w:szCs w:val="22"/>
              </w:rPr>
            </w:pPr>
            <w:r w:rsidRPr="00B538C7">
              <w:rPr>
                <w:bCs w:val="0"/>
                <w:sz w:val="22"/>
                <w:szCs w:val="22"/>
              </w:rPr>
              <w:t>103 673 186</w:t>
            </w:r>
          </w:p>
        </w:tc>
        <w:tc>
          <w:tcPr>
            <w:tcW w:w="1417" w:type="dxa"/>
            <w:tcBorders>
              <w:top w:val="single" w:sz="8" w:space="0" w:color="7F7F7F" w:themeColor="text1" w:themeTint="80"/>
              <w:bottom w:val="single" w:sz="8" w:space="0" w:color="7F7F7F" w:themeColor="text1" w:themeTint="80"/>
            </w:tcBorders>
          </w:tcPr>
          <w:p w14:paraId="28E1CFFA" w14:textId="275E08AC" w:rsidR="00C32DF5" w:rsidRPr="00B538C7" w:rsidRDefault="00B538C7" w:rsidP="00C32DF5">
            <w:pPr>
              <w:pStyle w:val="Zkladntext"/>
              <w:spacing w:before="81"/>
              <w:jc w:val="right"/>
              <w:rPr>
                <w:bCs w:val="0"/>
                <w:sz w:val="22"/>
                <w:szCs w:val="22"/>
              </w:rPr>
            </w:pPr>
            <w:r w:rsidRPr="00B538C7">
              <w:rPr>
                <w:bCs w:val="0"/>
                <w:sz w:val="22"/>
                <w:szCs w:val="22"/>
              </w:rPr>
              <w:t>139 486 811</w:t>
            </w:r>
          </w:p>
        </w:tc>
      </w:tr>
    </w:tbl>
    <w:p w14:paraId="2538E4F9" w14:textId="296E6493" w:rsidR="008C7EA3" w:rsidRPr="00B538C7" w:rsidRDefault="008C7EA3" w:rsidP="00232C1E">
      <w:pPr>
        <w:pStyle w:val="Nadpis3"/>
        <w:pageBreakBefore/>
      </w:pPr>
      <w:bookmarkStart w:id="30" w:name="_Toc115786838"/>
      <w:bookmarkStart w:id="31" w:name="_Toc115787428"/>
      <w:bookmarkStart w:id="32" w:name="_Toc115786839"/>
      <w:bookmarkStart w:id="33" w:name="_Toc115787429"/>
      <w:bookmarkStart w:id="34" w:name="_Toc115786840"/>
      <w:bookmarkStart w:id="35" w:name="_Toc115787430"/>
      <w:bookmarkStart w:id="36" w:name="_Toc115786841"/>
      <w:bookmarkStart w:id="37" w:name="_Toc115787431"/>
      <w:bookmarkStart w:id="38" w:name="_Toc115786850"/>
      <w:bookmarkStart w:id="39" w:name="_Toc115787440"/>
      <w:bookmarkStart w:id="40" w:name="_Toc115786854"/>
      <w:bookmarkStart w:id="41" w:name="_Toc115787444"/>
      <w:bookmarkStart w:id="42" w:name="_Toc115786858"/>
      <w:bookmarkStart w:id="43" w:name="_Toc115787448"/>
      <w:bookmarkStart w:id="44" w:name="_Toc115786862"/>
      <w:bookmarkStart w:id="45" w:name="_Toc115787452"/>
      <w:bookmarkStart w:id="46" w:name="_Toc115786866"/>
      <w:bookmarkStart w:id="47" w:name="_Toc115787456"/>
      <w:bookmarkStart w:id="48" w:name="_Toc115786874"/>
      <w:bookmarkStart w:id="49" w:name="_Toc115787464"/>
      <w:bookmarkStart w:id="50" w:name="_Toc115786882"/>
      <w:bookmarkStart w:id="51" w:name="_Toc115787472"/>
      <w:bookmarkStart w:id="52" w:name="_Toc115786886"/>
      <w:bookmarkStart w:id="53" w:name="_Toc115787476"/>
      <w:bookmarkStart w:id="54" w:name="_Toc115786894"/>
      <w:bookmarkStart w:id="55" w:name="_Toc115787484"/>
      <w:bookmarkStart w:id="56" w:name="_Toc115786898"/>
      <w:bookmarkStart w:id="57" w:name="_Toc115787488"/>
      <w:bookmarkStart w:id="58" w:name="_Toc115786906"/>
      <w:bookmarkStart w:id="59" w:name="_Toc115787496"/>
      <w:bookmarkStart w:id="60" w:name="_Toc115786910"/>
      <w:bookmarkStart w:id="61" w:name="_Toc115787500"/>
      <w:bookmarkStart w:id="62" w:name="_Toc115786911"/>
      <w:bookmarkStart w:id="63" w:name="_Toc115787501"/>
      <w:bookmarkStart w:id="64" w:name="_Toc115786912"/>
      <w:bookmarkStart w:id="65" w:name="_Toc115787502"/>
      <w:bookmarkStart w:id="66" w:name="_Toc115786913"/>
      <w:bookmarkStart w:id="67" w:name="_Toc115787503"/>
      <w:bookmarkStart w:id="68" w:name="_Toc115786914"/>
      <w:bookmarkStart w:id="69" w:name="_Toc115787504"/>
      <w:bookmarkStart w:id="70" w:name="_Toc115786915"/>
      <w:bookmarkStart w:id="71" w:name="_Toc115787505"/>
      <w:bookmarkStart w:id="72" w:name="_Toc115786916"/>
      <w:bookmarkStart w:id="73" w:name="_Toc115787506"/>
      <w:bookmarkStart w:id="74" w:name="_Toc115786917"/>
      <w:bookmarkStart w:id="75" w:name="_Toc115787507"/>
      <w:bookmarkStart w:id="76" w:name="_Toc115786918"/>
      <w:bookmarkStart w:id="77" w:name="_Toc115787508"/>
      <w:bookmarkStart w:id="78" w:name="_Toc115786919"/>
      <w:bookmarkStart w:id="79" w:name="_Toc115787509"/>
      <w:bookmarkStart w:id="80" w:name="_Toc115786920"/>
      <w:bookmarkStart w:id="81" w:name="_Toc115787510"/>
      <w:bookmarkStart w:id="82" w:name="_Toc115786921"/>
      <w:bookmarkStart w:id="83" w:name="_Toc115787511"/>
      <w:bookmarkStart w:id="84" w:name="_Toc115786922"/>
      <w:bookmarkStart w:id="85" w:name="_Toc115787512"/>
      <w:bookmarkStart w:id="86" w:name="_Toc115786923"/>
      <w:bookmarkStart w:id="87" w:name="_Toc115787513"/>
      <w:bookmarkStart w:id="88" w:name="_Toc115786924"/>
      <w:bookmarkStart w:id="89" w:name="_Toc115787514"/>
      <w:bookmarkStart w:id="90" w:name="_Toc115786925"/>
      <w:bookmarkStart w:id="91" w:name="_Toc115787515"/>
      <w:bookmarkStart w:id="92" w:name="_Toc115786926"/>
      <w:bookmarkStart w:id="93" w:name="_Toc115787516"/>
      <w:bookmarkStart w:id="94" w:name="_Toc115786935"/>
      <w:bookmarkStart w:id="95" w:name="_Toc115787525"/>
      <w:bookmarkStart w:id="96" w:name="_Toc17996409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B538C7">
        <w:lastRenderedPageBreak/>
        <w:t>Specifické ukazatele</w:t>
      </w:r>
      <w:bookmarkEnd w:id="26"/>
      <w:bookmarkEnd w:id="27"/>
      <w:bookmarkEnd w:id="28"/>
      <w:bookmarkEnd w:id="29"/>
      <w:bookmarkEnd w:id="96"/>
    </w:p>
    <w:p w14:paraId="423CB59E" w14:textId="77777777" w:rsidR="002A56F4" w:rsidRPr="00B538C7" w:rsidRDefault="002A56F4" w:rsidP="002A56F4">
      <w:pPr>
        <w:pStyle w:val="Styl1"/>
      </w:pPr>
      <w:r w:rsidRPr="00B538C7">
        <w:t xml:space="preserve">Specifické ukazatelé jsou součástí přílohy č. 4 k zákonu o státním rozpočtu České republiky </w:t>
      </w:r>
      <w:r w:rsidRPr="00B538C7">
        <w:br/>
        <w:t xml:space="preserve">na příslušný rozpočtový rok. </w:t>
      </w:r>
    </w:p>
    <w:p w14:paraId="2E1037AE" w14:textId="29769B8B" w:rsidR="002A56F4" w:rsidRPr="00B538C7" w:rsidRDefault="002A56F4" w:rsidP="002A56F4">
      <w:pPr>
        <w:pStyle w:val="Titulek"/>
      </w:pPr>
      <w:r w:rsidRPr="00B538C7">
        <w:t xml:space="preserve">Tabulka č. </w:t>
      </w:r>
      <w:r w:rsidRPr="00B538C7">
        <w:rPr>
          <w:noProof/>
        </w:rPr>
        <w:fldChar w:fldCharType="begin"/>
      </w:r>
      <w:r w:rsidRPr="00B538C7">
        <w:rPr>
          <w:noProof/>
        </w:rPr>
        <w:instrText xml:space="preserve"> SEQ Tabulka \* ARABIC </w:instrText>
      </w:r>
      <w:r w:rsidRPr="00B538C7">
        <w:rPr>
          <w:noProof/>
        </w:rPr>
        <w:fldChar w:fldCharType="separate"/>
      </w:r>
      <w:r w:rsidR="003B0B01" w:rsidRPr="00B538C7">
        <w:rPr>
          <w:noProof/>
        </w:rPr>
        <w:t>7</w:t>
      </w:r>
      <w:r w:rsidRPr="00B538C7">
        <w:rPr>
          <w:noProof/>
        </w:rPr>
        <w:fldChar w:fldCharType="end"/>
      </w:r>
      <w:r w:rsidRPr="00B538C7">
        <w:t xml:space="preserve"> Specifické „výdajové“ ukazatele kapitoly 327-MD (v Kč)</w:t>
      </w:r>
    </w:p>
    <w:tbl>
      <w:tblPr>
        <w:tblStyle w:val="Svtltabulkasmkou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40"/>
        <w:gridCol w:w="2211"/>
      </w:tblGrid>
      <w:tr w:rsidR="002A56F4" w:rsidRPr="00B538C7" w14:paraId="02540FFC"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4" w:space="0" w:color="7F7F7F" w:themeColor="text1" w:themeTint="80"/>
            </w:tcBorders>
          </w:tcPr>
          <w:p w14:paraId="3F34DA6A" w14:textId="77777777" w:rsidR="002A56F4" w:rsidRPr="00B538C7" w:rsidRDefault="002A56F4" w:rsidP="001E02BC">
            <w:pPr>
              <w:pStyle w:val="Nvod"/>
              <w:keepNext/>
              <w:spacing w:before="108"/>
              <w:ind w:left="231" w:hanging="231"/>
            </w:pPr>
            <w:r w:rsidRPr="00B538C7">
              <w:t>Drážní a kombinovaná doprava</w:t>
            </w:r>
          </w:p>
        </w:tc>
        <w:tc>
          <w:tcPr>
            <w:tcW w:w="2211" w:type="dxa"/>
            <w:tcBorders>
              <w:top w:val="single" w:sz="8" w:space="0" w:color="7F7F7F" w:themeColor="text1" w:themeTint="80"/>
              <w:bottom w:val="single" w:sz="4" w:space="0" w:color="7F7F7F" w:themeColor="text1" w:themeTint="80"/>
            </w:tcBorders>
          </w:tcPr>
          <w:p w14:paraId="69ABE3EE" w14:textId="63CC7685" w:rsidR="002A56F4" w:rsidRPr="00B538C7" w:rsidRDefault="00B538C7" w:rsidP="001E02BC">
            <w:pPr>
              <w:pStyle w:val="Nvod"/>
              <w:keepNext/>
              <w:spacing w:before="108"/>
              <w:ind w:left="0" w:firstLine="0"/>
              <w:jc w:val="right"/>
              <w:cnfStyle w:val="100000000000" w:firstRow="1" w:lastRow="0" w:firstColumn="0" w:lastColumn="0" w:oddVBand="0" w:evenVBand="0" w:oddHBand="0" w:evenHBand="0" w:firstRowFirstColumn="0" w:firstRowLastColumn="0" w:lastRowFirstColumn="0" w:lastRowLastColumn="0"/>
            </w:pPr>
            <w:r w:rsidRPr="00B538C7">
              <w:t>11 056 914 641</w:t>
            </w:r>
            <w:r w:rsidR="002A56F4" w:rsidRPr="00B538C7">
              <w:t xml:space="preserve">     </w:t>
            </w:r>
          </w:p>
        </w:tc>
      </w:tr>
      <w:tr w:rsidR="002A56F4" w:rsidRPr="00B538C7" w14:paraId="48E2DB12"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4" w:space="0" w:color="7F7F7F" w:themeColor="text1" w:themeTint="80"/>
            </w:tcBorders>
          </w:tcPr>
          <w:p w14:paraId="6DF5E6F3" w14:textId="77777777" w:rsidR="002A56F4" w:rsidRPr="00B538C7" w:rsidRDefault="002A56F4" w:rsidP="001E02BC">
            <w:pPr>
              <w:pStyle w:val="Nvod"/>
              <w:keepNext/>
              <w:spacing w:before="108"/>
              <w:ind w:left="231" w:hanging="231"/>
            </w:pPr>
            <w:r w:rsidRPr="00B538C7">
              <w:t xml:space="preserve">Pozemní komunikace </w:t>
            </w:r>
          </w:p>
        </w:tc>
        <w:tc>
          <w:tcPr>
            <w:tcW w:w="2211" w:type="dxa"/>
            <w:tcBorders>
              <w:top w:val="single" w:sz="4" w:space="0" w:color="7F7F7F" w:themeColor="text1" w:themeTint="80"/>
              <w:bottom w:val="single" w:sz="4" w:space="0" w:color="7F7F7F" w:themeColor="text1" w:themeTint="80"/>
            </w:tcBorders>
          </w:tcPr>
          <w:p w14:paraId="0DA9DF29" w14:textId="77777777" w:rsidR="002A56F4" w:rsidRPr="00B538C7" w:rsidRDefault="002A56F4"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rPr>
                <w:b/>
              </w:rPr>
            </w:pPr>
            <w:r w:rsidRPr="00B538C7">
              <w:rPr>
                <w:b/>
              </w:rPr>
              <w:t>0</w:t>
            </w:r>
          </w:p>
        </w:tc>
      </w:tr>
      <w:tr w:rsidR="002A56F4" w:rsidRPr="00B538C7" w14:paraId="34197BA5"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nil"/>
            </w:tcBorders>
          </w:tcPr>
          <w:p w14:paraId="41FB1DB3" w14:textId="77777777" w:rsidR="002A56F4" w:rsidRPr="00B538C7" w:rsidRDefault="002A56F4" w:rsidP="001E02BC">
            <w:pPr>
              <w:pStyle w:val="Nvod"/>
              <w:keepNext/>
              <w:spacing w:before="108"/>
              <w:ind w:left="231" w:hanging="231"/>
            </w:pPr>
            <w:r w:rsidRPr="00B538C7">
              <w:t xml:space="preserve">Dotace pro Státní fond dopravní infrastruktury </w:t>
            </w:r>
          </w:p>
        </w:tc>
        <w:tc>
          <w:tcPr>
            <w:tcW w:w="2211" w:type="dxa"/>
            <w:tcBorders>
              <w:top w:val="single" w:sz="4" w:space="0" w:color="7F7F7F" w:themeColor="text1" w:themeTint="80"/>
              <w:bottom w:val="nil"/>
            </w:tcBorders>
          </w:tcPr>
          <w:p w14:paraId="59AF45E6" w14:textId="6938AAE1" w:rsidR="002A56F4" w:rsidRPr="00B538C7" w:rsidRDefault="00B538C7" w:rsidP="001E02BC">
            <w:pPr>
              <w:pStyle w:val="Nvod"/>
              <w:keepNext/>
              <w:spacing w:before="108"/>
              <w:ind w:left="0" w:firstLine="8"/>
              <w:jc w:val="right"/>
              <w:cnfStyle w:val="000000000000" w:firstRow="0" w:lastRow="0" w:firstColumn="0" w:lastColumn="0" w:oddVBand="0" w:evenVBand="0" w:oddHBand="0" w:evenHBand="0" w:firstRowFirstColumn="0" w:firstRowLastColumn="0" w:lastRowFirstColumn="0" w:lastRowLastColumn="0"/>
              <w:rPr>
                <w:b/>
              </w:rPr>
            </w:pPr>
            <w:r w:rsidRPr="00B538C7">
              <w:rPr>
                <w:b/>
              </w:rPr>
              <w:t>119 202 233 820</w:t>
            </w:r>
          </w:p>
        </w:tc>
      </w:tr>
      <w:tr w:rsidR="002A56F4" w:rsidRPr="00B538C7" w14:paraId="5C3FA3E7"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14:paraId="50A942C8" w14:textId="77777777" w:rsidR="002A56F4" w:rsidRPr="00B538C7" w:rsidRDefault="002A56F4" w:rsidP="001E02BC">
            <w:pPr>
              <w:pStyle w:val="Nvod"/>
              <w:keepNext/>
              <w:spacing w:before="108"/>
              <w:ind w:left="0" w:firstLine="0"/>
              <w:rPr>
                <w:b w:val="0"/>
              </w:rPr>
            </w:pPr>
            <w:r w:rsidRPr="00B538C7">
              <w:rPr>
                <w:b w:val="0"/>
              </w:rPr>
              <w:t xml:space="preserve">v tom: dotace pro společné programy (projekty) EU a ČR </w:t>
            </w:r>
          </w:p>
        </w:tc>
        <w:tc>
          <w:tcPr>
            <w:tcW w:w="2211" w:type="dxa"/>
            <w:tcBorders>
              <w:top w:val="nil"/>
              <w:bottom w:val="nil"/>
            </w:tcBorders>
          </w:tcPr>
          <w:p w14:paraId="0873C455" w14:textId="001E1264" w:rsidR="002A56F4" w:rsidRPr="00B538C7" w:rsidRDefault="00B538C7"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pPr>
            <w:r w:rsidRPr="00B538C7">
              <w:t>37 397 288 000</w:t>
            </w:r>
          </w:p>
        </w:tc>
      </w:tr>
      <w:tr w:rsidR="002A56F4" w:rsidRPr="00B538C7" w14:paraId="0309A82A"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14:paraId="107FC982" w14:textId="77777777" w:rsidR="002A56F4" w:rsidRPr="00B538C7" w:rsidRDefault="002A56F4" w:rsidP="001E02BC">
            <w:pPr>
              <w:pStyle w:val="Nvod"/>
              <w:keepNext/>
              <w:spacing w:before="108"/>
              <w:ind w:left="0" w:firstLine="0"/>
              <w:rPr>
                <w:b w:val="0"/>
              </w:rPr>
            </w:pPr>
            <w:r w:rsidRPr="00B538C7">
              <w:rPr>
                <w:b w:val="0"/>
              </w:rPr>
              <w:t xml:space="preserve">            ostatní dotace pro SFDI</w:t>
            </w:r>
          </w:p>
        </w:tc>
        <w:tc>
          <w:tcPr>
            <w:tcW w:w="2211" w:type="dxa"/>
            <w:tcBorders>
              <w:top w:val="nil"/>
              <w:bottom w:val="nil"/>
            </w:tcBorders>
          </w:tcPr>
          <w:p w14:paraId="11624BFB" w14:textId="46EDE1C9" w:rsidR="002A56F4" w:rsidRPr="00B538C7" w:rsidRDefault="00B538C7"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pPr>
            <w:r w:rsidRPr="00B538C7">
              <w:t>81 804 945 820</w:t>
            </w:r>
          </w:p>
        </w:tc>
      </w:tr>
      <w:tr w:rsidR="002A56F4" w:rsidRPr="00AA1D3E" w14:paraId="685E9B35" w14:textId="77777777" w:rsidTr="001E02BC">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8" w:space="0" w:color="7F7F7F" w:themeColor="text1" w:themeTint="80"/>
            </w:tcBorders>
          </w:tcPr>
          <w:p w14:paraId="24850DC7" w14:textId="77777777" w:rsidR="002A56F4" w:rsidRPr="00B538C7" w:rsidRDefault="002A56F4" w:rsidP="001E02BC">
            <w:pPr>
              <w:pStyle w:val="Nvod"/>
              <w:keepNext/>
              <w:spacing w:before="108"/>
              <w:ind w:left="231" w:hanging="231"/>
            </w:pPr>
            <w:r w:rsidRPr="00B538C7">
              <w:t>Ostatní výdaje spojené s dopravní politikou státu</w:t>
            </w:r>
          </w:p>
        </w:tc>
        <w:tc>
          <w:tcPr>
            <w:tcW w:w="2211" w:type="dxa"/>
            <w:tcBorders>
              <w:top w:val="single" w:sz="4" w:space="0" w:color="7F7F7F" w:themeColor="text1" w:themeTint="80"/>
              <w:bottom w:val="single" w:sz="8" w:space="0" w:color="7F7F7F" w:themeColor="text1" w:themeTint="80"/>
            </w:tcBorders>
          </w:tcPr>
          <w:p w14:paraId="1F6E5FD1" w14:textId="71113FA9" w:rsidR="002A56F4" w:rsidRPr="00BB68D5" w:rsidRDefault="002A56F4" w:rsidP="001E02BC">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rPr>
                <w:b/>
              </w:rPr>
            </w:pPr>
            <w:r w:rsidRPr="00B538C7">
              <w:rPr>
                <w:b/>
              </w:rPr>
              <w:t>9</w:t>
            </w:r>
            <w:r w:rsidR="00B538C7" w:rsidRPr="00B538C7">
              <w:rPr>
                <w:b/>
              </w:rPr>
              <w:t> 227 662 463</w:t>
            </w:r>
          </w:p>
        </w:tc>
      </w:tr>
    </w:tbl>
    <w:p w14:paraId="107528A2" w14:textId="13268BD1" w:rsidR="002A56F4" w:rsidRPr="00136AE2" w:rsidRDefault="002A56F4" w:rsidP="002A56F4">
      <w:pPr>
        <w:pStyle w:val="Titulek"/>
        <w:spacing w:before="240"/>
      </w:pPr>
      <w:bookmarkStart w:id="97" w:name="_Toc179888380"/>
      <w:r w:rsidRPr="0021743B">
        <w:rPr>
          <w:noProof/>
        </w:rPr>
        <w:drawing>
          <wp:anchor distT="0" distB="0" distL="114300" distR="114300" simplePos="0" relativeHeight="251660288" behindDoc="0" locked="0" layoutInCell="1" allowOverlap="1" wp14:anchorId="71A9EFA3" wp14:editId="1273BA9F">
            <wp:simplePos x="0" y="0"/>
            <wp:positionH relativeFrom="margin">
              <wp:posOffset>-125095</wp:posOffset>
            </wp:positionH>
            <wp:positionV relativeFrom="paragraph">
              <wp:posOffset>394335</wp:posOffset>
            </wp:positionV>
            <wp:extent cx="6030595" cy="2599690"/>
            <wp:effectExtent l="0" t="0" r="8255" b="10160"/>
            <wp:wrapSquare wrapText="bothSides"/>
            <wp:docPr id="9" name="Graf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21743B">
        <w:t xml:space="preserve">Graf č. </w:t>
      </w:r>
      <w:r w:rsidRPr="0021743B">
        <w:rPr>
          <w:noProof/>
        </w:rPr>
        <w:fldChar w:fldCharType="begin"/>
      </w:r>
      <w:r w:rsidRPr="0021743B">
        <w:rPr>
          <w:noProof/>
        </w:rPr>
        <w:instrText xml:space="preserve"> SEQ Graf_č. \* ARABIC </w:instrText>
      </w:r>
      <w:r w:rsidRPr="0021743B">
        <w:rPr>
          <w:noProof/>
        </w:rPr>
        <w:fldChar w:fldCharType="separate"/>
      </w:r>
      <w:r w:rsidR="003B0B01" w:rsidRPr="0021743B">
        <w:rPr>
          <w:noProof/>
        </w:rPr>
        <w:t>4</w:t>
      </w:r>
      <w:r w:rsidRPr="0021743B">
        <w:rPr>
          <w:noProof/>
        </w:rPr>
        <w:fldChar w:fldCharType="end"/>
      </w:r>
      <w:r w:rsidRPr="0021743B">
        <w:t xml:space="preserve"> Přehled specifických ukazatelů v kapitole 327</w:t>
      </w:r>
      <w:r w:rsidRPr="0021743B">
        <w:noBreakHyphen/>
        <w:t>MD (v tis. Kč)</w:t>
      </w:r>
      <w:bookmarkEnd w:id="97"/>
    </w:p>
    <w:p w14:paraId="79A4834C" w14:textId="77777777" w:rsidR="002A56F4" w:rsidRDefault="002A56F4" w:rsidP="002A56F4">
      <w:pPr>
        <w:pStyle w:val="Styl1"/>
      </w:pPr>
      <w:r w:rsidRPr="004B7093">
        <w:t>Výdaje kapitoly 327</w:t>
      </w:r>
      <w:r w:rsidRPr="004B7093">
        <w:noBreakHyphen/>
        <w:t xml:space="preserve">MD jsou dále podrobně popsány v následujících textech, a to v členění </w:t>
      </w:r>
      <w:r w:rsidRPr="004B7093">
        <w:br/>
        <w:t xml:space="preserve">na běžné a kapitálové výdaje, na výdaje směrované do programového financování (EDS/SMVS/ZED) a na prostředky z rozpočtu Evropské unie. </w:t>
      </w:r>
    </w:p>
    <w:p w14:paraId="374E0082" w14:textId="77777777" w:rsidR="002A56F4" w:rsidRPr="003C742C" w:rsidRDefault="002A56F4" w:rsidP="002A56F4">
      <w:pPr>
        <w:pStyle w:val="Nadpis9"/>
      </w:pPr>
      <w:r w:rsidRPr="003C742C">
        <w:t>Drážní a kombinovaná doprava</w:t>
      </w:r>
    </w:p>
    <w:p w14:paraId="4676457B" w14:textId="4B560773" w:rsidR="002A56F4" w:rsidRPr="003C742C" w:rsidRDefault="002A56F4" w:rsidP="002A56F4">
      <w:pPr>
        <w:pStyle w:val="Styl1"/>
        <w:numPr>
          <w:ilvl w:val="0"/>
          <w:numId w:val="11"/>
        </w:numPr>
        <w:spacing w:before="120"/>
        <w:ind w:left="567" w:hanging="283"/>
      </w:pPr>
      <w:r w:rsidRPr="003C742C">
        <w:t>financované z prostředků státního rozpočtu (</w:t>
      </w:r>
      <w:r w:rsidR="003C742C" w:rsidRPr="003C742C">
        <w:t>11 056 915</w:t>
      </w:r>
      <w:r w:rsidRPr="003C742C">
        <w:t xml:space="preserve"> tis. Kč) </w:t>
      </w:r>
    </w:p>
    <w:tbl>
      <w:tblPr>
        <w:tblStyle w:val="Svtltabulkasmkou1"/>
        <w:tblW w:w="0" w:type="auto"/>
        <w:tblLook w:val="00A0" w:firstRow="1" w:lastRow="0" w:firstColumn="1" w:lastColumn="0" w:noHBand="0" w:noVBand="0"/>
      </w:tblPr>
      <w:tblGrid>
        <w:gridCol w:w="6873"/>
        <w:gridCol w:w="2177"/>
      </w:tblGrid>
      <w:tr w:rsidR="002A56F4" w:rsidRPr="003C742C" w14:paraId="63F402C1"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425459BF" w14:textId="77777777" w:rsidR="002A56F4" w:rsidRPr="003C742C" w:rsidRDefault="002A56F4" w:rsidP="001E02BC">
            <w:pPr>
              <w:rPr>
                <w:rFonts w:cs="Times New Roman"/>
                <w:b w:val="0"/>
                <w:szCs w:val="24"/>
              </w:rPr>
            </w:pPr>
            <w:r w:rsidRPr="003C742C">
              <w:rPr>
                <w:rFonts w:cs="Times New Roman"/>
                <w:szCs w:val="24"/>
              </w:rPr>
              <w:t xml:space="preserve">Úhrada ztráty ze záv. veř. služby ve veř. drážní os. dopr. </w:t>
            </w:r>
            <w:r w:rsidRPr="003C742C">
              <w:rPr>
                <w:rFonts w:cs="Times New Roman"/>
                <w:b w:val="0"/>
                <w:szCs w:val="24"/>
              </w:rPr>
              <w:t>(v tom:)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3903DAF7" w14:textId="1E23FA7B" w:rsidR="002A56F4" w:rsidRPr="003C742C" w:rsidRDefault="003C742C" w:rsidP="001E02BC">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3C742C">
              <w:rPr>
                <w:rFonts w:cs="Times New Roman"/>
                <w:szCs w:val="24"/>
              </w:rPr>
              <w:t>11 056 915</w:t>
            </w:r>
            <w:r w:rsidR="002A56F4" w:rsidRPr="003C742C">
              <w:rPr>
                <w:rFonts w:cs="Times New Roman"/>
                <w:szCs w:val="24"/>
              </w:rPr>
              <w:t xml:space="preserve"> tis. Kč</w:t>
            </w:r>
          </w:p>
        </w:tc>
      </w:tr>
      <w:tr w:rsidR="002A56F4" w:rsidRPr="003C742C" w14:paraId="6CAAE62A" w14:textId="77777777" w:rsidTr="001E02BC">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231A9BD4" w14:textId="77777777" w:rsidR="002A56F4" w:rsidRPr="003C742C" w:rsidRDefault="002A56F4" w:rsidP="001E02BC">
            <w:pPr>
              <w:ind w:left="14" w:hanging="14"/>
              <w:rPr>
                <w:rFonts w:cs="Times New Roman"/>
                <w:b w:val="0"/>
                <w:szCs w:val="24"/>
              </w:rPr>
            </w:pPr>
            <w:r w:rsidRPr="003C742C">
              <w:rPr>
                <w:rFonts w:cs="Times New Roman"/>
                <w:b w:val="0"/>
                <w:szCs w:val="24"/>
              </w:rPr>
              <w:t>Neinvestiční transfery rozpočtům územní úrovně</w:t>
            </w:r>
          </w:p>
          <w:p w14:paraId="4ED8D534" w14:textId="77777777" w:rsidR="002A56F4" w:rsidRPr="003C742C" w:rsidRDefault="002A56F4" w:rsidP="001E02BC">
            <w:pPr>
              <w:ind w:left="14" w:hanging="14"/>
              <w:rPr>
                <w:rFonts w:cs="Times New Roman"/>
                <w:b w:val="0"/>
                <w:i/>
                <w:szCs w:val="24"/>
              </w:rPr>
            </w:pPr>
            <w:r w:rsidRPr="003C742C">
              <w:rPr>
                <w:rFonts w:cs="Times New Roman"/>
                <w:b w:val="0"/>
                <w:i/>
                <w:szCs w:val="24"/>
              </w:rPr>
              <w:t xml:space="preserve">v tom: ZED </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6F7806C7" w14:textId="743D0CD2" w:rsidR="002A56F4" w:rsidRPr="003C742C"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C742C">
              <w:rPr>
                <w:rFonts w:cs="Times New Roman"/>
                <w:szCs w:val="24"/>
              </w:rPr>
              <w:t xml:space="preserve"> </w:t>
            </w:r>
            <w:r w:rsidR="003C742C" w:rsidRPr="003C742C">
              <w:rPr>
                <w:rFonts w:cs="Times New Roman"/>
                <w:szCs w:val="24"/>
              </w:rPr>
              <w:t>4 505 464</w:t>
            </w:r>
            <w:r w:rsidRPr="003C742C">
              <w:rPr>
                <w:rFonts w:cs="Times New Roman"/>
                <w:szCs w:val="24"/>
              </w:rPr>
              <w:t xml:space="preserve"> tis. Kč</w:t>
            </w:r>
          </w:p>
          <w:p w14:paraId="6AA8E6CB" w14:textId="649DE0E8" w:rsidR="002A56F4" w:rsidRPr="003C742C"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C742C">
              <w:rPr>
                <w:rFonts w:cs="Times New Roman"/>
                <w:i/>
                <w:szCs w:val="24"/>
              </w:rPr>
              <w:t>4</w:t>
            </w:r>
            <w:r w:rsidR="003C742C" w:rsidRPr="003C742C">
              <w:rPr>
                <w:rFonts w:cs="Times New Roman"/>
                <w:i/>
                <w:szCs w:val="24"/>
              </w:rPr>
              <w:t> 505 464</w:t>
            </w:r>
            <w:r w:rsidRPr="003C742C">
              <w:rPr>
                <w:rFonts w:cs="Times New Roman"/>
                <w:i/>
                <w:szCs w:val="24"/>
              </w:rPr>
              <w:t xml:space="preserve"> tis. Kč</w:t>
            </w:r>
          </w:p>
        </w:tc>
      </w:tr>
      <w:tr w:rsidR="002A56F4" w:rsidRPr="003C742C" w14:paraId="0965FFA3" w14:textId="77777777" w:rsidTr="001E02BC">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734CD317" w14:textId="77777777" w:rsidR="002A56F4" w:rsidRPr="003C742C" w:rsidRDefault="002A56F4" w:rsidP="001E02BC">
            <w:pPr>
              <w:rPr>
                <w:rFonts w:cs="Times New Roman"/>
                <w:b w:val="0"/>
                <w:szCs w:val="24"/>
              </w:rPr>
            </w:pPr>
            <w:r w:rsidRPr="003C742C">
              <w:rPr>
                <w:rFonts w:cs="Times New Roman"/>
                <w:b w:val="0"/>
                <w:szCs w:val="24"/>
              </w:rPr>
              <w:t>Neinvestiční transfery podnikatelům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654B00AE" w14:textId="47446ECD" w:rsidR="002A56F4" w:rsidRPr="003C742C" w:rsidRDefault="003C742C" w:rsidP="001E02B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C742C">
              <w:rPr>
                <w:rFonts w:cs="Times New Roman"/>
                <w:szCs w:val="24"/>
              </w:rPr>
              <w:t>6 551 451</w:t>
            </w:r>
            <w:r w:rsidR="002A56F4" w:rsidRPr="003C742C">
              <w:rPr>
                <w:rFonts w:cs="Times New Roman"/>
                <w:szCs w:val="24"/>
              </w:rPr>
              <w:t xml:space="preserve"> tis. Kč</w:t>
            </w:r>
          </w:p>
        </w:tc>
      </w:tr>
    </w:tbl>
    <w:p w14:paraId="290CBD53" w14:textId="02344134" w:rsidR="002A56F4" w:rsidRPr="003C742C" w:rsidRDefault="002A56F4" w:rsidP="002A56F4">
      <w:pPr>
        <w:pStyle w:val="Styl1"/>
        <w:numPr>
          <w:ilvl w:val="0"/>
          <w:numId w:val="12"/>
        </w:numPr>
        <w:spacing w:before="120"/>
        <w:ind w:left="567" w:hanging="283"/>
      </w:pPr>
      <w:r w:rsidRPr="003C742C">
        <w:t>financované z prostředků fondů Evropské unie (</w:t>
      </w:r>
      <w:r w:rsidR="003C742C" w:rsidRPr="003C742C">
        <w:t>0</w:t>
      </w:r>
      <w:r w:rsidRPr="003C742C">
        <w:t xml:space="preserve"> tis. Kč)</w:t>
      </w:r>
    </w:p>
    <w:p w14:paraId="0B4FBB28" w14:textId="77777777" w:rsidR="002A56F4" w:rsidRPr="003C742C" w:rsidRDefault="002A56F4" w:rsidP="002A56F4">
      <w:pPr>
        <w:pStyle w:val="Nadpis9"/>
      </w:pPr>
      <w:r w:rsidRPr="003C742C">
        <w:t xml:space="preserve">Pozemní komunikace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78"/>
        <w:gridCol w:w="2173"/>
      </w:tblGrid>
      <w:tr w:rsidR="002A56F4" w:rsidRPr="003C742C" w14:paraId="175E50E2"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9" w:type="dxa"/>
            <w:tcBorders>
              <w:bottom w:val="none" w:sz="0" w:space="0" w:color="auto"/>
            </w:tcBorders>
            <w:shd w:val="clear" w:color="auto" w:fill="auto"/>
          </w:tcPr>
          <w:p w14:paraId="0CCB9BEA" w14:textId="77777777" w:rsidR="002A56F4" w:rsidRPr="003C742C" w:rsidRDefault="002A56F4" w:rsidP="001E02BC">
            <w:pPr>
              <w:rPr>
                <w:rFonts w:cs="Times New Roman"/>
                <w:b w:val="0"/>
                <w:szCs w:val="24"/>
              </w:rPr>
            </w:pPr>
            <w:r w:rsidRPr="003C742C">
              <w:rPr>
                <w:rFonts w:cs="Times New Roman"/>
                <w:b w:val="0"/>
                <w:szCs w:val="24"/>
              </w:rPr>
              <w:t>Pozemní komunikace</w:t>
            </w:r>
          </w:p>
        </w:tc>
        <w:tc>
          <w:tcPr>
            <w:tcW w:w="2173" w:type="dxa"/>
            <w:tcBorders>
              <w:bottom w:val="none" w:sz="0" w:space="0" w:color="auto"/>
            </w:tcBorders>
            <w:shd w:val="clear" w:color="auto" w:fill="auto"/>
          </w:tcPr>
          <w:p w14:paraId="7A292430" w14:textId="77777777" w:rsidR="002A56F4" w:rsidRPr="003C742C" w:rsidRDefault="002A56F4" w:rsidP="001E02BC">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3C742C">
              <w:rPr>
                <w:rFonts w:cs="Times New Roman"/>
                <w:b w:val="0"/>
                <w:szCs w:val="24"/>
              </w:rPr>
              <w:t>0 tis. Kč</w:t>
            </w:r>
          </w:p>
        </w:tc>
      </w:tr>
    </w:tbl>
    <w:p w14:paraId="1851A2EE" w14:textId="77777777" w:rsidR="002A56F4" w:rsidRPr="003C742C" w:rsidRDefault="002A56F4" w:rsidP="002A56F4">
      <w:pPr>
        <w:pStyle w:val="Nadpis9"/>
      </w:pPr>
      <w:r w:rsidRPr="003C742C">
        <w:lastRenderedPageBreak/>
        <w:t>Dotace pro Státní fond dopravní infrastruktury</w:t>
      </w:r>
    </w:p>
    <w:p w14:paraId="0EE43A1D" w14:textId="16B518EC" w:rsidR="002A56F4" w:rsidRPr="003C742C" w:rsidRDefault="002A56F4" w:rsidP="002A56F4">
      <w:pPr>
        <w:pStyle w:val="Styl1"/>
        <w:numPr>
          <w:ilvl w:val="0"/>
          <w:numId w:val="23"/>
        </w:numPr>
        <w:tabs>
          <w:tab w:val="left" w:pos="1418"/>
        </w:tabs>
        <w:ind w:left="567" w:hanging="283"/>
        <w:rPr>
          <w:rStyle w:val="Siln"/>
          <w:b w:val="0"/>
        </w:rPr>
      </w:pPr>
      <w:r w:rsidRPr="003C742C">
        <w:rPr>
          <w:rStyle w:val="Siln"/>
          <w:b w:val="0"/>
        </w:rPr>
        <w:t>financované z prostředků státního rozpočtu (</w:t>
      </w:r>
      <w:r w:rsidR="003C742C" w:rsidRPr="003C742C">
        <w:rPr>
          <w:rStyle w:val="Siln"/>
          <w:b w:val="0"/>
        </w:rPr>
        <w:t>81 804 946</w:t>
      </w:r>
      <w:r w:rsidRPr="003C742C">
        <w:rPr>
          <w:rStyle w:val="Siln"/>
          <w:b w:val="0"/>
        </w:rPr>
        <w:t xml:space="preserve">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66"/>
        <w:gridCol w:w="2185"/>
      </w:tblGrid>
      <w:tr w:rsidR="002A56F4" w:rsidRPr="003C742C" w14:paraId="26CAE92B"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67" w:type="dxa"/>
            <w:tcBorders>
              <w:bottom w:val="single" w:sz="8" w:space="0" w:color="7F7F7F" w:themeColor="text1" w:themeTint="80"/>
            </w:tcBorders>
            <w:shd w:val="clear" w:color="auto" w:fill="auto"/>
          </w:tcPr>
          <w:p w14:paraId="6496201B" w14:textId="77777777" w:rsidR="002A56F4" w:rsidRPr="003C742C" w:rsidRDefault="002A56F4" w:rsidP="001E02BC">
            <w:pPr>
              <w:rPr>
                <w:rFonts w:cs="Times New Roman"/>
                <w:b w:val="0"/>
                <w:szCs w:val="24"/>
              </w:rPr>
            </w:pPr>
            <w:r w:rsidRPr="003C742C">
              <w:rPr>
                <w:rFonts w:cs="Times New Roman"/>
                <w:szCs w:val="24"/>
              </w:rPr>
              <w:t xml:space="preserve">Ostatní dotace pro SFDI </w:t>
            </w:r>
            <w:r w:rsidRPr="003C742C">
              <w:rPr>
                <w:rFonts w:cs="Times New Roman"/>
                <w:b w:val="0"/>
                <w:szCs w:val="24"/>
              </w:rPr>
              <w:t>(v tom:)</w:t>
            </w:r>
          </w:p>
        </w:tc>
        <w:tc>
          <w:tcPr>
            <w:tcW w:w="2185" w:type="dxa"/>
            <w:tcBorders>
              <w:bottom w:val="single" w:sz="8" w:space="0" w:color="7F7F7F" w:themeColor="text1" w:themeTint="80"/>
            </w:tcBorders>
            <w:shd w:val="clear" w:color="auto" w:fill="auto"/>
          </w:tcPr>
          <w:p w14:paraId="6E5AA723" w14:textId="0FDB2609" w:rsidR="002A56F4" w:rsidRPr="003C742C" w:rsidRDefault="003C742C" w:rsidP="001E02BC">
            <w:pPr>
              <w:jc w:val="right"/>
              <w:cnfStyle w:val="100000000000" w:firstRow="1" w:lastRow="0" w:firstColumn="0" w:lastColumn="0" w:oddVBand="0" w:evenVBand="0" w:oddHBand="0" w:evenHBand="0" w:firstRowFirstColumn="0" w:firstRowLastColumn="0" w:lastRowFirstColumn="0" w:lastRowLastColumn="0"/>
              <w:rPr>
                <w:rFonts w:cs="Times New Roman"/>
                <w:i/>
                <w:szCs w:val="24"/>
              </w:rPr>
            </w:pPr>
            <w:r w:rsidRPr="003C742C">
              <w:rPr>
                <w:rFonts w:cs="Times New Roman"/>
                <w:szCs w:val="24"/>
              </w:rPr>
              <w:t>81 804 946</w:t>
            </w:r>
            <w:r w:rsidR="002A56F4" w:rsidRPr="003C742C">
              <w:rPr>
                <w:rFonts w:cs="Times New Roman"/>
                <w:szCs w:val="24"/>
              </w:rPr>
              <w:t xml:space="preserve"> tis. Kč</w:t>
            </w:r>
          </w:p>
        </w:tc>
      </w:tr>
      <w:tr w:rsidR="002A56F4" w:rsidRPr="003C742C" w14:paraId="3CDFAD0E" w14:textId="77777777" w:rsidTr="001E02BC">
        <w:tc>
          <w:tcPr>
            <w:cnfStyle w:val="001000000000" w:firstRow="0" w:lastRow="0" w:firstColumn="1" w:lastColumn="0" w:oddVBand="0" w:evenVBand="0" w:oddHBand="0" w:evenHBand="0" w:firstRowFirstColumn="0" w:firstRowLastColumn="0" w:lastRowFirstColumn="0" w:lastRowLastColumn="0"/>
            <w:tcW w:w="6867" w:type="dxa"/>
            <w:tcBorders>
              <w:top w:val="single" w:sz="8" w:space="0" w:color="7F7F7F" w:themeColor="text1" w:themeTint="80"/>
              <w:bottom w:val="single" w:sz="8" w:space="0" w:color="7F7F7F" w:themeColor="text1" w:themeTint="80"/>
            </w:tcBorders>
            <w:shd w:val="clear" w:color="auto" w:fill="auto"/>
          </w:tcPr>
          <w:p w14:paraId="515FEF69" w14:textId="77777777" w:rsidR="002A56F4" w:rsidRPr="003C742C" w:rsidRDefault="002A56F4" w:rsidP="001E02BC">
            <w:pPr>
              <w:rPr>
                <w:rFonts w:cs="Times New Roman"/>
                <w:b w:val="0"/>
                <w:i/>
                <w:szCs w:val="24"/>
              </w:rPr>
            </w:pPr>
            <w:r w:rsidRPr="003C742C">
              <w:rPr>
                <w:rFonts w:cs="Times New Roman"/>
                <w:b w:val="0"/>
                <w:i/>
                <w:szCs w:val="24"/>
              </w:rPr>
              <w:t>127 76 Ostatní dotace SFDI</w:t>
            </w:r>
          </w:p>
        </w:tc>
        <w:tc>
          <w:tcPr>
            <w:tcW w:w="2185" w:type="dxa"/>
            <w:tcBorders>
              <w:top w:val="single" w:sz="8" w:space="0" w:color="7F7F7F" w:themeColor="text1" w:themeTint="80"/>
              <w:bottom w:val="single" w:sz="8" w:space="0" w:color="7F7F7F" w:themeColor="text1" w:themeTint="80"/>
            </w:tcBorders>
            <w:shd w:val="clear" w:color="auto" w:fill="auto"/>
          </w:tcPr>
          <w:p w14:paraId="68707259" w14:textId="0C5DBCF8" w:rsidR="002A56F4" w:rsidRPr="003C742C" w:rsidRDefault="003C742C"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C742C">
              <w:rPr>
                <w:rFonts w:cs="Times New Roman"/>
                <w:i/>
                <w:szCs w:val="24"/>
              </w:rPr>
              <w:t>81 804 946</w:t>
            </w:r>
            <w:r w:rsidR="002A56F4" w:rsidRPr="003C742C">
              <w:rPr>
                <w:rFonts w:cs="Times New Roman"/>
                <w:i/>
                <w:szCs w:val="24"/>
              </w:rPr>
              <w:t xml:space="preserve"> tis. Kč</w:t>
            </w:r>
          </w:p>
        </w:tc>
      </w:tr>
    </w:tbl>
    <w:p w14:paraId="6BFEBB10" w14:textId="2E85A5A9" w:rsidR="002A56F4" w:rsidRPr="003C742C" w:rsidRDefault="002A56F4" w:rsidP="002A56F4">
      <w:pPr>
        <w:pStyle w:val="Styl1"/>
        <w:numPr>
          <w:ilvl w:val="0"/>
          <w:numId w:val="23"/>
        </w:numPr>
        <w:ind w:left="567" w:hanging="283"/>
      </w:pPr>
      <w:r w:rsidRPr="003C742C">
        <w:t>financované z prostředků fondů Evropské unie (</w:t>
      </w:r>
      <w:r w:rsidR="003C742C" w:rsidRPr="003C742C">
        <w:t>37 397 288</w:t>
      </w:r>
      <w:r w:rsidRPr="003C742C">
        <w:t xml:space="preserve"> 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2A56F4" w:rsidRPr="003C742C" w14:paraId="4BBFC17A"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bottom w:val="single" w:sz="8" w:space="0" w:color="7F7F7F" w:themeColor="text1" w:themeTint="80"/>
            </w:tcBorders>
            <w:shd w:val="clear" w:color="auto" w:fill="auto"/>
          </w:tcPr>
          <w:p w14:paraId="265B51DF" w14:textId="77777777" w:rsidR="002A56F4" w:rsidRPr="003C742C" w:rsidRDefault="002A56F4" w:rsidP="001E02BC">
            <w:pPr>
              <w:rPr>
                <w:rFonts w:cs="Times New Roman"/>
                <w:b w:val="0"/>
                <w:szCs w:val="24"/>
              </w:rPr>
            </w:pPr>
            <w:r w:rsidRPr="003C742C">
              <w:rPr>
                <w:rFonts w:cs="Times New Roman"/>
                <w:szCs w:val="24"/>
              </w:rPr>
              <w:t>Dotace pro společné programy (projekty) EU a ČR</w:t>
            </w:r>
            <w:r w:rsidRPr="003C742C">
              <w:rPr>
                <w:rFonts w:cs="Times New Roman"/>
                <w:b w:val="0"/>
                <w:szCs w:val="24"/>
              </w:rPr>
              <w:t xml:space="preserve"> (v tom:)</w:t>
            </w:r>
          </w:p>
        </w:tc>
        <w:tc>
          <w:tcPr>
            <w:tcW w:w="2126" w:type="dxa"/>
            <w:tcBorders>
              <w:bottom w:val="single" w:sz="8" w:space="0" w:color="7F7F7F" w:themeColor="text1" w:themeTint="80"/>
            </w:tcBorders>
            <w:shd w:val="clear" w:color="auto" w:fill="auto"/>
          </w:tcPr>
          <w:p w14:paraId="186091A2" w14:textId="0B6D6598" w:rsidR="002A56F4" w:rsidRPr="003C742C" w:rsidRDefault="003C742C" w:rsidP="001E02BC">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3C742C">
              <w:rPr>
                <w:rFonts w:cs="Times New Roman"/>
                <w:szCs w:val="24"/>
              </w:rPr>
              <w:t>37 397 288</w:t>
            </w:r>
            <w:r w:rsidR="002A56F4" w:rsidRPr="003C742C">
              <w:rPr>
                <w:rFonts w:cs="Times New Roman"/>
                <w:szCs w:val="24"/>
              </w:rPr>
              <w:t xml:space="preserve"> tis. Kč</w:t>
            </w:r>
          </w:p>
        </w:tc>
      </w:tr>
      <w:tr w:rsidR="002A56F4" w:rsidRPr="003C742C" w14:paraId="64EA7701" w14:textId="77777777" w:rsidTr="001E02BC">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tcBorders>
            <w:shd w:val="clear" w:color="auto" w:fill="auto"/>
          </w:tcPr>
          <w:p w14:paraId="166E460E" w14:textId="6F707AF2" w:rsidR="002A56F4" w:rsidRPr="003C742C" w:rsidRDefault="00611B48" w:rsidP="001E02BC">
            <w:pPr>
              <w:rPr>
                <w:rFonts w:cs="Times New Roman"/>
                <w:b w:val="0"/>
                <w:i/>
                <w:szCs w:val="24"/>
              </w:rPr>
            </w:pPr>
            <w:r w:rsidRPr="003C742C">
              <w:rPr>
                <w:rFonts w:cs="Times New Roman"/>
                <w:b w:val="0"/>
                <w:i/>
                <w:szCs w:val="24"/>
              </w:rPr>
              <w:t>Program</w:t>
            </w:r>
            <w:r w:rsidR="002A56F4" w:rsidRPr="003C742C">
              <w:rPr>
                <w:rFonts w:cs="Times New Roman"/>
                <w:b w:val="0"/>
                <w:i/>
                <w:szCs w:val="24"/>
              </w:rPr>
              <w:t xml:space="preserve"> Doprava 2021+/ZED</w:t>
            </w:r>
          </w:p>
        </w:tc>
        <w:tc>
          <w:tcPr>
            <w:tcW w:w="2126" w:type="dxa"/>
            <w:tcBorders>
              <w:top w:val="single" w:sz="8" w:space="0" w:color="7F7F7F" w:themeColor="text1" w:themeTint="80"/>
              <w:bottom w:val="single" w:sz="8" w:space="0" w:color="7F7F7F" w:themeColor="text1" w:themeTint="80"/>
            </w:tcBorders>
            <w:shd w:val="clear" w:color="auto" w:fill="auto"/>
          </w:tcPr>
          <w:p w14:paraId="1F824DAC" w14:textId="165F35F6" w:rsidR="002A56F4" w:rsidRPr="003C742C" w:rsidRDefault="003C742C"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C742C">
              <w:rPr>
                <w:rFonts w:cs="Times New Roman"/>
                <w:i/>
                <w:szCs w:val="24"/>
              </w:rPr>
              <w:t>30 288 591</w:t>
            </w:r>
            <w:r w:rsidR="002A56F4" w:rsidRPr="003C742C">
              <w:rPr>
                <w:rFonts w:cs="Times New Roman"/>
                <w:i/>
                <w:szCs w:val="24"/>
              </w:rPr>
              <w:t xml:space="preserve"> tis. Kč</w:t>
            </w:r>
          </w:p>
        </w:tc>
      </w:tr>
      <w:tr w:rsidR="002A56F4" w:rsidRPr="00D070B8" w14:paraId="18DE5E44" w14:textId="77777777" w:rsidTr="001E02BC">
        <w:trPr>
          <w:trHeight w:val="346"/>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27AA919C" w14:textId="77777777" w:rsidR="002A56F4" w:rsidRPr="003C742C" w:rsidRDefault="002A56F4" w:rsidP="001E02BC">
            <w:pPr>
              <w:rPr>
                <w:rFonts w:cs="Times New Roman"/>
                <w:b w:val="0"/>
                <w:i/>
                <w:szCs w:val="24"/>
              </w:rPr>
            </w:pPr>
            <w:r w:rsidRPr="003C742C">
              <w:rPr>
                <w:rFonts w:cs="Times New Roman"/>
                <w:b w:val="0"/>
                <w:i/>
                <w:szCs w:val="24"/>
              </w:rPr>
              <w:t>Komunitární programy 2021+/ZED</w:t>
            </w:r>
          </w:p>
        </w:tc>
        <w:tc>
          <w:tcPr>
            <w:tcW w:w="2126" w:type="dxa"/>
            <w:tcBorders>
              <w:top w:val="single" w:sz="8" w:space="0" w:color="7F7F7F" w:themeColor="text1" w:themeTint="80"/>
              <w:left w:val="single" w:sz="8" w:space="0" w:color="7F7F7F" w:themeColor="text1" w:themeTint="80"/>
              <w:bottom w:val="single" w:sz="8" w:space="0" w:color="7F7F7F" w:themeColor="text1" w:themeTint="80"/>
            </w:tcBorders>
            <w:shd w:val="clear" w:color="auto" w:fill="auto"/>
          </w:tcPr>
          <w:p w14:paraId="55A0E783" w14:textId="722D7BE8" w:rsidR="002A56F4" w:rsidRPr="003C742C" w:rsidRDefault="002A56F4" w:rsidP="001E02B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C742C">
              <w:rPr>
                <w:rFonts w:cs="Times New Roman"/>
                <w:i/>
                <w:szCs w:val="24"/>
              </w:rPr>
              <w:t>7</w:t>
            </w:r>
            <w:r w:rsidR="003C742C" w:rsidRPr="003C742C">
              <w:rPr>
                <w:rFonts w:cs="Times New Roman"/>
                <w:i/>
                <w:szCs w:val="24"/>
              </w:rPr>
              <w:t> 108 697</w:t>
            </w:r>
            <w:r w:rsidRPr="003C742C">
              <w:rPr>
                <w:rFonts w:cs="Times New Roman"/>
                <w:i/>
                <w:szCs w:val="24"/>
              </w:rPr>
              <w:t xml:space="preserve"> tis. Kč</w:t>
            </w:r>
          </w:p>
        </w:tc>
      </w:tr>
    </w:tbl>
    <w:p w14:paraId="25D309BB" w14:textId="77777777" w:rsidR="002A56F4" w:rsidRPr="003C742C" w:rsidRDefault="002A56F4" w:rsidP="002A56F4">
      <w:pPr>
        <w:pStyle w:val="Nadpis9"/>
      </w:pPr>
      <w:r w:rsidRPr="003C742C">
        <w:t>Ostatní výdaje spojené s dopravní politikou státu</w:t>
      </w:r>
    </w:p>
    <w:p w14:paraId="2C291929" w14:textId="04687C04" w:rsidR="002A56F4" w:rsidRPr="003C742C" w:rsidRDefault="002A56F4" w:rsidP="002A56F4">
      <w:pPr>
        <w:pStyle w:val="Styl1"/>
        <w:numPr>
          <w:ilvl w:val="0"/>
          <w:numId w:val="23"/>
        </w:numPr>
        <w:spacing w:before="180" w:after="180"/>
        <w:ind w:left="568" w:hanging="284"/>
      </w:pPr>
      <w:r w:rsidRPr="003C742C">
        <w:t>financované z prostředků státního rozpočtu (9</w:t>
      </w:r>
      <w:r w:rsidR="003C742C" w:rsidRPr="003C742C">
        <w:t> 133 564</w:t>
      </w:r>
      <w:r w:rsidRPr="003C742C">
        <w:t xml:space="preserve">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5D5953" w:rsidRPr="00D070B8" w14:paraId="6FB31409"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14:paraId="3FB705A6" w14:textId="36E5D6DC" w:rsidR="005D5953" w:rsidRPr="00D070B8" w:rsidRDefault="005D5953" w:rsidP="005D5953">
            <w:pPr>
              <w:rPr>
                <w:rFonts w:cs="Times New Roman"/>
                <w:szCs w:val="24"/>
                <w:highlight w:val="yellow"/>
              </w:rPr>
            </w:pPr>
            <w:r w:rsidRPr="00DD4F52">
              <w:rPr>
                <w:rFonts w:cs="Times New Roman"/>
                <w:szCs w:val="24"/>
              </w:rPr>
              <w:t xml:space="preserve">Další výdaje spojené s dopravní politikou státu </w:t>
            </w:r>
            <w:r w:rsidRPr="00DD4F52">
              <w:rPr>
                <w:rFonts w:cs="Times New Roman"/>
                <w:b w:val="0"/>
              </w:rPr>
              <w:t>(v tom:)</w:t>
            </w:r>
          </w:p>
        </w:tc>
        <w:tc>
          <w:tcPr>
            <w:tcW w:w="2193" w:type="dxa"/>
            <w:tcBorders>
              <w:bottom w:val="single" w:sz="8" w:space="0" w:color="7F7F7F" w:themeColor="text1" w:themeTint="80"/>
            </w:tcBorders>
            <w:shd w:val="clear" w:color="auto" w:fill="auto"/>
          </w:tcPr>
          <w:p w14:paraId="6B607D48" w14:textId="395993C2" w:rsidR="005D5953" w:rsidRPr="00D070B8" w:rsidRDefault="005D5953" w:rsidP="005D5953">
            <w:pPr>
              <w:jc w:val="right"/>
              <w:cnfStyle w:val="100000000000" w:firstRow="1" w:lastRow="0" w:firstColumn="0" w:lastColumn="0" w:oddVBand="0" w:evenVBand="0" w:oddHBand="0" w:evenHBand="0" w:firstRowFirstColumn="0" w:firstRowLastColumn="0" w:lastRowFirstColumn="0" w:lastRowLastColumn="0"/>
              <w:rPr>
                <w:rFonts w:cs="Times New Roman"/>
                <w:szCs w:val="24"/>
                <w:highlight w:val="yellow"/>
              </w:rPr>
            </w:pPr>
            <w:r w:rsidRPr="00DD4F52">
              <w:rPr>
                <w:rFonts w:cs="Times New Roman"/>
                <w:szCs w:val="24"/>
              </w:rPr>
              <w:t>7 926 433 tis. Kč</w:t>
            </w:r>
          </w:p>
        </w:tc>
      </w:tr>
      <w:tr w:rsidR="005D5953" w:rsidRPr="00D070B8" w14:paraId="354F7167"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4414983A" w14:textId="05237F89" w:rsidR="005D5953" w:rsidRPr="00D070B8" w:rsidRDefault="005D5953" w:rsidP="005D5953">
            <w:pPr>
              <w:rPr>
                <w:rFonts w:cs="Times New Roman"/>
                <w:b w:val="0"/>
                <w:szCs w:val="24"/>
                <w:highlight w:val="yellow"/>
              </w:rPr>
            </w:pPr>
            <w:r w:rsidRPr="00433DA6">
              <w:rPr>
                <w:rFonts w:cs="Times New Roman"/>
                <w:b w:val="0"/>
                <w:szCs w:val="24"/>
              </w:rPr>
              <w:t>Výdaje organizačních složek státu (mimo ústřední orgán MD a trans. do zahr.)</w:t>
            </w:r>
          </w:p>
        </w:tc>
        <w:tc>
          <w:tcPr>
            <w:tcW w:w="2193" w:type="dxa"/>
            <w:tcBorders>
              <w:top w:val="single" w:sz="8" w:space="0" w:color="7F7F7F" w:themeColor="text1" w:themeTint="80"/>
              <w:bottom w:val="nil"/>
            </w:tcBorders>
            <w:shd w:val="clear" w:color="auto" w:fill="auto"/>
            <w:vAlign w:val="center"/>
          </w:tcPr>
          <w:p w14:paraId="6520C5C1" w14:textId="65F94C9F"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szCs w:val="24"/>
                <w:highlight w:val="yellow"/>
              </w:rPr>
            </w:pPr>
            <w:r w:rsidRPr="00433DA6">
              <w:rPr>
                <w:rFonts w:cs="Times New Roman"/>
                <w:szCs w:val="24"/>
              </w:rPr>
              <w:t xml:space="preserve">612 250 tis. Kč </w:t>
            </w:r>
          </w:p>
        </w:tc>
      </w:tr>
      <w:tr w:rsidR="005D5953" w:rsidRPr="00D070B8" w14:paraId="03FF25F2"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43BE52A9" w14:textId="3F80F6A1" w:rsidR="005D5953" w:rsidRPr="00E2626B" w:rsidRDefault="005D5953" w:rsidP="005D5953">
            <w:pPr>
              <w:rPr>
                <w:rFonts w:cs="Times New Roman"/>
                <w:b w:val="0"/>
                <w:i/>
                <w:szCs w:val="24"/>
              </w:rPr>
            </w:pPr>
            <w:r w:rsidRPr="00E2626B">
              <w:rPr>
                <w:rFonts w:cs="Times New Roman"/>
                <w:b w:val="0"/>
                <w:i/>
                <w:szCs w:val="24"/>
              </w:rPr>
              <w:t>z toho: 127 07 Rozvoj a obnova mat. tech. základny syst. říz. MD-OSS</w:t>
            </w:r>
          </w:p>
        </w:tc>
        <w:tc>
          <w:tcPr>
            <w:tcW w:w="2193" w:type="dxa"/>
            <w:tcBorders>
              <w:top w:val="nil"/>
              <w:bottom w:val="single" w:sz="8" w:space="0" w:color="7F7F7F" w:themeColor="text1" w:themeTint="80"/>
            </w:tcBorders>
            <w:shd w:val="clear" w:color="auto" w:fill="auto"/>
          </w:tcPr>
          <w:p w14:paraId="7775F9DA" w14:textId="777208C2" w:rsidR="005D5953" w:rsidRPr="00E2626B" w:rsidRDefault="00E2626B"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E2626B">
              <w:rPr>
                <w:rFonts w:cs="Times New Roman"/>
                <w:i/>
                <w:szCs w:val="24"/>
              </w:rPr>
              <w:t>34 250</w:t>
            </w:r>
            <w:r w:rsidR="005D5953" w:rsidRPr="00E2626B">
              <w:rPr>
                <w:rFonts w:cs="Times New Roman"/>
                <w:i/>
                <w:szCs w:val="24"/>
              </w:rPr>
              <w:t xml:space="preserve"> tis. Kč</w:t>
            </w:r>
          </w:p>
        </w:tc>
      </w:tr>
      <w:tr w:rsidR="005D5953" w:rsidRPr="00D070B8" w14:paraId="6BF8F4D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61255167" w14:textId="362740F7" w:rsidR="005D5953" w:rsidRPr="00347805" w:rsidRDefault="005D5953" w:rsidP="005D5953">
            <w:pPr>
              <w:ind w:left="731"/>
              <w:rPr>
                <w:rFonts w:cs="Times New Roman"/>
                <w:b w:val="0"/>
                <w:bCs w:val="0"/>
                <w:i/>
                <w:szCs w:val="24"/>
              </w:rPr>
            </w:pPr>
            <w:r w:rsidRPr="00347805">
              <w:rPr>
                <w:rFonts w:cs="Times New Roman"/>
                <w:b w:val="0"/>
                <w:bCs w:val="0"/>
                <w:i/>
                <w:szCs w:val="24"/>
              </w:rPr>
              <w:t>SPS – komunitární programy 2021+</w:t>
            </w:r>
          </w:p>
        </w:tc>
        <w:tc>
          <w:tcPr>
            <w:tcW w:w="2193" w:type="dxa"/>
            <w:tcBorders>
              <w:top w:val="nil"/>
              <w:bottom w:val="single" w:sz="8" w:space="0" w:color="7F7F7F" w:themeColor="text1" w:themeTint="80"/>
            </w:tcBorders>
            <w:shd w:val="clear" w:color="auto" w:fill="auto"/>
          </w:tcPr>
          <w:p w14:paraId="6FB0C816" w14:textId="210B4821" w:rsidR="005D5953" w:rsidRPr="00347805"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47805">
              <w:rPr>
                <w:rFonts w:cs="Times New Roman"/>
                <w:i/>
                <w:szCs w:val="24"/>
              </w:rPr>
              <w:t>528 tis. Kč</w:t>
            </w:r>
          </w:p>
        </w:tc>
      </w:tr>
      <w:tr w:rsidR="005D5953" w:rsidRPr="00D070B8" w14:paraId="19E0267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6E5F713B" w14:textId="0EC3CBFD" w:rsidR="005D5953" w:rsidRPr="00D070B8" w:rsidRDefault="005D5953" w:rsidP="005D5953">
            <w:pPr>
              <w:rPr>
                <w:rFonts w:cs="Times New Roman"/>
                <w:b w:val="0"/>
                <w:szCs w:val="24"/>
                <w:highlight w:val="yellow"/>
              </w:rPr>
            </w:pPr>
            <w:r w:rsidRPr="005906DF">
              <w:rPr>
                <w:rFonts w:cs="Times New Roman"/>
                <w:b w:val="0"/>
                <w:szCs w:val="24"/>
              </w:rPr>
              <w:t>Výdaje ústředního orgánu MD (bez transferů do zahraničí)</w:t>
            </w:r>
          </w:p>
        </w:tc>
        <w:tc>
          <w:tcPr>
            <w:tcW w:w="2193" w:type="dxa"/>
            <w:tcBorders>
              <w:top w:val="single" w:sz="8" w:space="0" w:color="7F7F7F" w:themeColor="text1" w:themeTint="80"/>
              <w:bottom w:val="nil"/>
            </w:tcBorders>
            <w:shd w:val="clear" w:color="auto" w:fill="auto"/>
          </w:tcPr>
          <w:p w14:paraId="5E87C6BD" w14:textId="1BF57627"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szCs w:val="24"/>
                <w:highlight w:val="yellow"/>
              </w:rPr>
            </w:pPr>
            <w:r w:rsidRPr="005906DF">
              <w:rPr>
                <w:rFonts w:cs="Times New Roman"/>
                <w:szCs w:val="24"/>
              </w:rPr>
              <w:t>6 955 317 tis. Kč</w:t>
            </w:r>
          </w:p>
        </w:tc>
      </w:tr>
      <w:tr w:rsidR="005D5953" w:rsidRPr="00D070B8" w14:paraId="4B4BED9A"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14:paraId="6A35CFC3" w14:textId="77777777" w:rsidR="005D5953" w:rsidRPr="00352F28" w:rsidRDefault="005D5953" w:rsidP="005D5953">
            <w:pPr>
              <w:rPr>
                <w:rFonts w:cs="Times New Roman"/>
                <w:b w:val="0"/>
                <w:i/>
                <w:szCs w:val="24"/>
              </w:rPr>
            </w:pPr>
            <w:r w:rsidRPr="00352F28">
              <w:rPr>
                <w:rFonts w:cs="Times New Roman"/>
                <w:b w:val="0"/>
                <w:i/>
                <w:szCs w:val="24"/>
              </w:rPr>
              <w:t>z toho: 127 03 Rozvoj a obnova mat. tech. základny syst. říz. MD-OSS</w:t>
            </w:r>
          </w:p>
          <w:p w14:paraId="2D7060A8" w14:textId="77777777" w:rsidR="005D5953" w:rsidRPr="00352F28" w:rsidRDefault="005D5953" w:rsidP="005D5953">
            <w:pPr>
              <w:rPr>
                <w:rFonts w:cs="Times New Roman"/>
                <w:b w:val="0"/>
                <w:i/>
                <w:szCs w:val="24"/>
              </w:rPr>
            </w:pPr>
            <w:r w:rsidRPr="00352F28">
              <w:rPr>
                <w:rFonts w:cs="Times New Roman"/>
                <w:b w:val="0"/>
                <w:i/>
                <w:szCs w:val="24"/>
              </w:rPr>
              <w:t xml:space="preserve">            127 07 Rozvoj a obnova mat. tech. základny syst. říz. MD-OSS</w:t>
            </w:r>
          </w:p>
          <w:p w14:paraId="5373E08B" w14:textId="4B38C753" w:rsidR="005D5953" w:rsidRPr="00352F28" w:rsidRDefault="005D5953" w:rsidP="005D5953">
            <w:pPr>
              <w:rPr>
                <w:rFonts w:cs="Times New Roman"/>
                <w:b w:val="0"/>
                <w:i/>
                <w:szCs w:val="24"/>
              </w:rPr>
            </w:pPr>
            <w:r w:rsidRPr="00352F28">
              <w:rPr>
                <w:rFonts w:cs="Times New Roman"/>
                <w:b w:val="0"/>
                <w:i/>
                <w:szCs w:val="24"/>
              </w:rPr>
              <w:t xml:space="preserve">            kompenzace slev jízdného  </w:t>
            </w:r>
          </w:p>
        </w:tc>
        <w:tc>
          <w:tcPr>
            <w:tcW w:w="2193" w:type="dxa"/>
            <w:tcBorders>
              <w:top w:val="nil"/>
              <w:left w:val="single" w:sz="4" w:space="0" w:color="7F7F7F" w:themeColor="text1" w:themeTint="80"/>
              <w:bottom w:val="nil"/>
            </w:tcBorders>
            <w:shd w:val="clear" w:color="auto" w:fill="auto"/>
          </w:tcPr>
          <w:p w14:paraId="298950FF" w14:textId="64ECDDA5" w:rsidR="005D5953" w:rsidRPr="00352F28" w:rsidRDefault="00352F28"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52F28">
              <w:rPr>
                <w:rFonts w:cs="Times New Roman"/>
                <w:i/>
                <w:szCs w:val="24"/>
              </w:rPr>
              <w:t>57 066</w:t>
            </w:r>
            <w:r w:rsidR="005D5953" w:rsidRPr="00352F28">
              <w:rPr>
                <w:rFonts w:cs="Times New Roman"/>
                <w:i/>
                <w:szCs w:val="24"/>
              </w:rPr>
              <w:t xml:space="preserve"> tis. Kč</w:t>
            </w:r>
          </w:p>
          <w:p w14:paraId="13F51098" w14:textId="267B590A" w:rsidR="005D5953" w:rsidRPr="00352F28" w:rsidRDefault="00352F28"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52F28">
              <w:rPr>
                <w:rFonts w:cs="Times New Roman"/>
                <w:i/>
                <w:szCs w:val="24"/>
              </w:rPr>
              <w:t>180 868</w:t>
            </w:r>
            <w:r w:rsidR="005D5953" w:rsidRPr="00352F28">
              <w:rPr>
                <w:rFonts w:cs="Times New Roman"/>
                <w:i/>
                <w:szCs w:val="24"/>
              </w:rPr>
              <w:t xml:space="preserve"> tis. Kč</w:t>
            </w:r>
          </w:p>
          <w:p w14:paraId="79B5B775" w14:textId="3B8A5569" w:rsidR="005D5953" w:rsidRPr="00352F2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52F28">
              <w:rPr>
                <w:rFonts w:cs="Times New Roman"/>
                <w:i/>
                <w:szCs w:val="24"/>
              </w:rPr>
              <w:t xml:space="preserve">5 550 000 tis. Kč </w:t>
            </w:r>
          </w:p>
        </w:tc>
      </w:tr>
      <w:tr w:rsidR="005D5953" w:rsidRPr="00D070B8" w14:paraId="5C3ACF97"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14:paraId="7CB1C2FE" w14:textId="77777777" w:rsidR="005D5953" w:rsidRPr="00D070B8" w:rsidRDefault="005D5953" w:rsidP="005D5953">
            <w:pPr>
              <w:rPr>
                <w:rFonts w:cs="Times New Roman"/>
                <w:b w:val="0"/>
                <w:i/>
                <w:szCs w:val="24"/>
                <w:highlight w:val="yellow"/>
              </w:rPr>
            </w:pPr>
            <w:r w:rsidRPr="00CA26B5">
              <w:rPr>
                <w:rFonts w:cs="Times New Roman"/>
                <w:b w:val="0"/>
                <w:i/>
                <w:szCs w:val="24"/>
              </w:rPr>
              <w:t xml:space="preserve">            dopravně správní agendy</w:t>
            </w:r>
          </w:p>
          <w:p w14:paraId="4A928E12" w14:textId="77777777" w:rsidR="005D5953" w:rsidRPr="00B21EF3" w:rsidRDefault="005D5953" w:rsidP="005D5953">
            <w:pPr>
              <w:rPr>
                <w:rFonts w:cs="Times New Roman"/>
                <w:b w:val="0"/>
                <w:i/>
                <w:szCs w:val="24"/>
              </w:rPr>
            </w:pPr>
            <w:r w:rsidRPr="00B21EF3">
              <w:rPr>
                <w:rFonts w:cs="Times New Roman"/>
                <w:b w:val="0"/>
                <w:i/>
                <w:szCs w:val="24"/>
              </w:rPr>
              <w:t xml:space="preserve">            Program Doprava 2021+</w:t>
            </w:r>
          </w:p>
          <w:p w14:paraId="54A8FA9D" w14:textId="736135DB" w:rsidR="005D5953" w:rsidRPr="00D070B8" w:rsidRDefault="005D5953" w:rsidP="005D5953">
            <w:pPr>
              <w:rPr>
                <w:rFonts w:cs="Times New Roman"/>
                <w:b w:val="0"/>
                <w:i/>
                <w:szCs w:val="24"/>
                <w:highlight w:val="yellow"/>
              </w:rPr>
            </w:pPr>
            <w:r w:rsidRPr="00C83BC9">
              <w:rPr>
                <w:rFonts w:cs="Times New Roman"/>
                <w:b w:val="0"/>
                <w:i/>
                <w:szCs w:val="24"/>
              </w:rPr>
              <w:t xml:space="preserve">            Komunitární programy 2021+</w:t>
            </w:r>
            <w:r w:rsidRPr="00D070B8">
              <w:rPr>
                <w:rFonts w:cs="Times New Roman"/>
                <w:b w:val="0"/>
                <w:i/>
                <w:szCs w:val="24"/>
                <w:highlight w:val="yellow"/>
              </w:rPr>
              <w:t xml:space="preserve">         </w:t>
            </w:r>
          </w:p>
        </w:tc>
        <w:tc>
          <w:tcPr>
            <w:tcW w:w="2193" w:type="dxa"/>
            <w:tcBorders>
              <w:top w:val="nil"/>
              <w:left w:val="single" w:sz="4" w:space="0" w:color="7F7F7F" w:themeColor="text1" w:themeTint="80"/>
              <w:bottom w:val="nil"/>
            </w:tcBorders>
            <w:shd w:val="clear" w:color="auto" w:fill="auto"/>
          </w:tcPr>
          <w:p w14:paraId="2E5CB3C2" w14:textId="77777777" w:rsidR="005D5953" w:rsidRPr="00CA26B5"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CA26B5">
              <w:rPr>
                <w:rFonts w:cs="Times New Roman"/>
                <w:i/>
                <w:szCs w:val="24"/>
              </w:rPr>
              <w:t>246 100 tis. Kč</w:t>
            </w:r>
          </w:p>
          <w:p w14:paraId="3568E408" w14:textId="77777777" w:rsidR="005D5953" w:rsidRPr="00B21EF3"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B21EF3">
              <w:rPr>
                <w:rFonts w:cs="Times New Roman"/>
                <w:i/>
                <w:szCs w:val="24"/>
              </w:rPr>
              <w:t>12 622 tis. Kč</w:t>
            </w:r>
          </w:p>
          <w:p w14:paraId="0DDFC2A4" w14:textId="1400D67C"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highlight w:val="yellow"/>
              </w:rPr>
            </w:pPr>
            <w:r w:rsidRPr="00C83BC9">
              <w:rPr>
                <w:rFonts w:cs="Times New Roman"/>
                <w:i/>
                <w:szCs w:val="24"/>
              </w:rPr>
              <w:t>2 925 tis. Kč</w:t>
            </w:r>
          </w:p>
        </w:tc>
      </w:tr>
      <w:tr w:rsidR="005D5953" w:rsidRPr="00D070B8" w14:paraId="5084B836"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573AAEAB" w14:textId="16445AD2" w:rsidR="005D5953" w:rsidRPr="00D070B8" w:rsidRDefault="005D5953" w:rsidP="005D5953">
            <w:pPr>
              <w:rPr>
                <w:rFonts w:cs="Times New Roman"/>
                <w:b w:val="0"/>
                <w:szCs w:val="24"/>
                <w:highlight w:val="yellow"/>
              </w:rPr>
            </w:pPr>
            <w:r w:rsidRPr="007F5F2D">
              <w:rPr>
                <w:rFonts w:cs="Times New Roman"/>
                <w:b w:val="0"/>
                <w:szCs w:val="24"/>
              </w:rPr>
              <w:t>Transfery zřízeným příspěvkovým organizacím</w:t>
            </w:r>
          </w:p>
        </w:tc>
        <w:tc>
          <w:tcPr>
            <w:tcW w:w="2193" w:type="dxa"/>
            <w:tcBorders>
              <w:top w:val="single" w:sz="8" w:space="0" w:color="7F7F7F" w:themeColor="text1" w:themeTint="80"/>
              <w:bottom w:val="nil"/>
            </w:tcBorders>
            <w:shd w:val="clear" w:color="auto" w:fill="auto"/>
          </w:tcPr>
          <w:p w14:paraId="014BB5A9" w14:textId="22C56215"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szCs w:val="24"/>
                <w:highlight w:val="yellow"/>
              </w:rPr>
            </w:pPr>
            <w:r w:rsidRPr="007F5F2D">
              <w:rPr>
                <w:rFonts w:cs="Times New Roman"/>
                <w:szCs w:val="24"/>
              </w:rPr>
              <w:t>81 412 tis. Kč</w:t>
            </w:r>
          </w:p>
        </w:tc>
      </w:tr>
      <w:tr w:rsidR="005D5953" w:rsidRPr="00D070B8" w14:paraId="2622ACCB"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0E9BC2B8" w14:textId="6FA455BC" w:rsidR="005D5953" w:rsidRPr="00D070B8" w:rsidRDefault="005D5953" w:rsidP="005D5953">
            <w:pPr>
              <w:rPr>
                <w:rFonts w:cs="Times New Roman"/>
                <w:b w:val="0"/>
                <w:i/>
                <w:szCs w:val="24"/>
                <w:highlight w:val="yellow"/>
              </w:rPr>
            </w:pPr>
            <w:r w:rsidRPr="007F5F2D">
              <w:rPr>
                <w:rFonts w:cs="Times New Roman"/>
                <w:b w:val="0"/>
                <w:i/>
                <w:szCs w:val="24"/>
              </w:rPr>
              <w:t>z toho: 127 08 Rozvoj a obnova mat. tech. zákl. syst. říz. MD-PO</w:t>
            </w:r>
          </w:p>
        </w:tc>
        <w:tc>
          <w:tcPr>
            <w:tcW w:w="2193" w:type="dxa"/>
            <w:tcBorders>
              <w:top w:val="nil"/>
              <w:bottom w:val="single" w:sz="8" w:space="0" w:color="7F7F7F" w:themeColor="text1" w:themeTint="80"/>
            </w:tcBorders>
            <w:shd w:val="clear" w:color="auto" w:fill="auto"/>
          </w:tcPr>
          <w:p w14:paraId="0889B648" w14:textId="79E94A51"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highlight w:val="yellow"/>
              </w:rPr>
            </w:pPr>
            <w:r w:rsidRPr="007F5F2D">
              <w:rPr>
                <w:rFonts w:cs="Times New Roman"/>
                <w:i/>
                <w:szCs w:val="24"/>
              </w:rPr>
              <w:t>10 205 tis. Kč</w:t>
            </w:r>
          </w:p>
        </w:tc>
      </w:tr>
      <w:tr w:rsidR="005D5953" w:rsidRPr="00D070B8" w14:paraId="4346DB8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54888E60" w14:textId="77777777" w:rsidR="005D5953" w:rsidRPr="001D3F59" w:rsidRDefault="005D5953" w:rsidP="005D5953">
            <w:pPr>
              <w:rPr>
                <w:rFonts w:cs="Times New Roman"/>
                <w:b w:val="0"/>
                <w:szCs w:val="24"/>
              </w:rPr>
            </w:pPr>
            <w:r w:rsidRPr="001D3F59">
              <w:rPr>
                <w:rFonts w:cs="Times New Roman"/>
                <w:b w:val="0"/>
                <w:szCs w:val="24"/>
              </w:rPr>
              <w:t>Transfery veřejným výzkumným institucím</w:t>
            </w:r>
          </w:p>
          <w:p w14:paraId="40C21208" w14:textId="15CAD770" w:rsidR="005D5953" w:rsidRPr="00D070B8" w:rsidRDefault="005D5953" w:rsidP="005D5953">
            <w:pPr>
              <w:rPr>
                <w:rFonts w:cs="Times New Roman"/>
                <w:b w:val="0"/>
                <w:i/>
                <w:szCs w:val="24"/>
                <w:highlight w:val="yellow"/>
              </w:rPr>
            </w:pPr>
            <w:r w:rsidRPr="001D3F59">
              <w:rPr>
                <w:rFonts w:cs="Times New Roman"/>
                <w:b w:val="0"/>
                <w:i/>
                <w:szCs w:val="24"/>
              </w:rPr>
              <w:t>v tom: ZED/Komunitární programy 2021+</w:t>
            </w:r>
          </w:p>
        </w:tc>
        <w:tc>
          <w:tcPr>
            <w:tcW w:w="2193" w:type="dxa"/>
            <w:tcBorders>
              <w:top w:val="single" w:sz="8" w:space="0" w:color="7F7F7F" w:themeColor="text1" w:themeTint="80"/>
              <w:bottom w:val="single" w:sz="8" w:space="0" w:color="7F7F7F" w:themeColor="text1" w:themeTint="80"/>
            </w:tcBorders>
            <w:shd w:val="clear" w:color="auto" w:fill="auto"/>
          </w:tcPr>
          <w:p w14:paraId="1C8228AC" w14:textId="77777777" w:rsidR="005D5953" w:rsidRPr="001D3F59"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1D3F59">
              <w:rPr>
                <w:rFonts w:cs="Times New Roman"/>
                <w:szCs w:val="24"/>
              </w:rPr>
              <w:t>136 412 tis. Kč</w:t>
            </w:r>
          </w:p>
          <w:p w14:paraId="12543375" w14:textId="485F0DF3"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highlight w:val="yellow"/>
              </w:rPr>
            </w:pPr>
            <w:r w:rsidRPr="001D3F59">
              <w:rPr>
                <w:rFonts w:cs="Times New Roman"/>
                <w:i/>
                <w:szCs w:val="24"/>
              </w:rPr>
              <w:t>136 412 tis. Kč</w:t>
            </w:r>
          </w:p>
        </w:tc>
      </w:tr>
      <w:tr w:rsidR="005D5953" w:rsidRPr="00D070B8" w14:paraId="0B8F8ECE"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7D6BE386" w14:textId="77777777" w:rsidR="005D5953" w:rsidRPr="003C742C" w:rsidRDefault="005D5953" w:rsidP="005D5953">
            <w:pPr>
              <w:rPr>
                <w:rFonts w:cs="Times New Roman"/>
                <w:b w:val="0"/>
                <w:szCs w:val="24"/>
              </w:rPr>
            </w:pPr>
            <w:r w:rsidRPr="003C742C">
              <w:rPr>
                <w:rFonts w:cs="Times New Roman"/>
                <w:b w:val="0"/>
                <w:szCs w:val="24"/>
              </w:rPr>
              <w:t>Neinvestiční transfery spolkům</w:t>
            </w:r>
          </w:p>
          <w:p w14:paraId="117F2FC7" w14:textId="2F0495DA" w:rsidR="005D5953" w:rsidRPr="003C742C" w:rsidRDefault="005D5953" w:rsidP="005D5953">
            <w:pPr>
              <w:rPr>
                <w:rFonts w:cs="Times New Roman"/>
                <w:b w:val="0"/>
                <w:i/>
                <w:szCs w:val="24"/>
              </w:rPr>
            </w:pPr>
            <w:r w:rsidRPr="003C742C">
              <w:rPr>
                <w:rFonts w:cs="Times New Roman"/>
                <w:b w:val="0"/>
                <w:i/>
                <w:szCs w:val="24"/>
              </w:rPr>
              <w:t>v tom: ZED</w:t>
            </w:r>
          </w:p>
        </w:tc>
        <w:tc>
          <w:tcPr>
            <w:tcW w:w="2193" w:type="dxa"/>
            <w:tcBorders>
              <w:top w:val="single" w:sz="8" w:space="0" w:color="7F7F7F" w:themeColor="text1" w:themeTint="80"/>
              <w:bottom w:val="single" w:sz="8" w:space="0" w:color="7F7F7F" w:themeColor="text1" w:themeTint="80"/>
            </w:tcBorders>
            <w:shd w:val="clear" w:color="auto" w:fill="auto"/>
          </w:tcPr>
          <w:p w14:paraId="2F99EADD" w14:textId="77777777" w:rsidR="005D5953" w:rsidRPr="003C742C"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C742C">
              <w:rPr>
                <w:rFonts w:cs="Times New Roman"/>
                <w:szCs w:val="24"/>
              </w:rPr>
              <w:t>10 340 tis. Kč</w:t>
            </w:r>
          </w:p>
          <w:p w14:paraId="7D178D2A" w14:textId="3ED3E525" w:rsidR="005D5953" w:rsidRPr="003C742C"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C742C">
              <w:rPr>
                <w:rFonts w:cs="Times New Roman"/>
                <w:i/>
                <w:szCs w:val="24"/>
              </w:rPr>
              <w:t>10 340 tis. Kč</w:t>
            </w:r>
          </w:p>
        </w:tc>
      </w:tr>
      <w:tr w:rsidR="005D5953" w:rsidRPr="00D070B8" w14:paraId="1A22A7C8"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1D6622C5" w14:textId="4AC9BE9D" w:rsidR="005D5953" w:rsidRPr="008C0143" w:rsidRDefault="005D5953" w:rsidP="005D5953">
            <w:pPr>
              <w:rPr>
                <w:rFonts w:cs="Times New Roman"/>
                <w:b w:val="0"/>
                <w:i/>
                <w:szCs w:val="24"/>
              </w:rPr>
            </w:pPr>
            <w:r w:rsidRPr="008C0143">
              <w:rPr>
                <w:rFonts w:cs="Times New Roman"/>
                <w:b w:val="0"/>
                <w:szCs w:val="24"/>
              </w:rPr>
              <w:t>Neinvestiční transfery do zahraničí</w:t>
            </w:r>
          </w:p>
        </w:tc>
        <w:tc>
          <w:tcPr>
            <w:tcW w:w="2193" w:type="dxa"/>
            <w:tcBorders>
              <w:top w:val="single" w:sz="8" w:space="0" w:color="7F7F7F" w:themeColor="text1" w:themeTint="80"/>
              <w:bottom w:val="single" w:sz="8" w:space="0" w:color="7F7F7F" w:themeColor="text1" w:themeTint="80"/>
            </w:tcBorders>
            <w:shd w:val="clear" w:color="auto" w:fill="auto"/>
          </w:tcPr>
          <w:p w14:paraId="7250A04D" w14:textId="491AD381" w:rsidR="005D5953" w:rsidRPr="008C0143"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DE1B01">
              <w:rPr>
                <w:rFonts w:cs="Times New Roman"/>
                <w:szCs w:val="24"/>
              </w:rPr>
              <w:t>16 466 tis. Kč</w:t>
            </w:r>
          </w:p>
        </w:tc>
      </w:tr>
      <w:tr w:rsidR="005D5953" w:rsidRPr="00D070B8" w14:paraId="51A119E1"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3E8B563C" w14:textId="5DAE4A1F" w:rsidR="005D5953" w:rsidRPr="00D070B8" w:rsidRDefault="005D5953" w:rsidP="005D5953">
            <w:pPr>
              <w:rPr>
                <w:rFonts w:cs="Times New Roman"/>
                <w:b w:val="0"/>
                <w:szCs w:val="24"/>
                <w:highlight w:val="yellow"/>
              </w:rPr>
            </w:pPr>
            <w:r w:rsidRPr="0098361E">
              <w:rPr>
                <w:rFonts w:cs="Times New Roman"/>
                <w:b w:val="0"/>
                <w:szCs w:val="24"/>
              </w:rPr>
              <w:t xml:space="preserve">Neinvestiční transfery podnikatelům </w:t>
            </w:r>
          </w:p>
        </w:tc>
        <w:tc>
          <w:tcPr>
            <w:tcW w:w="2193" w:type="dxa"/>
            <w:tcBorders>
              <w:top w:val="single" w:sz="8" w:space="0" w:color="7F7F7F" w:themeColor="text1" w:themeTint="80"/>
              <w:bottom w:val="nil"/>
            </w:tcBorders>
            <w:shd w:val="clear" w:color="auto" w:fill="auto"/>
          </w:tcPr>
          <w:p w14:paraId="02780694" w14:textId="7BEABB27"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szCs w:val="24"/>
                <w:highlight w:val="yellow"/>
              </w:rPr>
            </w:pPr>
            <w:r w:rsidRPr="0098361E">
              <w:rPr>
                <w:rFonts w:cs="Times New Roman"/>
                <w:szCs w:val="24"/>
              </w:rPr>
              <w:t>114 237 tis. Kč</w:t>
            </w:r>
          </w:p>
        </w:tc>
      </w:tr>
      <w:tr w:rsidR="005D5953" w:rsidRPr="00D070B8" w14:paraId="121BECE7"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2C6ABCD6" w14:textId="5AD7FF52" w:rsidR="005D5953" w:rsidRPr="00D070B8" w:rsidRDefault="005D5953" w:rsidP="005D5953">
            <w:pPr>
              <w:rPr>
                <w:rFonts w:cs="Times New Roman"/>
                <w:b w:val="0"/>
                <w:i/>
                <w:szCs w:val="24"/>
                <w:highlight w:val="yellow"/>
              </w:rPr>
            </w:pPr>
            <w:r w:rsidRPr="0098361E">
              <w:rPr>
                <w:rFonts w:cs="Times New Roman"/>
                <w:b w:val="0"/>
                <w:i/>
                <w:szCs w:val="24"/>
              </w:rPr>
              <w:t>v tom: ZED</w:t>
            </w:r>
          </w:p>
        </w:tc>
        <w:tc>
          <w:tcPr>
            <w:tcW w:w="2193" w:type="dxa"/>
            <w:tcBorders>
              <w:top w:val="nil"/>
              <w:bottom w:val="single" w:sz="8" w:space="0" w:color="7F7F7F" w:themeColor="text1" w:themeTint="80"/>
            </w:tcBorders>
            <w:shd w:val="clear" w:color="auto" w:fill="auto"/>
          </w:tcPr>
          <w:p w14:paraId="15DB1E09" w14:textId="3989A937" w:rsidR="005D5953" w:rsidRPr="00D070B8"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highlight w:val="yellow"/>
              </w:rPr>
            </w:pPr>
            <w:r w:rsidRPr="0098361E">
              <w:rPr>
                <w:rFonts w:cs="Times New Roman"/>
                <w:i/>
                <w:szCs w:val="24"/>
              </w:rPr>
              <w:t>114 237 tis. Kč</w:t>
            </w:r>
          </w:p>
        </w:tc>
      </w:tr>
      <w:tr w:rsidR="005D5953" w:rsidRPr="00347805" w14:paraId="0C8AC185"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545C2525" w14:textId="7645F68C" w:rsidR="005D5953" w:rsidRPr="00347805" w:rsidRDefault="005D5953" w:rsidP="005D5953">
            <w:pPr>
              <w:rPr>
                <w:rFonts w:cs="Times New Roman"/>
                <w:szCs w:val="24"/>
              </w:rPr>
            </w:pPr>
            <w:r w:rsidRPr="00347805">
              <w:rPr>
                <w:rFonts w:cs="Times New Roman"/>
                <w:szCs w:val="24"/>
              </w:rPr>
              <w:t xml:space="preserve">Výdaje spojené s kosmickými aktivitami </w:t>
            </w:r>
            <w:r w:rsidRPr="00347805">
              <w:rPr>
                <w:rFonts w:cs="Times New Roman"/>
                <w:b w:val="0"/>
                <w:szCs w:val="24"/>
              </w:rPr>
              <w:t>(v tom:)</w:t>
            </w:r>
          </w:p>
        </w:tc>
        <w:tc>
          <w:tcPr>
            <w:tcW w:w="2193" w:type="dxa"/>
            <w:tcBorders>
              <w:top w:val="single" w:sz="8" w:space="0" w:color="7F7F7F" w:themeColor="text1" w:themeTint="80"/>
              <w:bottom w:val="single" w:sz="8" w:space="0" w:color="7F7F7F" w:themeColor="text1" w:themeTint="80"/>
            </w:tcBorders>
            <w:shd w:val="clear" w:color="auto" w:fill="auto"/>
          </w:tcPr>
          <w:p w14:paraId="6E09E45D" w14:textId="0F91886D" w:rsidR="005D5953" w:rsidRPr="00347805"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347805">
              <w:rPr>
                <w:rFonts w:cs="Times New Roman"/>
                <w:b/>
                <w:szCs w:val="24"/>
              </w:rPr>
              <w:t>1 207 130 tis. Kč</w:t>
            </w:r>
          </w:p>
        </w:tc>
      </w:tr>
      <w:tr w:rsidR="005D5953" w:rsidRPr="00D070B8" w14:paraId="533E34A1"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422EB700" w14:textId="6516C929" w:rsidR="005D5953" w:rsidRPr="00347805" w:rsidRDefault="005D5953" w:rsidP="005D5953">
            <w:pPr>
              <w:rPr>
                <w:rFonts w:cs="Times New Roman"/>
                <w:b w:val="0"/>
                <w:i/>
                <w:szCs w:val="24"/>
              </w:rPr>
            </w:pPr>
            <w:r w:rsidRPr="00347805">
              <w:rPr>
                <w:rFonts w:cs="Times New Roman"/>
                <w:b w:val="0"/>
                <w:szCs w:val="24"/>
              </w:rPr>
              <w:t>Výdaje ústředního orgánu MD</w:t>
            </w:r>
          </w:p>
        </w:tc>
        <w:tc>
          <w:tcPr>
            <w:tcW w:w="2193" w:type="dxa"/>
            <w:tcBorders>
              <w:top w:val="single" w:sz="8" w:space="0" w:color="7F7F7F" w:themeColor="text1" w:themeTint="80"/>
              <w:bottom w:val="single" w:sz="8" w:space="0" w:color="7F7F7F" w:themeColor="text1" w:themeTint="80"/>
            </w:tcBorders>
            <w:shd w:val="clear" w:color="auto" w:fill="auto"/>
          </w:tcPr>
          <w:p w14:paraId="152F50DF" w14:textId="6E7BAD64" w:rsidR="005D5953" w:rsidRPr="00347805"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47805">
              <w:rPr>
                <w:rFonts w:cs="Times New Roman"/>
                <w:szCs w:val="24"/>
              </w:rPr>
              <w:t>2 130 tis. Kč</w:t>
            </w:r>
          </w:p>
        </w:tc>
      </w:tr>
      <w:tr w:rsidR="005D5953" w:rsidRPr="00D070B8" w14:paraId="1EC8390F"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3D340C65" w14:textId="77777777" w:rsidR="005D5953" w:rsidRPr="00347805" w:rsidRDefault="005D5953" w:rsidP="005D5953">
            <w:pPr>
              <w:rPr>
                <w:rFonts w:cs="Times New Roman"/>
                <w:b w:val="0"/>
                <w:bCs w:val="0"/>
                <w:szCs w:val="24"/>
              </w:rPr>
            </w:pPr>
            <w:r w:rsidRPr="00347805">
              <w:rPr>
                <w:rFonts w:cs="Times New Roman"/>
                <w:b w:val="0"/>
                <w:bCs w:val="0"/>
                <w:szCs w:val="24"/>
              </w:rPr>
              <w:t>Neinvestiční transfery do zahraničí</w:t>
            </w:r>
          </w:p>
          <w:p w14:paraId="0CCA410E" w14:textId="10CC4DF8" w:rsidR="005D5953" w:rsidRPr="00347805" w:rsidRDefault="005D5953" w:rsidP="005D5953">
            <w:pPr>
              <w:rPr>
                <w:rFonts w:cs="Times New Roman"/>
                <w:b w:val="0"/>
                <w:bCs w:val="0"/>
                <w:szCs w:val="24"/>
              </w:rPr>
            </w:pPr>
            <w:r w:rsidRPr="00347805">
              <w:rPr>
                <w:rFonts w:cs="Times New Roman"/>
                <w:b w:val="0"/>
                <w:bCs w:val="0"/>
                <w:i/>
                <w:szCs w:val="24"/>
              </w:rPr>
              <w:t>v tom: výdaje na volitelné programy ESA</w:t>
            </w:r>
          </w:p>
        </w:tc>
        <w:tc>
          <w:tcPr>
            <w:tcW w:w="2193" w:type="dxa"/>
            <w:tcBorders>
              <w:top w:val="single" w:sz="8" w:space="0" w:color="7F7F7F" w:themeColor="text1" w:themeTint="80"/>
              <w:bottom w:val="single" w:sz="8" w:space="0" w:color="7F7F7F" w:themeColor="text1" w:themeTint="80"/>
            </w:tcBorders>
            <w:shd w:val="clear" w:color="auto" w:fill="auto"/>
          </w:tcPr>
          <w:p w14:paraId="5C522512" w14:textId="77777777" w:rsidR="005D5953" w:rsidRPr="00347805"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47805">
              <w:rPr>
                <w:rFonts w:cs="Times New Roman"/>
                <w:szCs w:val="24"/>
              </w:rPr>
              <w:t>1 205 000 tis. Kč</w:t>
            </w:r>
          </w:p>
          <w:p w14:paraId="00718A03" w14:textId="566509AA" w:rsidR="005D5953" w:rsidRPr="00347805" w:rsidRDefault="005D5953" w:rsidP="005D595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47805">
              <w:rPr>
                <w:rFonts w:cs="Times New Roman"/>
                <w:i/>
                <w:szCs w:val="24"/>
              </w:rPr>
              <w:t>1 205 000 tis. Kč</w:t>
            </w:r>
          </w:p>
        </w:tc>
      </w:tr>
    </w:tbl>
    <w:p w14:paraId="0241AF20" w14:textId="1B3CCBE3" w:rsidR="002A56F4" w:rsidRPr="007F57E7" w:rsidRDefault="002A56F4" w:rsidP="002A56F4">
      <w:pPr>
        <w:pStyle w:val="Styl1"/>
        <w:numPr>
          <w:ilvl w:val="0"/>
          <w:numId w:val="23"/>
        </w:numPr>
        <w:spacing w:before="180" w:after="120"/>
        <w:ind w:left="568" w:hanging="284"/>
      </w:pPr>
      <w:r w:rsidRPr="007F57E7">
        <w:t>financované z prostředků fondů Evropské unie (</w:t>
      </w:r>
      <w:r w:rsidR="007F57E7" w:rsidRPr="007F57E7">
        <w:t>94 099</w:t>
      </w:r>
      <w:r w:rsidRPr="007F57E7">
        <w:t xml:space="preserve"> tis. Kč)</w:t>
      </w:r>
    </w:p>
    <w:tbl>
      <w:tblPr>
        <w:tblStyle w:val="Svtltabulkasmkou1zvraznn1"/>
        <w:tblW w:w="0" w:type="auto"/>
        <w:tblLook w:val="00A0" w:firstRow="1" w:lastRow="0" w:firstColumn="1" w:lastColumn="0" w:noHBand="0" w:noVBand="0"/>
      </w:tblPr>
      <w:tblGrid>
        <w:gridCol w:w="6857"/>
        <w:gridCol w:w="2193"/>
      </w:tblGrid>
      <w:tr w:rsidR="00495316" w:rsidRPr="00D070B8" w14:paraId="0CD453EB" w14:textId="77777777" w:rsidTr="001E02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2CE7FFDB" w14:textId="77777777" w:rsidR="00495316" w:rsidRPr="007F57E7" w:rsidRDefault="00495316" w:rsidP="00495316">
            <w:pPr>
              <w:rPr>
                <w:rFonts w:cs="Times New Roman"/>
                <w:szCs w:val="24"/>
              </w:rPr>
            </w:pPr>
            <w:r w:rsidRPr="007F57E7">
              <w:rPr>
                <w:rFonts w:cs="Times New Roman"/>
                <w:szCs w:val="24"/>
              </w:rPr>
              <w:t xml:space="preserve">Další výdaje spojené s dopravní politikou státu </w:t>
            </w:r>
            <w:r w:rsidRPr="007F57E7">
              <w:rPr>
                <w:rFonts w:cs="Times New Roman"/>
                <w:b w:val="0"/>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14:paraId="5B4F509C" w14:textId="5A0B376D" w:rsidR="00495316" w:rsidRPr="007F57E7" w:rsidRDefault="00495316" w:rsidP="00495316">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7F57E7">
              <w:rPr>
                <w:rFonts w:cs="Times New Roman"/>
                <w:szCs w:val="24"/>
              </w:rPr>
              <w:t>90 614 tis. Kč</w:t>
            </w:r>
          </w:p>
        </w:tc>
      </w:tr>
      <w:tr w:rsidR="00495316" w:rsidRPr="00D070B8" w14:paraId="54DE6D62" w14:textId="77777777" w:rsidTr="00336639">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4" w:space="0" w:color="auto"/>
              <w:right w:val="single" w:sz="4" w:space="0" w:color="7F7F7F" w:themeColor="text1" w:themeTint="80"/>
            </w:tcBorders>
            <w:shd w:val="clear" w:color="auto" w:fill="auto"/>
          </w:tcPr>
          <w:p w14:paraId="48A41512" w14:textId="77777777" w:rsidR="00495316" w:rsidRPr="008C0143" w:rsidRDefault="00495316" w:rsidP="00495316">
            <w:pPr>
              <w:rPr>
                <w:rFonts w:cs="Times New Roman"/>
                <w:b w:val="0"/>
                <w:szCs w:val="24"/>
              </w:rPr>
            </w:pPr>
            <w:r w:rsidRPr="008C0143">
              <w:rPr>
                <w:rFonts w:cs="Times New Roman"/>
                <w:b w:val="0"/>
                <w:szCs w:val="24"/>
              </w:rPr>
              <w:t>Výdaje ústředního orgánu MD</w:t>
            </w:r>
          </w:p>
          <w:p w14:paraId="59C91DF1" w14:textId="0578C13B" w:rsidR="00495316" w:rsidRPr="008C0143" w:rsidRDefault="00495316" w:rsidP="00495316">
            <w:pPr>
              <w:tabs>
                <w:tab w:val="left" w:pos="2699"/>
              </w:tabs>
              <w:rPr>
                <w:rFonts w:cs="Times New Roman"/>
                <w:b w:val="0"/>
                <w:i/>
                <w:szCs w:val="24"/>
              </w:rPr>
            </w:pPr>
            <w:r w:rsidRPr="008C0143">
              <w:rPr>
                <w:rFonts w:cs="Times New Roman"/>
                <w:b w:val="0"/>
                <w:i/>
                <w:szCs w:val="24"/>
              </w:rPr>
              <w:t>v tom: Program Doprava 2021+</w:t>
            </w:r>
            <w:r w:rsidRPr="008C0143">
              <w:rPr>
                <w:rFonts w:cs="Times New Roman"/>
                <w:b w:val="0"/>
                <w:i/>
                <w:szCs w:val="24"/>
              </w:rPr>
              <w:tab/>
            </w:r>
          </w:p>
          <w:p w14:paraId="5EFF958E" w14:textId="2A3471B6" w:rsidR="00495316" w:rsidRPr="008C0143" w:rsidRDefault="00495316" w:rsidP="00495316">
            <w:pPr>
              <w:tabs>
                <w:tab w:val="left" w:pos="2699"/>
              </w:tabs>
              <w:rPr>
                <w:rFonts w:cs="Times New Roman"/>
                <w:b w:val="0"/>
                <w:i/>
                <w:szCs w:val="24"/>
              </w:rPr>
            </w:pPr>
            <w:r w:rsidRPr="008C0143">
              <w:rPr>
                <w:rFonts w:cs="Times New Roman"/>
                <w:b w:val="0"/>
                <w:i/>
                <w:szCs w:val="24"/>
              </w:rPr>
              <w:t xml:space="preserve">           Komunitární programy 2021+  </w:t>
            </w:r>
          </w:p>
          <w:p w14:paraId="7E0713DF" w14:textId="31743E0B" w:rsidR="00495316" w:rsidRPr="008C0143" w:rsidRDefault="00495316" w:rsidP="00495316">
            <w:pPr>
              <w:tabs>
                <w:tab w:val="left" w:pos="2699"/>
              </w:tabs>
              <w:rPr>
                <w:rFonts w:cs="Times New Roman"/>
                <w:b w:val="0"/>
                <w:szCs w:val="24"/>
              </w:rPr>
            </w:pPr>
            <w:r w:rsidRPr="008C0143">
              <w:rPr>
                <w:rFonts w:cs="Times New Roman"/>
                <w:b w:val="0"/>
                <w:i/>
                <w:szCs w:val="24"/>
              </w:rPr>
              <w:t xml:space="preserve">           Národní plán obnovy</w:t>
            </w:r>
          </w:p>
        </w:tc>
        <w:tc>
          <w:tcPr>
            <w:tcW w:w="2193" w:type="dxa"/>
            <w:tcBorders>
              <w:top w:val="single" w:sz="8" w:space="0" w:color="7F7F7F" w:themeColor="text1" w:themeTint="80"/>
              <w:left w:val="single" w:sz="4" w:space="0" w:color="7F7F7F" w:themeColor="text1" w:themeTint="80"/>
              <w:bottom w:val="single" w:sz="4" w:space="0" w:color="auto"/>
              <w:right w:val="single" w:sz="8" w:space="0" w:color="7F7F7F" w:themeColor="text1" w:themeTint="80"/>
            </w:tcBorders>
            <w:shd w:val="clear" w:color="auto" w:fill="auto"/>
          </w:tcPr>
          <w:p w14:paraId="4DCFF436" w14:textId="77777777" w:rsidR="00495316" w:rsidRPr="008C0143" w:rsidRDefault="00495316" w:rsidP="00495316">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90 086</w:t>
            </w:r>
            <w:r w:rsidRPr="008C0143">
              <w:rPr>
                <w:rFonts w:cs="Times New Roman"/>
                <w:szCs w:val="24"/>
              </w:rPr>
              <w:t xml:space="preserve"> tis. Kč</w:t>
            </w:r>
          </w:p>
          <w:p w14:paraId="3DD89E00" w14:textId="77777777" w:rsidR="00495316" w:rsidRPr="008C0143" w:rsidRDefault="00495316" w:rsidP="00495316">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71 522</w:t>
            </w:r>
            <w:r w:rsidRPr="008C0143">
              <w:rPr>
                <w:rFonts w:cs="Times New Roman"/>
                <w:i/>
                <w:szCs w:val="24"/>
              </w:rPr>
              <w:t xml:space="preserve"> tis. Kč</w:t>
            </w:r>
          </w:p>
          <w:p w14:paraId="3A322C6F" w14:textId="77777777" w:rsidR="00495316" w:rsidRPr="008C0143" w:rsidRDefault="00495316" w:rsidP="00495316">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10 847</w:t>
            </w:r>
            <w:r w:rsidRPr="008C0143">
              <w:rPr>
                <w:rFonts w:cs="Times New Roman"/>
                <w:i/>
                <w:szCs w:val="24"/>
              </w:rPr>
              <w:t xml:space="preserve"> tis. Kč</w:t>
            </w:r>
          </w:p>
          <w:p w14:paraId="66CCAB8F" w14:textId="31DF6E46" w:rsidR="00495316" w:rsidRPr="008C0143" w:rsidRDefault="00495316" w:rsidP="00495316">
            <w:pPr>
              <w:jc w:val="right"/>
              <w:cnfStyle w:val="000000000000" w:firstRow="0" w:lastRow="0" w:firstColumn="0" w:lastColumn="0" w:oddVBand="0" w:evenVBand="0" w:oddHBand="0" w:evenHBand="0" w:firstRowFirstColumn="0" w:firstRowLastColumn="0" w:lastRowFirstColumn="0" w:lastRowLastColumn="0"/>
              <w:rPr>
                <w:rFonts w:cs="Times New Roman"/>
                <w:i/>
                <w:smallCaps/>
                <w:szCs w:val="24"/>
              </w:rPr>
            </w:pPr>
            <w:r w:rsidRPr="008C0143">
              <w:rPr>
                <w:rFonts w:cs="Times New Roman"/>
                <w:i/>
                <w:szCs w:val="24"/>
              </w:rPr>
              <w:t xml:space="preserve">7 717 tis. </w:t>
            </w:r>
            <w:r w:rsidRPr="008C0143">
              <w:rPr>
                <w:rFonts w:cs="Times New Roman"/>
                <w:i/>
                <w:smallCaps/>
                <w:szCs w:val="24"/>
              </w:rPr>
              <w:t xml:space="preserve">Kč </w:t>
            </w:r>
          </w:p>
        </w:tc>
      </w:tr>
      <w:tr w:rsidR="00B0264C" w:rsidRPr="00347805" w14:paraId="018D46C1" w14:textId="77777777" w:rsidTr="00336639">
        <w:tc>
          <w:tcPr>
            <w:cnfStyle w:val="001000000000" w:firstRow="0" w:lastRow="0" w:firstColumn="1" w:lastColumn="0" w:oddVBand="0" w:evenVBand="0" w:oddHBand="0" w:evenHBand="0" w:firstRowFirstColumn="0" w:firstRowLastColumn="0" w:lastRowFirstColumn="0" w:lastRowLastColumn="0"/>
            <w:tcW w:w="6857" w:type="dxa"/>
            <w:tcBorders>
              <w:top w:val="single" w:sz="4" w:space="0" w:color="auto"/>
              <w:left w:val="single" w:sz="8" w:space="0" w:color="7F7F7F" w:themeColor="text1" w:themeTint="80"/>
              <w:bottom w:val="nil"/>
              <w:right w:val="single" w:sz="4" w:space="0" w:color="7F7F7F" w:themeColor="text1" w:themeTint="80"/>
            </w:tcBorders>
            <w:shd w:val="clear" w:color="auto" w:fill="auto"/>
          </w:tcPr>
          <w:p w14:paraId="1785D037" w14:textId="3C745EEA" w:rsidR="00B0264C" w:rsidRPr="00347805" w:rsidRDefault="00B0264C" w:rsidP="00B0264C">
            <w:pPr>
              <w:rPr>
                <w:rFonts w:cs="Times New Roman"/>
                <w:szCs w:val="24"/>
              </w:rPr>
            </w:pPr>
            <w:r w:rsidRPr="00347805">
              <w:rPr>
                <w:rFonts w:cs="Times New Roman"/>
                <w:b w:val="0"/>
                <w:bCs w:val="0"/>
                <w:szCs w:val="24"/>
              </w:rPr>
              <w:lastRenderedPageBreak/>
              <w:t>Výdaje SPS</w:t>
            </w:r>
          </w:p>
        </w:tc>
        <w:tc>
          <w:tcPr>
            <w:tcW w:w="2193" w:type="dxa"/>
            <w:tcBorders>
              <w:top w:val="single" w:sz="4" w:space="0" w:color="auto"/>
              <w:left w:val="single" w:sz="4" w:space="0" w:color="7F7F7F" w:themeColor="text1" w:themeTint="80"/>
              <w:bottom w:val="nil"/>
              <w:right w:val="single" w:sz="8" w:space="0" w:color="7F7F7F" w:themeColor="text1" w:themeTint="80"/>
            </w:tcBorders>
            <w:shd w:val="clear" w:color="auto" w:fill="auto"/>
            <w:vAlign w:val="center"/>
          </w:tcPr>
          <w:p w14:paraId="03918AFA" w14:textId="552942B8" w:rsidR="00B0264C" w:rsidRPr="00347805" w:rsidRDefault="00347805"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47805">
              <w:rPr>
                <w:rFonts w:cs="Times New Roman"/>
                <w:szCs w:val="24"/>
              </w:rPr>
              <w:t>528</w:t>
            </w:r>
            <w:r w:rsidR="00B0264C" w:rsidRPr="00347805">
              <w:rPr>
                <w:rFonts w:cs="Times New Roman"/>
                <w:szCs w:val="24"/>
              </w:rPr>
              <w:t xml:space="preserve"> tis. Kč</w:t>
            </w:r>
          </w:p>
        </w:tc>
      </w:tr>
      <w:tr w:rsidR="00B0264C" w:rsidRPr="00D070B8" w14:paraId="6554E77F" w14:textId="77777777" w:rsidTr="00B0264C">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14:paraId="1DD990F8" w14:textId="185D85CE" w:rsidR="00B0264C" w:rsidRPr="00347805" w:rsidRDefault="00B0264C" w:rsidP="00B0264C">
            <w:pPr>
              <w:rPr>
                <w:rFonts w:cs="Times New Roman"/>
                <w:szCs w:val="24"/>
              </w:rPr>
            </w:pPr>
            <w:r w:rsidRPr="00347805">
              <w:rPr>
                <w:rFonts w:cs="Times New Roman"/>
                <w:b w:val="0"/>
                <w:bCs w:val="0"/>
                <w:i/>
                <w:iCs/>
                <w:szCs w:val="24"/>
              </w:rPr>
              <w:t>v tom: Komunitární programy 2021+</w:t>
            </w:r>
          </w:p>
        </w:tc>
        <w:tc>
          <w:tcPr>
            <w:tcW w:w="2193" w:type="dxa"/>
            <w:tcBorders>
              <w:top w:val="nil"/>
              <w:left w:val="single" w:sz="4" w:space="0" w:color="7F7F7F" w:themeColor="text1" w:themeTint="80"/>
              <w:bottom w:val="nil"/>
              <w:right w:val="single" w:sz="8" w:space="0" w:color="7F7F7F" w:themeColor="text1" w:themeTint="80"/>
            </w:tcBorders>
            <w:shd w:val="clear" w:color="auto" w:fill="auto"/>
            <w:vAlign w:val="center"/>
          </w:tcPr>
          <w:p w14:paraId="3E9B428D" w14:textId="38121D9C" w:rsidR="00B0264C" w:rsidRPr="00347805" w:rsidRDefault="00347805"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47805">
              <w:rPr>
                <w:rFonts w:cs="Times New Roman"/>
                <w:szCs w:val="24"/>
              </w:rPr>
              <w:t>528</w:t>
            </w:r>
            <w:r w:rsidR="00B0264C" w:rsidRPr="00347805">
              <w:rPr>
                <w:rFonts w:cs="Times New Roman"/>
                <w:szCs w:val="24"/>
              </w:rPr>
              <w:t xml:space="preserve"> tis. Kč</w:t>
            </w:r>
          </w:p>
        </w:tc>
      </w:tr>
      <w:tr w:rsidR="00B0264C" w:rsidRPr="00D070B8" w14:paraId="1EE1E311"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029396F1" w14:textId="77777777" w:rsidR="00B0264C" w:rsidRPr="00347805" w:rsidRDefault="00B0264C" w:rsidP="00B0264C">
            <w:pPr>
              <w:ind w:left="489" w:hanging="489"/>
              <w:rPr>
                <w:rFonts w:cs="Times New Roman"/>
                <w:szCs w:val="24"/>
              </w:rPr>
            </w:pPr>
            <w:r w:rsidRPr="00347805">
              <w:rPr>
                <w:rFonts w:cs="Times New Roman"/>
                <w:szCs w:val="24"/>
              </w:rPr>
              <w:t xml:space="preserve">Výdaje spojené s kosmickými aktivitami </w:t>
            </w:r>
            <w:r w:rsidRPr="00347805">
              <w:rPr>
                <w:rFonts w:cs="Times New Roman"/>
                <w:b w:val="0"/>
                <w:szCs w:val="24"/>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31244AF" w14:textId="65F81171" w:rsidR="00B0264C" w:rsidRPr="00347805"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347805">
              <w:rPr>
                <w:rFonts w:cs="Times New Roman"/>
                <w:b/>
                <w:szCs w:val="24"/>
              </w:rPr>
              <w:t>3 4</w:t>
            </w:r>
            <w:r w:rsidR="003C742C" w:rsidRPr="00347805">
              <w:rPr>
                <w:rFonts w:cs="Times New Roman"/>
                <w:b/>
                <w:szCs w:val="24"/>
              </w:rPr>
              <w:t>8</w:t>
            </w:r>
            <w:r w:rsidRPr="00347805">
              <w:rPr>
                <w:rFonts w:cs="Times New Roman"/>
                <w:b/>
                <w:szCs w:val="24"/>
              </w:rPr>
              <w:t>5 tis. Kč</w:t>
            </w:r>
          </w:p>
        </w:tc>
      </w:tr>
      <w:tr w:rsidR="00B0264C" w:rsidRPr="00D070B8" w14:paraId="0BC8F845"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5AD0C689" w14:textId="77777777" w:rsidR="00B0264C" w:rsidRPr="00347805" w:rsidRDefault="00B0264C" w:rsidP="00B0264C">
            <w:pPr>
              <w:ind w:left="489" w:hanging="489"/>
              <w:rPr>
                <w:rFonts w:cs="Times New Roman"/>
                <w:b w:val="0"/>
                <w:szCs w:val="24"/>
              </w:rPr>
            </w:pPr>
            <w:r w:rsidRPr="00347805">
              <w:rPr>
                <w:rFonts w:cs="Times New Roman"/>
                <w:b w:val="0"/>
                <w:szCs w:val="24"/>
              </w:rPr>
              <w:t>Výdaje ústředního orgánu MD</w:t>
            </w:r>
          </w:p>
          <w:p w14:paraId="165D5AED" w14:textId="54892BF6" w:rsidR="00B0264C" w:rsidRPr="00347805" w:rsidRDefault="00B0264C" w:rsidP="00B0264C">
            <w:pPr>
              <w:ind w:left="489" w:hanging="489"/>
              <w:rPr>
                <w:rFonts w:cs="Times New Roman"/>
                <w:b w:val="0"/>
                <w:i/>
                <w:szCs w:val="24"/>
              </w:rPr>
            </w:pPr>
            <w:r w:rsidRPr="00347805">
              <w:rPr>
                <w:rFonts w:cs="Times New Roman"/>
                <w:b w:val="0"/>
                <w:i/>
                <w:szCs w:val="24"/>
              </w:rPr>
              <w:t>v tom: Ko</w:t>
            </w:r>
            <w:r w:rsidR="00DE2E11" w:rsidRPr="00347805">
              <w:rPr>
                <w:rFonts w:cs="Times New Roman"/>
                <w:b w:val="0"/>
                <w:i/>
                <w:szCs w:val="24"/>
              </w:rPr>
              <w:t>munitární programy 2021+</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1675F1D2" w14:textId="797E68D6" w:rsidR="00B0264C" w:rsidRPr="00347805"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47805">
              <w:rPr>
                <w:rFonts w:cs="Times New Roman"/>
                <w:szCs w:val="24"/>
              </w:rPr>
              <w:t xml:space="preserve">1 </w:t>
            </w:r>
            <w:r w:rsidR="00347805" w:rsidRPr="00347805">
              <w:rPr>
                <w:rFonts w:cs="Times New Roman"/>
                <w:szCs w:val="24"/>
              </w:rPr>
              <w:t>865</w:t>
            </w:r>
            <w:r w:rsidRPr="00347805">
              <w:rPr>
                <w:rFonts w:cs="Times New Roman"/>
                <w:szCs w:val="24"/>
              </w:rPr>
              <w:t xml:space="preserve"> tis. Kč</w:t>
            </w:r>
          </w:p>
          <w:p w14:paraId="45CAAFD9" w14:textId="39609365" w:rsidR="00B0264C" w:rsidRPr="00347805"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47805">
              <w:rPr>
                <w:rFonts w:cs="Times New Roman"/>
                <w:i/>
                <w:szCs w:val="24"/>
              </w:rPr>
              <w:t>1</w:t>
            </w:r>
            <w:r w:rsidR="00347805" w:rsidRPr="00347805">
              <w:rPr>
                <w:rFonts w:cs="Times New Roman"/>
                <w:i/>
                <w:szCs w:val="24"/>
              </w:rPr>
              <w:t xml:space="preserve"> 865 </w:t>
            </w:r>
            <w:r w:rsidRPr="00347805">
              <w:rPr>
                <w:rFonts w:cs="Times New Roman"/>
                <w:i/>
                <w:szCs w:val="24"/>
              </w:rPr>
              <w:t>tis. Kč</w:t>
            </w:r>
          </w:p>
        </w:tc>
      </w:tr>
      <w:tr w:rsidR="00B0264C" w:rsidRPr="00D070B8" w14:paraId="29ED0115" w14:textId="77777777" w:rsidTr="001E02BC">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37E919C7" w14:textId="056303E4" w:rsidR="00B0264C" w:rsidRPr="00347805" w:rsidRDefault="00B0264C" w:rsidP="00B0264C">
            <w:pPr>
              <w:ind w:left="489" w:hanging="489"/>
              <w:rPr>
                <w:rFonts w:cs="Times New Roman"/>
                <w:b w:val="0"/>
                <w:szCs w:val="24"/>
              </w:rPr>
            </w:pPr>
            <w:r w:rsidRPr="00347805">
              <w:rPr>
                <w:rFonts w:cs="Times New Roman"/>
                <w:b w:val="0"/>
                <w:szCs w:val="24"/>
              </w:rPr>
              <w:t xml:space="preserve">Neinvestiční transfer </w:t>
            </w:r>
            <w:r w:rsidR="00347805" w:rsidRPr="00347805">
              <w:rPr>
                <w:rFonts w:cs="Times New Roman"/>
                <w:b w:val="0"/>
                <w:szCs w:val="24"/>
              </w:rPr>
              <w:t>rozpočtům územní úrovně</w:t>
            </w:r>
          </w:p>
          <w:p w14:paraId="048EAF4E" w14:textId="38053599" w:rsidR="00B0264C" w:rsidRPr="00347805" w:rsidRDefault="00B0264C" w:rsidP="00B0264C">
            <w:pPr>
              <w:ind w:left="489" w:hanging="489"/>
              <w:rPr>
                <w:rFonts w:cs="Times New Roman"/>
                <w:b w:val="0"/>
                <w:i/>
                <w:szCs w:val="24"/>
              </w:rPr>
            </w:pPr>
            <w:r w:rsidRPr="00347805">
              <w:rPr>
                <w:rFonts w:cs="Times New Roman"/>
                <w:b w:val="0"/>
                <w:i/>
                <w:szCs w:val="24"/>
              </w:rPr>
              <w:t>v tom: ZED/Ko</w:t>
            </w:r>
            <w:r w:rsidR="00DE2E11" w:rsidRPr="00347805">
              <w:rPr>
                <w:rFonts w:cs="Times New Roman"/>
                <w:b w:val="0"/>
                <w:i/>
                <w:szCs w:val="24"/>
              </w:rPr>
              <w:t>munitární programy 2021+</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0E7E5CD" w14:textId="2E3DC176" w:rsidR="00B0264C" w:rsidRPr="00347805"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347805">
              <w:rPr>
                <w:rFonts w:cs="Times New Roman"/>
                <w:szCs w:val="24"/>
              </w:rPr>
              <w:t>1 </w:t>
            </w:r>
            <w:r w:rsidR="00347805" w:rsidRPr="00347805">
              <w:rPr>
                <w:rFonts w:cs="Times New Roman"/>
                <w:szCs w:val="24"/>
              </w:rPr>
              <w:t>620</w:t>
            </w:r>
            <w:r w:rsidRPr="00347805">
              <w:rPr>
                <w:rFonts w:cs="Times New Roman"/>
                <w:szCs w:val="24"/>
              </w:rPr>
              <w:t xml:space="preserve"> tis. Kč</w:t>
            </w:r>
          </w:p>
          <w:p w14:paraId="0B67D898" w14:textId="2508ECA9" w:rsidR="00B0264C" w:rsidRPr="00347805" w:rsidRDefault="00B0264C" w:rsidP="00B0264C">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347805">
              <w:rPr>
                <w:rFonts w:cs="Times New Roman"/>
                <w:i/>
                <w:szCs w:val="24"/>
              </w:rPr>
              <w:t>1 </w:t>
            </w:r>
            <w:r w:rsidR="00347805" w:rsidRPr="00347805">
              <w:rPr>
                <w:rFonts w:cs="Times New Roman"/>
                <w:i/>
                <w:szCs w:val="24"/>
              </w:rPr>
              <w:t>620</w:t>
            </w:r>
            <w:r w:rsidRPr="00347805">
              <w:rPr>
                <w:rFonts w:cs="Times New Roman"/>
                <w:i/>
                <w:szCs w:val="24"/>
              </w:rPr>
              <w:t xml:space="preserve"> tis. Kč</w:t>
            </w:r>
          </w:p>
        </w:tc>
      </w:tr>
    </w:tbl>
    <w:p w14:paraId="044F4F82" w14:textId="63807FF0" w:rsidR="00AD3116" w:rsidRPr="00347805" w:rsidRDefault="002A56F4" w:rsidP="002A56F4">
      <w:pPr>
        <w:pStyle w:val="Styl1"/>
      </w:pPr>
      <w:r w:rsidRPr="00347805">
        <w:t>Uvedené výdaje jsou podrobněji rozepsány v dalším textu.</w:t>
      </w:r>
    </w:p>
    <w:p w14:paraId="53B90F86" w14:textId="77777777" w:rsidR="00AD3116" w:rsidRPr="00D070B8" w:rsidRDefault="00AD3116">
      <w:pPr>
        <w:spacing w:after="160"/>
        <w:jc w:val="left"/>
        <w:rPr>
          <w:rFonts w:eastAsia="Times New Roman" w:cs="Times New Roman"/>
          <w:iCs/>
          <w:szCs w:val="24"/>
          <w:highlight w:val="yellow"/>
          <w:lang w:eastAsia="cs-CZ"/>
        </w:rPr>
      </w:pPr>
      <w:r w:rsidRPr="00D070B8">
        <w:rPr>
          <w:highlight w:val="yellow"/>
        </w:rPr>
        <w:br w:type="page"/>
      </w:r>
    </w:p>
    <w:p w14:paraId="5BDE85E7" w14:textId="07E8B5AB" w:rsidR="00F624F2" w:rsidRPr="00DE113A" w:rsidRDefault="00F624F2" w:rsidP="005E6B5D">
      <w:pPr>
        <w:pStyle w:val="Nadpis2"/>
      </w:pPr>
      <w:bookmarkStart w:id="98" w:name="_Toc115786944"/>
      <w:bookmarkStart w:id="99" w:name="_Toc115787534"/>
      <w:bookmarkStart w:id="100" w:name="_Toc115786945"/>
      <w:bookmarkStart w:id="101" w:name="_Toc115787535"/>
      <w:bookmarkStart w:id="102" w:name="_Toc115786946"/>
      <w:bookmarkStart w:id="103" w:name="_Toc115787536"/>
      <w:bookmarkStart w:id="104" w:name="_Toc115786968"/>
      <w:bookmarkStart w:id="105" w:name="_Toc115787558"/>
      <w:bookmarkStart w:id="106" w:name="_Toc115786969"/>
      <w:bookmarkStart w:id="107" w:name="_Toc115787559"/>
      <w:bookmarkStart w:id="108" w:name="_Toc115786970"/>
      <w:bookmarkStart w:id="109" w:name="_Toc115787560"/>
      <w:bookmarkStart w:id="110" w:name="_Toc115786971"/>
      <w:bookmarkStart w:id="111" w:name="_Toc115787561"/>
      <w:bookmarkStart w:id="112" w:name="_Toc115786990"/>
      <w:bookmarkStart w:id="113" w:name="_Toc115787580"/>
      <w:bookmarkStart w:id="114" w:name="_Toc115787003"/>
      <w:bookmarkStart w:id="115" w:name="_Toc115787593"/>
      <w:bookmarkStart w:id="116" w:name="_Toc115787007"/>
      <w:bookmarkStart w:id="117" w:name="_Toc115787597"/>
      <w:bookmarkStart w:id="118" w:name="_Toc115787008"/>
      <w:bookmarkStart w:id="119" w:name="_Toc115787598"/>
      <w:bookmarkStart w:id="120" w:name="_Toc115787015"/>
      <w:bookmarkStart w:id="121" w:name="_Toc115787605"/>
      <w:bookmarkStart w:id="122" w:name="_Toc115787040"/>
      <w:bookmarkStart w:id="123" w:name="_Toc115787630"/>
      <w:bookmarkStart w:id="124" w:name="_Toc115787041"/>
      <w:bookmarkStart w:id="125" w:name="_Toc115787631"/>
      <w:bookmarkStart w:id="126" w:name="_Toc115787042"/>
      <w:bookmarkStart w:id="127" w:name="_Toc115787632"/>
      <w:bookmarkStart w:id="128" w:name="_Toc115787043"/>
      <w:bookmarkStart w:id="129" w:name="_Toc115787633"/>
      <w:bookmarkStart w:id="130" w:name="_Toc115787100"/>
      <w:bookmarkStart w:id="131" w:name="_Toc115787690"/>
      <w:bookmarkStart w:id="132" w:name="_Toc115787135"/>
      <w:bookmarkStart w:id="133" w:name="_Toc115787725"/>
      <w:bookmarkStart w:id="134" w:name="_Toc115787136"/>
      <w:bookmarkStart w:id="135" w:name="_Toc115787726"/>
      <w:bookmarkStart w:id="136" w:name="_Toc115787143"/>
      <w:bookmarkStart w:id="137" w:name="_Toc115787733"/>
      <w:bookmarkStart w:id="138" w:name="_Toc115787144"/>
      <w:bookmarkStart w:id="139" w:name="_Toc115787734"/>
      <w:bookmarkStart w:id="140" w:name="_Toc115787145"/>
      <w:bookmarkStart w:id="141" w:name="_Toc115787735"/>
      <w:bookmarkStart w:id="142" w:name="_Toc115787146"/>
      <w:bookmarkStart w:id="143" w:name="_Toc115787736"/>
      <w:bookmarkStart w:id="144" w:name="_Toc115787147"/>
      <w:bookmarkStart w:id="145" w:name="_Toc115787737"/>
      <w:bookmarkStart w:id="146" w:name="_Toc462314389"/>
      <w:bookmarkStart w:id="147" w:name="_Toc179964092"/>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DE113A">
        <w:lastRenderedPageBreak/>
        <w:t>Běžné výdaje</w:t>
      </w:r>
      <w:bookmarkEnd w:id="146"/>
      <w:bookmarkEnd w:id="147"/>
    </w:p>
    <w:p w14:paraId="02C3E289" w14:textId="5B97E292" w:rsidR="006F225C" w:rsidRPr="00DE113A" w:rsidRDefault="006F225C" w:rsidP="00F11D45">
      <w:pPr>
        <w:pStyle w:val="Titulek"/>
      </w:pPr>
      <w:bookmarkStart w:id="148" w:name="_Toc241565630"/>
      <w:bookmarkStart w:id="149" w:name="_Toc368665062"/>
      <w:r w:rsidRPr="00DE113A">
        <w:t>Tabulka</w:t>
      </w:r>
      <w:r w:rsidR="00F11D45" w:rsidRPr="00DE113A">
        <w:t xml:space="preserve"> č.</w:t>
      </w:r>
      <w:r w:rsidRPr="00DE113A">
        <w:t xml:space="preserve"> </w:t>
      </w:r>
      <w:r w:rsidR="00696CFC" w:rsidRPr="00DE113A">
        <w:fldChar w:fldCharType="begin"/>
      </w:r>
      <w:r w:rsidR="00696CFC" w:rsidRPr="00DE113A">
        <w:instrText xml:space="preserve"> SEQ Tabulka \* ARABIC </w:instrText>
      </w:r>
      <w:r w:rsidR="00696CFC" w:rsidRPr="00DE113A">
        <w:fldChar w:fldCharType="separate"/>
      </w:r>
      <w:r w:rsidR="003B0B01" w:rsidRPr="00DE113A">
        <w:rPr>
          <w:noProof/>
        </w:rPr>
        <w:t>8</w:t>
      </w:r>
      <w:r w:rsidR="00696CFC" w:rsidRPr="00DE113A">
        <w:rPr>
          <w:noProof/>
        </w:rPr>
        <w:fldChar w:fldCharType="end"/>
      </w:r>
      <w:r w:rsidR="00F11D45" w:rsidRPr="00DE113A">
        <w:t xml:space="preserve"> Běžné výdaje celkem (v tis. Kč)</w:t>
      </w:r>
    </w:p>
    <w:tbl>
      <w:tblPr>
        <w:tblStyle w:val="Svtltabulkasmkou1zvraznn1"/>
        <w:tblW w:w="950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2"/>
        <w:gridCol w:w="1418"/>
        <w:gridCol w:w="1417"/>
        <w:gridCol w:w="1418"/>
        <w:gridCol w:w="997"/>
      </w:tblGrid>
      <w:tr w:rsidR="00DE113A" w:rsidRPr="00DE113A" w14:paraId="6D86A934" w14:textId="77777777" w:rsidTr="00C01D38">
        <w:tc>
          <w:tcPr>
            <w:tcW w:w="425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7B165B" w14:textId="0628CB53" w:rsidR="00C01D38" w:rsidRPr="00DE113A" w:rsidRDefault="00C01D38" w:rsidP="00C01D38">
            <w:pPr>
              <w:jc w:val="center"/>
              <w:rPr>
                <w:b/>
              </w:rPr>
            </w:pPr>
            <w:bookmarkStart w:id="150" w:name="_Toc462314391"/>
            <w:bookmarkEnd w:id="148"/>
            <w:bookmarkEnd w:id="149"/>
            <w:r w:rsidRPr="00DE113A">
              <w:rPr>
                <w:b/>
              </w:rPr>
              <w:t>Ukazatel</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21556EE" w14:textId="77777777" w:rsidR="00C01D38" w:rsidRPr="00DE113A" w:rsidRDefault="00C01D38" w:rsidP="00C01D38">
            <w:pPr>
              <w:ind w:right="10"/>
              <w:jc w:val="center"/>
              <w:rPr>
                <w:b/>
              </w:rPr>
            </w:pPr>
            <w:r w:rsidRPr="00DE113A">
              <w:rPr>
                <w:b/>
              </w:rPr>
              <w:t>Skutečnost</w:t>
            </w:r>
          </w:p>
          <w:p w14:paraId="37B4D94E" w14:textId="15C01990" w:rsidR="00C01D38" w:rsidRPr="00DE113A" w:rsidRDefault="00C01D38" w:rsidP="00C01D38">
            <w:pPr>
              <w:ind w:right="10"/>
              <w:jc w:val="center"/>
              <w:rPr>
                <w:b/>
              </w:rPr>
            </w:pPr>
            <w:r w:rsidRPr="00DE113A">
              <w:rPr>
                <w:b/>
              </w:rPr>
              <w:t>202</w:t>
            </w:r>
            <w:r w:rsidR="00E71785" w:rsidRPr="00DE113A">
              <w:rPr>
                <w:b/>
              </w:rPr>
              <w:t>3</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0014E18" w14:textId="77777777" w:rsidR="00C01D38" w:rsidRPr="00DE113A" w:rsidRDefault="00C01D38" w:rsidP="00C01D38">
            <w:pPr>
              <w:jc w:val="center"/>
              <w:rPr>
                <w:b/>
              </w:rPr>
            </w:pPr>
            <w:r w:rsidRPr="00DE113A">
              <w:rPr>
                <w:b/>
              </w:rPr>
              <w:t>Schválený</w:t>
            </w:r>
          </w:p>
          <w:p w14:paraId="3D1DB082" w14:textId="77777777" w:rsidR="00C01D38" w:rsidRPr="00DE113A" w:rsidRDefault="00C01D38" w:rsidP="00C01D38">
            <w:pPr>
              <w:jc w:val="center"/>
              <w:rPr>
                <w:b/>
              </w:rPr>
            </w:pPr>
            <w:r w:rsidRPr="00DE113A">
              <w:rPr>
                <w:b/>
              </w:rPr>
              <w:t>rozpočet</w:t>
            </w:r>
          </w:p>
          <w:p w14:paraId="37093123" w14:textId="1BBEF40E" w:rsidR="00C01D38" w:rsidRPr="00DE113A" w:rsidRDefault="00C01D38" w:rsidP="00C01D38">
            <w:pPr>
              <w:jc w:val="center"/>
              <w:rPr>
                <w:b/>
              </w:rPr>
            </w:pPr>
            <w:r w:rsidRPr="00DE113A">
              <w:rPr>
                <w:b/>
              </w:rPr>
              <w:t>202</w:t>
            </w:r>
            <w:r w:rsidR="00E71785" w:rsidRPr="00DE113A">
              <w:rPr>
                <w:b/>
              </w:rPr>
              <w:t>4</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6AED13F" w14:textId="77777777" w:rsidR="00C01D38" w:rsidRPr="00DE113A" w:rsidRDefault="00C01D38" w:rsidP="00C01D38">
            <w:pPr>
              <w:jc w:val="center"/>
              <w:rPr>
                <w:b/>
              </w:rPr>
            </w:pPr>
            <w:r w:rsidRPr="00DE113A">
              <w:rPr>
                <w:b/>
              </w:rPr>
              <w:t>Návrh</w:t>
            </w:r>
          </w:p>
          <w:p w14:paraId="2B9E4D4F" w14:textId="77777777" w:rsidR="00C01D38" w:rsidRPr="00DE113A" w:rsidRDefault="00C01D38" w:rsidP="00C01D38">
            <w:pPr>
              <w:jc w:val="center"/>
              <w:rPr>
                <w:b/>
              </w:rPr>
            </w:pPr>
            <w:r w:rsidRPr="00DE113A">
              <w:rPr>
                <w:b/>
              </w:rPr>
              <w:t>rozpočtu</w:t>
            </w:r>
          </w:p>
          <w:p w14:paraId="73088712" w14:textId="1487EC6B" w:rsidR="00C01D38" w:rsidRPr="00DE113A" w:rsidRDefault="00C01D38" w:rsidP="00C01D38">
            <w:pPr>
              <w:jc w:val="center"/>
              <w:rPr>
                <w:b/>
              </w:rPr>
            </w:pPr>
            <w:r w:rsidRPr="00DE113A">
              <w:rPr>
                <w:b/>
              </w:rPr>
              <w:t>20</w:t>
            </w:r>
            <w:r w:rsidR="00E71785" w:rsidRPr="00DE113A">
              <w:rPr>
                <w:b/>
              </w:rPr>
              <w:t>25</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32A04C" w14:textId="77777777" w:rsidR="00C01D38" w:rsidRPr="00DE113A" w:rsidRDefault="00C01D38" w:rsidP="00C01D38">
            <w:pPr>
              <w:jc w:val="center"/>
              <w:rPr>
                <w:b/>
              </w:rPr>
            </w:pPr>
            <w:r w:rsidRPr="00DE113A">
              <w:rPr>
                <w:b/>
              </w:rPr>
              <w:t>Index</w:t>
            </w:r>
          </w:p>
          <w:p w14:paraId="163C46AC" w14:textId="465529C2" w:rsidR="00C01D38" w:rsidRPr="00DE113A" w:rsidRDefault="00C01D38" w:rsidP="00C01D38">
            <w:pPr>
              <w:jc w:val="center"/>
              <w:rPr>
                <w:b/>
              </w:rPr>
            </w:pPr>
            <w:r w:rsidRPr="00DE113A">
              <w:rPr>
                <w:b/>
              </w:rPr>
              <w:t>202</w:t>
            </w:r>
            <w:r w:rsidR="00E71785" w:rsidRPr="00DE113A">
              <w:rPr>
                <w:b/>
              </w:rPr>
              <w:t>5</w:t>
            </w:r>
            <w:r w:rsidRPr="00DE113A">
              <w:rPr>
                <w:b/>
              </w:rPr>
              <w:t>/</w:t>
            </w:r>
          </w:p>
          <w:p w14:paraId="216FFDC4" w14:textId="116811D4" w:rsidR="00C01D38" w:rsidRPr="00DE113A" w:rsidRDefault="00C01D38" w:rsidP="00C01D38">
            <w:pPr>
              <w:jc w:val="center"/>
              <w:rPr>
                <w:b/>
              </w:rPr>
            </w:pPr>
            <w:r w:rsidRPr="00DE113A">
              <w:rPr>
                <w:b/>
              </w:rPr>
              <w:t>20</w:t>
            </w:r>
            <w:r w:rsidR="00E71785" w:rsidRPr="00DE113A">
              <w:rPr>
                <w:b/>
              </w:rPr>
              <w:t>24</w:t>
            </w:r>
          </w:p>
          <w:p w14:paraId="60671467" w14:textId="77777777" w:rsidR="00C01D38" w:rsidRPr="00DE113A" w:rsidRDefault="00C01D38" w:rsidP="00C01D38">
            <w:pPr>
              <w:jc w:val="center"/>
              <w:rPr>
                <w:b/>
              </w:rPr>
            </w:pPr>
            <w:r w:rsidRPr="00DE113A">
              <w:rPr>
                <w:b/>
              </w:rPr>
              <w:t>(v %)</w:t>
            </w:r>
          </w:p>
        </w:tc>
      </w:tr>
      <w:tr w:rsidR="00DE113A" w:rsidRPr="00DE113A" w14:paraId="07E6248C" w14:textId="77777777" w:rsidTr="00C01D38">
        <w:tc>
          <w:tcPr>
            <w:tcW w:w="4252" w:type="dxa"/>
            <w:tcBorders>
              <w:top w:val="single" w:sz="4" w:space="0" w:color="7F7F7F" w:themeColor="text1" w:themeTint="80"/>
              <w:bottom w:val="single" w:sz="8" w:space="0" w:color="7F7F7F" w:themeColor="text1" w:themeTint="80"/>
            </w:tcBorders>
            <w:shd w:val="clear" w:color="auto" w:fill="auto"/>
          </w:tcPr>
          <w:p w14:paraId="62161E68" w14:textId="77777777" w:rsidR="00C01D38" w:rsidRPr="00DE113A" w:rsidRDefault="00C01D38" w:rsidP="00C01D38">
            <w:pPr>
              <w:jc w:val="center"/>
            </w:pPr>
            <w:r w:rsidRPr="00DE113A">
              <w:t>a</w:t>
            </w:r>
          </w:p>
        </w:tc>
        <w:tc>
          <w:tcPr>
            <w:tcW w:w="1418" w:type="dxa"/>
            <w:tcBorders>
              <w:top w:val="single" w:sz="4" w:space="0" w:color="7F7F7F" w:themeColor="text1" w:themeTint="80"/>
              <w:bottom w:val="single" w:sz="8" w:space="0" w:color="7F7F7F" w:themeColor="text1" w:themeTint="80"/>
            </w:tcBorders>
            <w:shd w:val="clear" w:color="auto" w:fill="auto"/>
          </w:tcPr>
          <w:p w14:paraId="059978FE" w14:textId="77777777" w:rsidR="00C01D38" w:rsidRPr="00DE113A" w:rsidRDefault="00C01D38" w:rsidP="00C01D38">
            <w:pPr>
              <w:ind w:right="10"/>
              <w:jc w:val="center"/>
            </w:pPr>
            <w:r w:rsidRPr="00DE113A">
              <w:t>1</w:t>
            </w:r>
          </w:p>
        </w:tc>
        <w:tc>
          <w:tcPr>
            <w:tcW w:w="1417" w:type="dxa"/>
            <w:tcBorders>
              <w:top w:val="single" w:sz="4" w:space="0" w:color="7F7F7F" w:themeColor="text1" w:themeTint="80"/>
              <w:bottom w:val="single" w:sz="8" w:space="0" w:color="7F7F7F" w:themeColor="text1" w:themeTint="80"/>
            </w:tcBorders>
            <w:shd w:val="clear" w:color="auto" w:fill="auto"/>
          </w:tcPr>
          <w:p w14:paraId="6BC34964" w14:textId="77777777" w:rsidR="00C01D38" w:rsidRPr="00DE113A" w:rsidRDefault="00C01D38" w:rsidP="00C01D38">
            <w:pPr>
              <w:jc w:val="center"/>
            </w:pPr>
            <w:r w:rsidRPr="00DE113A">
              <w:t>2</w:t>
            </w:r>
          </w:p>
        </w:tc>
        <w:tc>
          <w:tcPr>
            <w:tcW w:w="1418" w:type="dxa"/>
            <w:tcBorders>
              <w:top w:val="single" w:sz="4" w:space="0" w:color="7F7F7F" w:themeColor="text1" w:themeTint="80"/>
              <w:bottom w:val="single" w:sz="8" w:space="0" w:color="7F7F7F" w:themeColor="text1" w:themeTint="80"/>
            </w:tcBorders>
            <w:shd w:val="clear" w:color="auto" w:fill="auto"/>
          </w:tcPr>
          <w:p w14:paraId="3DE3661B" w14:textId="77777777" w:rsidR="00C01D38" w:rsidRPr="00DE113A" w:rsidRDefault="00C01D38" w:rsidP="00C01D38">
            <w:pPr>
              <w:jc w:val="center"/>
            </w:pPr>
            <w:r w:rsidRPr="00DE113A">
              <w:t>3</w:t>
            </w:r>
          </w:p>
        </w:tc>
        <w:tc>
          <w:tcPr>
            <w:tcW w:w="997" w:type="dxa"/>
            <w:tcBorders>
              <w:top w:val="single" w:sz="4" w:space="0" w:color="7F7F7F" w:themeColor="text1" w:themeTint="80"/>
              <w:bottom w:val="single" w:sz="8" w:space="0" w:color="7F7F7F" w:themeColor="text1" w:themeTint="80"/>
            </w:tcBorders>
            <w:shd w:val="clear" w:color="auto" w:fill="auto"/>
          </w:tcPr>
          <w:p w14:paraId="57D0FF7C" w14:textId="77777777" w:rsidR="00C01D38" w:rsidRPr="00DE113A" w:rsidRDefault="00C01D38" w:rsidP="00C01D38">
            <w:pPr>
              <w:jc w:val="center"/>
            </w:pPr>
            <w:r w:rsidRPr="00DE113A">
              <w:t>4</w:t>
            </w:r>
          </w:p>
        </w:tc>
      </w:tr>
      <w:tr w:rsidR="00DE113A" w:rsidRPr="00DE113A" w14:paraId="72BAE736" w14:textId="77777777" w:rsidTr="00C01D38">
        <w:trPr>
          <w:trHeight w:hRule="exact" w:val="737"/>
        </w:trPr>
        <w:tc>
          <w:tcPr>
            <w:tcW w:w="4252" w:type="dxa"/>
            <w:tcBorders>
              <w:top w:val="single" w:sz="8" w:space="0" w:color="7F7F7F" w:themeColor="text1" w:themeTint="80"/>
              <w:bottom w:val="nil"/>
            </w:tcBorders>
            <w:shd w:val="clear" w:color="auto" w:fill="auto"/>
          </w:tcPr>
          <w:p w14:paraId="2314C2F0" w14:textId="708AB830" w:rsidR="00B91A91" w:rsidRPr="00DE113A" w:rsidRDefault="00B91A91" w:rsidP="00B91A91">
            <w:pPr>
              <w:rPr>
                <w:iCs/>
                <w:sz w:val="20"/>
                <w:szCs w:val="20"/>
                <w:highlight w:val="yellow"/>
              </w:rPr>
            </w:pPr>
            <w:r w:rsidRPr="00DE113A">
              <w:rPr>
                <w:b/>
                <w:iCs/>
                <w:sz w:val="20"/>
                <w:szCs w:val="20"/>
              </w:rPr>
              <w:t>Běžné výdaje organizačních složek státu bez podsesk. pol.  521, 522, 531, 532, 533, 551, 553, 554 a položky 5493 v tom:</w:t>
            </w:r>
          </w:p>
        </w:tc>
        <w:tc>
          <w:tcPr>
            <w:tcW w:w="1418" w:type="dxa"/>
            <w:tcBorders>
              <w:top w:val="single" w:sz="8" w:space="0" w:color="7F7F7F" w:themeColor="text1" w:themeTint="80"/>
              <w:bottom w:val="nil"/>
            </w:tcBorders>
            <w:shd w:val="clear" w:color="auto" w:fill="auto"/>
          </w:tcPr>
          <w:p w14:paraId="7B451B35" w14:textId="77777777" w:rsidR="00B91A91" w:rsidRPr="00DE113A" w:rsidRDefault="00B91A91" w:rsidP="00B91A91">
            <w:pPr>
              <w:jc w:val="right"/>
              <w:rPr>
                <w:b/>
                <w:sz w:val="20"/>
                <w:szCs w:val="20"/>
              </w:rPr>
            </w:pPr>
          </w:p>
          <w:p w14:paraId="2531B7D7" w14:textId="77777777" w:rsidR="00B91A91" w:rsidRPr="00DE113A" w:rsidRDefault="00B91A91" w:rsidP="00B91A91">
            <w:pPr>
              <w:jc w:val="right"/>
              <w:rPr>
                <w:b/>
                <w:sz w:val="20"/>
                <w:szCs w:val="20"/>
              </w:rPr>
            </w:pPr>
          </w:p>
          <w:p w14:paraId="0CACB8FB" w14:textId="7F66890B" w:rsidR="00B91A91" w:rsidRPr="00DE113A" w:rsidRDefault="00B91A91" w:rsidP="00B91A91">
            <w:pPr>
              <w:jc w:val="right"/>
              <w:rPr>
                <w:b/>
                <w:sz w:val="20"/>
                <w:szCs w:val="20"/>
                <w:highlight w:val="yellow"/>
              </w:rPr>
            </w:pPr>
            <w:r w:rsidRPr="00DE113A">
              <w:rPr>
                <w:b/>
                <w:sz w:val="20"/>
                <w:szCs w:val="20"/>
              </w:rPr>
              <w:t>6 313 557</w:t>
            </w:r>
          </w:p>
        </w:tc>
        <w:tc>
          <w:tcPr>
            <w:tcW w:w="1417" w:type="dxa"/>
            <w:tcBorders>
              <w:top w:val="single" w:sz="8" w:space="0" w:color="7F7F7F" w:themeColor="text1" w:themeTint="80"/>
              <w:bottom w:val="nil"/>
            </w:tcBorders>
            <w:shd w:val="clear" w:color="auto" w:fill="auto"/>
            <w:vAlign w:val="bottom"/>
          </w:tcPr>
          <w:p w14:paraId="59412BBB" w14:textId="0FA85EB8" w:rsidR="00B91A91" w:rsidRPr="00DE113A" w:rsidRDefault="00B91A91" w:rsidP="00B91A91">
            <w:pPr>
              <w:spacing w:before="163"/>
              <w:jc w:val="right"/>
              <w:rPr>
                <w:b/>
                <w:sz w:val="20"/>
                <w:szCs w:val="20"/>
                <w:highlight w:val="yellow"/>
              </w:rPr>
            </w:pPr>
            <w:r w:rsidRPr="00DE113A">
              <w:rPr>
                <w:b/>
                <w:sz w:val="20"/>
                <w:szCs w:val="20"/>
              </w:rPr>
              <w:t>7 348 720</w:t>
            </w:r>
          </w:p>
        </w:tc>
        <w:tc>
          <w:tcPr>
            <w:tcW w:w="1418" w:type="dxa"/>
            <w:tcBorders>
              <w:top w:val="single" w:sz="8" w:space="0" w:color="7F7F7F" w:themeColor="text1" w:themeTint="80"/>
              <w:bottom w:val="nil"/>
            </w:tcBorders>
            <w:shd w:val="clear" w:color="auto" w:fill="auto"/>
            <w:vAlign w:val="bottom"/>
          </w:tcPr>
          <w:p w14:paraId="343787C4" w14:textId="30E3D2DD" w:rsidR="00B91A91" w:rsidRPr="00DE113A" w:rsidRDefault="00B91A91" w:rsidP="00B91A91">
            <w:pPr>
              <w:spacing w:before="163"/>
              <w:jc w:val="right"/>
              <w:rPr>
                <w:b/>
                <w:sz w:val="20"/>
                <w:szCs w:val="20"/>
                <w:highlight w:val="yellow"/>
              </w:rPr>
            </w:pPr>
            <w:r w:rsidRPr="00DE113A">
              <w:rPr>
                <w:b/>
                <w:sz w:val="20"/>
                <w:szCs w:val="20"/>
              </w:rPr>
              <w:t>7 529 860</w:t>
            </w:r>
          </w:p>
        </w:tc>
        <w:tc>
          <w:tcPr>
            <w:tcW w:w="997" w:type="dxa"/>
            <w:tcBorders>
              <w:top w:val="single" w:sz="8" w:space="0" w:color="7F7F7F" w:themeColor="text1" w:themeTint="80"/>
              <w:bottom w:val="nil"/>
            </w:tcBorders>
            <w:shd w:val="clear" w:color="auto" w:fill="auto"/>
            <w:vAlign w:val="bottom"/>
          </w:tcPr>
          <w:p w14:paraId="51603415" w14:textId="0E201297" w:rsidR="00B91A91" w:rsidRPr="00DE113A" w:rsidRDefault="00B91A91" w:rsidP="00B91A91">
            <w:pPr>
              <w:spacing w:before="163"/>
              <w:jc w:val="right"/>
              <w:rPr>
                <w:b/>
                <w:sz w:val="20"/>
                <w:szCs w:val="20"/>
                <w:highlight w:val="yellow"/>
              </w:rPr>
            </w:pPr>
            <w:r w:rsidRPr="00DE113A">
              <w:rPr>
                <w:b/>
                <w:sz w:val="20"/>
                <w:szCs w:val="20"/>
              </w:rPr>
              <w:t>102,46</w:t>
            </w:r>
          </w:p>
        </w:tc>
      </w:tr>
      <w:tr w:rsidR="00DE113A" w:rsidRPr="00DE113A" w14:paraId="30BFECC1" w14:textId="77777777" w:rsidTr="00C01D38">
        <w:trPr>
          <w:trHeight w:val="20"/>
        </w:trPr>
        <w:tc>
          <w:tcPr>
            <w:tcW w:w="4252" w:type="dxa"/>
            <w:tcBorders>
              <w:top w:val="nil"/>
              <w:bottom w:val="nil"/>
            </w:tcBorders>
            <w:shd w:val="clear" w:color="auto" w:fill="auto"/>
          </w:tcPr>
          <w:p w14:paraId="65E26B70" w14:textId="77777777" w:rsidR="00B91A91" w:rsidRPr="00DE113A" w:rsidRDefault="00B91A91" w:rsidP="00B91A91">
            <w:pPr>
              <w:rPr>
                <w:sz w:val="20"/>
                <w:szCs w:val="20"/>
              </w:rPr>
            </w:pPr>
            <w:r w:rsidRPr="00DE113A">
              <w:rPr>
                <w:sz w:val="20"/>
                <w:szCs w:val="20"/>
              </w:rPr>
              <w:t>platy zaměstnanců a ostatní platby</w:t>
            </w:r>
          </w:p>
          <w:p w14:paraId="3A40A80A" w14:textId="77777777" w:rsidR="00B91A91" w:rsidRPr="00DE113A" w:rsidRDefault="00B91A91" w:rsidP="00B91A91">
            <w:pPr>
              <w:tabs>
                <w:tab w:val="left" w:pos="564"/>
              </w:tabs>
              <w:rPr>
                <w:sz w:val="20"/>
                <w:szCs w:val="20"/>
              </w:rPr>
            </w:pPr>
            <w:r w:rsidRPr="00DE113A">
              <w:rPr>
                <w:sz w:val="20"/>
                <w:szCs w:val="20"/>
              </w:rPr>
              <w:t>za provedenou práci</w:t>
            </w:r>
          </w:p>
          <w:p w14:paraId="56591715" w14:textId="5D7B673D" w:rsidR="00B91A91" w:rsidRPr="00DE113A" w:rsidRDefault="00B91A91" w:rsidP="00B91A91">
            <w:pPr>
              <w:rPr>
                <w:sz w:val="20"/>
                <w:szCs w:val="20"/>
                <w:highlight w:val="yellow"/>
              </w:rPr>
            </w:pPr>
            <w:r w:rsidRPr="00DE113A">
              <w:rPr>
                <w:sz w:val="20"/>
                <w:szCs w:val="20"/>
              </w:rPr>
              <w:t xml:space="preserve">     z toho: prostředky EU</w:t>
            </w:r>
          </w:p>
        </w:tc>
        <w:tc>
          <w:tcPr>
            <w:tcW w:w="1418" w:type="dxa"/>
            <w:tcBorders>
              <w:top w:val="nil"/>
              <w:bottom w:val="nil"/>
            </w:tcBorders>
            <w:shd w:val="clear" w:color="auto" w:fill="auto"/>
          </w:tcPr>
          <w:p w14:paraId="141F4376" w14:textId="77777777" w:rsidR="00B91A91" w:rsidRPr="00DE113A" w:rsidRDefault="00B91A91" w:rsidP="00B91A91">
            <w:pPr>
              <w:jc w:val="right"/>
              <w:rPr>
                <w:sz w:val="20"/>
                <w:szCs w:val="20"/>
              </w:rPr>
            </w:pPr>
          </w:p>
          <w:p w14:paraId="0E6BCA94" w14:textId="77777777" w:rsidR="00B91A91" w:rsidRPr="00DE113A" w:rsidRDefault="00B91A91" w:rsidP="00B91A91">
            <w:pPr>
              <w:jc w:val="right"/>
              <w:rPr>
                <w:sz w:val="20"/>
                <w:szCs w:val="20"/>
              </w:rPr>
            </w:pPr>
            <w:r w:rsidRPr="00DE113A">
              <w:rPr>
                <w:sz w:val="20"/>
                <w:szCs w:val="20"/>
              </w:rPr>
              <w:t>580 141</w:t>
            </w:r>
          </w:p>
          <w:p w14:paraId="6CD71A77" w14:textId="584758E5" w:rsidR="00B91A91" w:rsidRPr="00DE113A" w:rsidRDefault="00B91A91" w:rsidP="00B91A91">
            <w:pPr>
              <w:jc w:val="right"/>
              <w:rPr>
                <w:sz w:val="20"/>
                <w:szCs w:val="20"/>
                <w:highlight w:val="yellow"/>
              </w:rPr>
            </w:pPr>
            <w:r w:rsidRPr="00DE113A">
              <w:rPr>
                <w:sz w:val="20"/>
                <w:szCs w:val="20"/>
              </w:rPr>
              <w:t>53 504</w:t>
            </w:r>
          </w:p>
        </w:tc>
        <w:tc>
          <w:tcPr>
            <w:tcW w:w="1417" w:type="dxa"/>
            <w:tcBorders>
              <w:top w:val="nil"/>
              <w:bottom w:val="nil"/>
            </w:tcBorders>
            <w:shd w:val="clear" w:color="auto" w:fill="auto"/>
            <w:vAlign w:val="center"/>
          </w:tcPr>
          <w:p w14:paraId="212CA8F5" w14:textId="77777777" w:rsidR="00B91A91" w:rsidRPr="00DE113A" w:rsidRDefault="00B91A91" w:rsidP="00B91A91">
            <w:pPr>
              <w:jc w:val="right"/>
              <w:rPr>
                <w:sz w:val="20"/>
                <w:szCs w:val="20"/>
              </w:rPr>
            </w:pPr>
            <w:r w:rsidRPr="00DE113A">
              <w:rPr>
                <w:sz w:val="20"/>
                <w:szCs w:val="20"/>
              </w:rPr>
              <w:t xml:space="preserve">                                        608 960 </w:t>
            </w:r>
          </w:p>
          <w:p w14:paraId="319FA386" w14:textId="495A8669" w:rsidR="00B91A91" w:rsidRPr="00DE113A" w:rsidRDefault="00B91A91" w:rsidP="00B91A91">
            <w:pPr>
              <w:jc w:val="right"/>
              <w:rPr>
                <w:sz w:val="20"/>
                <w:szCs w:val="20"/>
                <w:highlight w:val="yellow"/>
              </w:rPr>
            </w:pPr>
            <w:r w:rsidRPr="00DE113A">
              <w:rPr>
                <w:sz w:val="20"/>
                <w:szCs w:val="20"/>
              </w:rPr>
              <w:t>63 477</w:t>
            </w:r>
          </w:p>
        </w:tc>
        <w:tc>
          <w:tcPr>
            <w:tcW w:w="1418" w:type="dxa"/>
            <w:tcBorders>
              <w:top w:val="nil"/>
              <w:bottom w:val="nil"/>
            </w:tcBorders>
            <w:shd w:val="clear" w:color="auto" w:fill="auto"/>
            <w:vAlign w:val="center"/>
          </w:tcPr>
          <w:p w14:paraId="1A4C455E" w14:textId="77777777" w:rsidR="00B91A91" w:rsidRPr="00DE113A" w:rsidRDefault="00B91A91" w:rsidP="00B91A91">
            <w:pPr>
              <w:jc w:val="right"/>
              <w:rPr>
                <w:sz w:val="20"/>
                <w:szCs w:val="20"/>
              </w:rPr>
            </w:pPr>
            <w:r w:rsidRPr="00DE113A">
              <w:rPr>
                <w:sz w:val="20"/>
                <w:szCs w:val="20"/>
              </w:rPr>
              <w:t xml:space="preserve">                                        664 941 </w:t>
            </w:r>
          </w:p>
          <w:p w14:paraId="46A661AC" w14:textId="7B0DE5EF" w:rsidR="00B91A91" w:rsidRPr="00DE113A" w:rsidRDefault="00B91A91" w:rsidP="00B91A91">
            <w:pPr>
              <w:jc w:val="right"/>
              <w:rPr>
                <w:sz w:val="20"/>
                <w:szCs w:val="20"/>
                <w:highlight w:val="yellow"/>
              </w:rPr>
            </w:pPr>
            <w:r w:rsidRPr="00DE113A">
              <w:rPr>
                <w:sz w:val="20"/>
                <w:szCs w:val="20"/>
              </w:rPr>
              <w:t>64 675</w:t>
            </w:r>
          </w:p>
        </w:tc>
        <w:tc>
          <w:tcPr>
            <w:tcW w:w="997" w:type="dxa"/>
            <w:tcBorders>
              <w:top w:val="nil"/>
              <w:bottom w:val="nil"/>
            </w:tcBorders>
            <w:shd w:val="clear" w:color="auto" w:fill="auto"/>
            <w:vAlign w:val="center"/>
          </w:tcPr>
          <w:p w14:paraId="7705CA10" w14:textId="77777777" w:rsidR="00B91A91" w:rsidRPr="00DE113A" w:rsidRDefault="00B91A91" w:rsidP="00B91A91">
            <w:pPr>
              <w:jc w:val="right"/>
              <w:rPr>
                <w:sz w:val="20"/>
                <w:szCs w:val="20"/>
              </w:rPr>
            </w:pPr>
          </w:p>
          <w:p w14:paraId="603D750A" w14:textId="3425AF37" w:rsidR="00B91A91" w:rsidRPr="00DE113A" w:rsidRDefault="00B91A91" w:rsidP="00B91A91">
            <w:pPr>
              <w:jc w:val="right"/>
              <w:rPr>
                <w:sz w:val="20"/>
                <w:szCs w:val="20"/>
                <w:highlight w:val="yellow"/>
              </w:rPr>
            </w:pPr>
            <w:r w:rsidRPr="00DE113A">
              <w:rPr>
                <w:sz w:val="20"/>
                <w:szCs w:val="20"/>
              </w:rPr>
              <w:t xml:space="preserve">109,19    101,89    </w:t>
            </w:r>
          </w:p>
        </w:tc>
      </w:tr>
      <w:tr w:rsidR="00DE113A" w:rsidRPr="00DE113A" w14:paraId="6C155340" w14:textId="77777777" w:rsidTr="00C01D38">
        <w:tc>
          <w:tcPr>
            <w:tcW w:w="4252" w:type="dxa"/>
            <w:tcBorders>
              <w:top w:val="nil"/>
              <w:bottom w:val="nil"/>
            </w:tcBorders>
            <w:shd w:val="clear" w:color="auto" w:fill="auto"/>
          </w:tcPr>
          <w:p w14:paraId="661AA234" w14:textId="77777777" w:rsidR="00B91A91" w:rsidRPr="00DE113A" w:rsidRDefault="00B91A91" w:rsidP="00B91A91">
            <w:pPr>
              <w:rPr>
                <w:sz w:val="20"/>
                <w:szCs w:val="20"/>
              </w:rPr>
            </w:pPr>
            <w:r w:rsidRPr="00DE113A">
              <w:rPr>
                <w:sz w:val="20"/>
                <w:szCs w:val="20"/>
              </w:rPr>
              <w:t>povinné pojistné placené zaměstnavatelem</w:t>
            </w:r>
          </w:p>
          <w:p w14:paraId="39265833" w14:textId="26CD9090" w:rsidR="00B91A91" w:rsidRPr="00DE113A" w:rsidRDefault="00B91A91" w:rsidP="00B91A91">
            <w:pPr>
              <w:rPr>
                <w:sz w:val="20"/>
                <w:szCs w:val="20"/>
                <w:highlight w:val="yellow"/>
              </w:rPr>
            </w:pPr>
            <w:r w:rsidRPr="00DE113A">
              <w:rPr>
                <w:sz w:val="20"/>
                <w:szCs w:val="20"/>
              </w:rPr>
              <w:t xml:space="preserve">     z toho: prostředky EU</w:t>
            </w:r>
          </w:p>
        </w:tc>
        <w:tc>
          <w:tcPr>
            <w:tcW w:w="1418" w:type="dxa"/>
            <w:tcBorders>
              <w:top w:val="nil"/>
              <w:bottom w:val="nil"/>
            </w:tcBorders>
            <w:shd w:val="clear" w:color="auto" w:fill="auto"/>
          </w:tcPr>
          <w:p w14:paraId="3DB88EAD" w14:textId="77777777" w:rsidR="00B91A91" w:rsidRPr="00DE113A" w:rsidRDefault="00B91A91" w:rsidP="00B91A91">
            <w:pPr>
              <w:jc w:val="right"/>
              <w:rPr>
                <w:sz w:val="20"/>
                <w:szCs w:val="20"/>
              </w:rPr>
            </w:pPr>
            <w:r w:rsidRPr="00DE113A">
              <w:rPr>
                <w:sz w:val="20"/>
                <w:szCs w:val="20"/>
              </w:rPr>
              <w:t>194 865</w:t>
            </w:r>
          </w:p>
          <w:p w14:paraId="52C9A084" w14:textId="6C465D82" w:rsidR="00B91A91" w:rsidRPr="00DE113A" w:rsidRDefault="00B91A91" w:rsidP="00B91A91">
            <w:pPr>
              <w:jc w:val="right"/>
              <w:rPr>
                <w:sz w:val="20"/>
                <w:szCs w:val="20"/>
                <w:highlight w:val="yellow"/>
              </w:rPr>
            </w:pPr>
            <w:r w:rsidRPr="00DE113A">
              <w:rPr>
                <w:sz w:val="20"/>
                <w:szCs w:val="20"/>
              </w:rPr>
              <w:t>17 980</w:t>
            </w:r>
          </w:p>
        </w:tc>
        <w:tc>
          <w:tcPr>
            <w:tcW w:w="1417" w:type="dxa"/>
            <w:tcBorders>
              <w:top w:val="nil"/>
              <w:bottom w:val="nil"/>
            </w:tcBorders>
            <w:shd w:val="clear" w:color="auto" w:fill="auto"/>
            <w:vAlign w:val="center"/>
          </w:tcPr>
          <w:p w14:paraId="1FD7CFF0" w14:textId="77777777" w:rsidR="00B91A91" w:rsidRPr="00DE113A" w:rsidRDefault="00B91A91" w:rsidP="00B91A91">
            <w:pPr>
              <w:jc w:val="right"/>
              <w:rPr>
                <w:sz w:val="20"/>
                <w:szCs w:val="20"/>
              </w:rPr>
            </w:pPr>
            <w:r w:rsidRPr="00DE113A">
              <w:rPr>
                <w:sz w:val="20"/>
                <w:szCs w:val="20"/>
              </w:rPr>
              <w:t>205 829</w:t>
            </w:r>
          </w:p>
          <w:p w14:paraId="0CB5D3C1" w14:textId="3550DD24" w:rsidR="00B91A91" w:rsidRPr="00DE113A" w:rsidRDefault="00B91A91" w:rsidP="00B91A91">
            <w:pPr>
              <w:jc w:val="right"/>
              <w:rPr>
                <w:sz w:val="20"/>
                <w:szCs w:val="20"/>
                <w:highlight w:val="yellow"/>
              </w:rPr>
            </w:pPr>
            <w:r w:rsidRPr="00DE113A">
              <w:rPr>
                <w:sz w:val="20"/>
                <w:szCs w:val="20"/>
              </w:rPr>
              <w:t>21 455</w:t>
            </w:r>
          </w:p>
        </w:tc>
        <w:tc>
          <w:tcPr>
            <w:tcW w:w="1418" w:type="dxa"/>
            <w:tcBorders>
              <w:top w:val="nil"/>
              <w:bottom w:val="nil"/>
            </w:tcBorders>
            <w:shd w:val="clear" w:color="auto" w:fill="auto"/>
            <w:vAlign w:val="center"/>
          </w:tcPr>
          <w:p w14:paraId="15E2341E" w14:textId="77777777" w:rsidR="00B91A91" w:rsidRPr="00DE113A" w:rsidRDefault="00B91A91" w:rsidP="00B91A91">
            <w:pPr>
              <w:jc w:val="right"/>
              <w:rPr>
                <w:sz w:val="20"/>
                <w:szCs w:val="20"/>
              </w:rPr>
            </w:pPr>
            <w:r w:rsidRPr="00DE113A">
              <w:rPr>
                <w:sz w:val="20"/>
                <w:szCs w:val="20"/>
              </w:rPr>
              <w:t>224 750</w:t>
            </w:r>
          </w:p>
          <w:p w14:paraId="4AA54931" w14:textId="21F62EA7" w:rsidR="00B91A91" w:rsidRPr="00DE113A" w:rsidRDefault="00B91A91" w:rsidP="00B91A91">
            <w:pPr>
              <w:jc w:val="right"/>
              <w:rPr>
                <w:sz w:val="20"/>
                <w:szCs w:val="20"/>
                <w:highlight w:val="yellow"/>
              </w:rPr>
            </w:pPr>
            <w:r w:rsidRPr="00DE113A">
              <w:rPr>
                <w:sz w:val="20"/>
                <w:szCs w:val="20"/>
              </w:rPr>
              <w:t>21 860</w:t>
            </w:r>
          </w:p>
        </w:tc>
        <w:tc>
          <w:tcPr>
            <w:tcW w:w="997" w:type="dxa"/>
            <w:tcBorders>
              <w:top w:val="nil"/>
              <w:bottom w:val="nil"/>
            </w:tcBorders>
            <w:shd w:val="clear" w:color="auto" w:fill="auto"/>
            <w:vAlign w:val="center"/>
          </w:tcPr>
          <w:p w14:paraId="514F02D3" w14:textId="77777777" w:rsidR="00B91A91" w:rsidRPr="00DE113A" w:rsidRDefault="00B91A91" w:rsidP="00B91A91">
            <w:pPr>
              <w:jc w:val="right"/>
              <w:rPr>
                <w:sz w:val="20"/>
                <w:szCs w:val="20"/>
              </w:rPr>
            </w:pPr>
            <w:r w:rsidRPr="00DE113A">
              <w:rPr>
                <w:sz w:val="20"/>
                <w:szCs w:val="20"/>
              </w:rPr>
              <w:t>109,19</w:t>
            </w:r>
          </w:p>
          <w:p w14:paraId="0B7D96F8" w14:textId="5F2C2D3F" w:rsidR="00B91A91" w:rsidRPr="00DE113A" w:rsidRDefault="00B91A91" w:rsidP="00B91A91">
            <w:pPr>
              <w:jc w:val="right"/>
              <w:rPr>
                <w:sz w:val="20"/>
                <w:szCs w:val="20"/>
                <w:highlight w:val="yellow"/>
              </w:rPr>
            </w:pPr>
            <w:r w:rsidRPr="00DE113A">
              <w:rPr>
                <w:sz w:val="20"/>
                <w:szCs w:val="20"/>
              </w:rPr>
              <w:t>101,89</w:t>
            </w:r>
          </w:p>
        </w:tc>
      </w:tr>
      <w:tr w:rsidR="00DE113A" w:rsidRPr="00DE113A" w14:paraId="15F18FB7" w14:textId="77777777" w:rsidTr="00C01D38">
        <w:tc>
          <w:tcPr>
            <w:tcW w:w="4252" w:type="dxa"/>
            <w:tcBorders>
              <w:top w:val="nil"/>
              <w:bottom w:val="nil"/>
            </w:tcBorders>
            <w:shd w:val="clear" w:color="auto" w:fill="auto"/>
          </w:tcPr>
          <w:p w14:paraId="2B904375" w14:textId="77777777" w:rsidR="00B91A91" w:rsidRPr="00DE113A" w:rsidRDefault="00B91A91" w:rsidP="00B91A91">
            <w:pPr>
              <w:rPr>
                <w:sz w:val="20"/>
                <w:szCs w:val="20"/>
              </w:rPr>
            </w:pPr>
            <w:r w:rsidRPr="00DE113A">
              <w:rPr>
                <w:sz w:val="20"/>
                <w:szCs w:val="20"/>
              </w:rPr>
              <w:t>příděl FKSP</w:t>
            </w:r>
          </w:p>
          <w:p w14:paraId="529A52B8" w14:textId="5878B9DE" w:rsidR="00B91A91" w:rsidRPr="00DE113A" w:rsidRDefault="00B91A91" w:rsidP="00B91A91">
            <w:pPr>
              <w:rPr>
                <w:sz w:val="20"/>
                <w:szCs w:val="20"/>
                <w:highlight w:val="yellow"/>
              </w:rPr>
            </w:pPr>
            <w:r w:rsidRPr="00DE113A">
              <w:rPr>
                <w:sz w:val="20"/>
                <w:szCs w:val="20"/>
              </w:rPr>
              <w:t xml:space="preserve">      z toho: prostředky EU</w:t>
            </w:r>
          </w:p>
        </w:tc>
        <w:tc>
          <w:tcPr>
            <w:tcW w:w="1418" w:type="dxa"/>
            <w:tcBorders>
              <w:top w:val="nil"/>
              <w:bottom w:val="nil"/>
            </w:tcBorders>
            <w:shd w:val="clear" w:color="auto" w:fill="auto"/>
          </w:tcPr>
          <w:p w14:paraId="7208F033" w14:textId="77777777" w:rsidR="00B91A91" w:rsidRPr="00DE113A" w:rsidRDefault="00B91A91" w:rsidP="00B91A91">
            <w:pPr>
              <w:jc w:val="right"/>
              <w:rPr>
                <w:sz w:val="20"/>
                <w:szCs w:val="20"/>
              </w:rPr>
            </w:pPr>
            <w:r w:rsidRPr="00DE113A">
              <w:rPr>
                <w:sz w:val="20"/>
                <w:szCs w:val="20"/>
              </w:rPr>
              <w:t>11 469</w:t>
            </w:r>
          </w:p>
          <w:p w14:paraId="6F64D6D3" w14:textId="5BF3CBBD" w:rsidR="00B91A91" w:rsidRPr="00DE113A" w:rsidRDefault="00B91A91" w:rsidP="00B91A91">
            <w:pPr>
              <w:jc w:val="right"/>
              <w:rPr>
                <w:sz w:val="20"/>
                <w:szCs w:val="20"/>
                <w:highlight w:val="yellow"/>
              </w:rPr>
            </w:pPr>
            <w:r w:rsidRPr="00DE113A">
              <w:rPr>
                <w:sz w:val="20"/>
                <w:szCs w:val="20"/>
              </w:rPr>
              <w:t>1 045</w:t>
            </w:r>
          </w:p>
        </w:tc>
        <w:tc>
          <w:tcPr>
            <w:tcW w:w="1417" w:type="dxa"/>
            <w:tcBorders>
              <w:top w:val="nil"/>
              <w:bottom w:val="nil"/>
            </w:tcBorders>
            <w:shd w:val="clear" w:color="auto" w:fill="auto"/>
            <w:vAlign w:val="center"/>
          </w:tcPr>
          <w:p w14:paraId="39DADFB1" w14:textId="77777777" w:rsidR="00B91A91" w:rsidRPr="00DE113A" w:rsidRDefault="00B91A91" w:rsidP="00B91A91">
            <w:pPr>
              <w:jc w:val="right"/>
              <w:rPr>
                <w:sz w:val="20"/>
                <w:szCs w:val="20"/>
              </w:rPr>
            </w:pPr>
            <w:r w:rsidRPr="00DE113A">
              <w:rPr>
                <w:sz w:val="20"/>
                <w:szCs w:val="20"/>
              </w:rPr>
              <w:t>5 962</w:t>
            </w:r>
          </w:p>
          <w:p w14:paraId="27CB1FBB" w14:textId="1CC44CD0" w:rsidR="00B91A91" w:rsidRPr="00DE113A" w:rsidRDefault="00B91A91" w:rsidP="00B91A91">
            <w:pPr>
              <w:jc w:val="right"/>
              <w:rPr>
                <w:sz w:val="20"/>
                <w:szCs w:val="20"/>
                <w:highlight w:val="yellow"/>
              </w:rPr>
            </w:pPr>
            <w:r w:rsidRPr="00DE113A">
              <w:rPr>
                <w:sz w:val="20"/>
                <w:szCs w:val="20"/>
              </w:rPr>
              <w:t>591</w:t>
            </w:r>
          </w:p>
        </w:tc>
        <w:tc>
          <w:tcPr>
            <w:tcW w:w="1418" w:type="dxa"/>
            <w:tcBorders>
              <w:top w:val="nil"/>
              <w:bottom w:val="nil"/>
            </w:tcBorders>
            <w:shd w:val="clear" w:color="auto" w:fill="auto"/>
            <w:vAlign w:val="center"/>
          </w:tcPr>
          <w:p w14:paraId="371CB4B9" w14:textId="77777777" w:rsidR="00B91A91" w:rsidRPr="00DE113A" w:rsidRDefault="00B91A91" w:rsidP="00B91A91">
            <w:pPr>
              <w:jc w:val="right"/>
              <w:rPr>
                <w:sz w:val="20"/>
                <w:szCs w:val="20"/>
              </w:rPr>
            </w:pPr>
            <w:r w:rsidRPr="00DE113A">
              <w:rPr>
                <w:sz w:val="20"/>
                <w:szCs w:val="20"/>
              </w:rPr>
              <w:t>6 530</w:t>
            </w:r>
          </w:p>
          <w:p w14:paraId="5B4BA7D7" w14:textId="634DEEE1" w:rsidR="00B91A91" w:rsidRPr="00DE113A" w:rsidRDefault="00B91A91" w:rsidP="00B91A91">
            <w:pPr>
              <w:jc w:val="right"/>
              <w:rPr>
                <w:sz w:val="20"/>
                <w:szCs w:val="20"/>
                <w:highlight w:val="yellow"/>
              </w:rPr>
            </w:pPr>
            <w:r w:rsidRPr="00DE113A">
              <w:rPr>
                <w:sz w:val="20"/>
                <w:szCs w:val="20"/>
              </w:rPr>
              <w:t>611</w:t>
            </w:r>
          </w:p>
        </w:tc>
        <w:tc>
          <w:tcPr>
            <w:tcW w:w="997" w:type="dxa"/>
            <w:tcBorders>
              <w:top w:val="nil"/>
              <w:bottom w:val="nil"/>
            </w:tcBorders>
            <w:shd w:val="clear" w:color="auto" w:fill="auto"/>
            <w:vAlign w:val="center"/>
          </w:tcPr>
          <w:p w14:paraId="77684B36" w14:textId="77777777" w:rsidR="00B91A91" w:rsidRPr="00DE113A" w:rsidRDefault="00B91A91" w:rsidP="00B91A91">
            <w:pPr>
              <w:jc w:val="right"/>
              <w:rPr>
                <w:sz w:val="20"/>
                <w:szCs w:val="20"/>
              </w:rPr>
            </w:pPr>
            <w:r w:rsidRPr="00DE113A">
              <w:rPr>
                <w:sz w:val="20"/>
                <w:szCs w:val="20"/>
              </w:rPr>
              <w:t>109,53</w:t>
            </w:r>
          </w:p>
          <w:p w14:paraId="4D1ABDD6" w14:textId="771A48BB" w:rsidR="00B91A91" w:rsidRPr="00DE113A" w:rsidRDefault="00B91A91" w:rsidP="00B91A91">
            <w:pPr>
              <w:jc w:val="right"/>
              <w:rPr>
                <w:sz w:val="20"/>
                <w:szCs w:val="20"/>
                <w:highlight w:val="yellow"/>
              </w:rPr>
            </w:pPr>
            <w:r w:rsidRPr="00DE113A">
              <w:rPr>
                <w:sz w:val="20"/>
                <w:szCs w:val="20"/>
              </w:rPr>
              <w:t>103,38</w:t>
            </w:r>
          </w:p>
        </w:tc>
      </w:tr>
      <w:tr w:rsidR="00DE113A" w:rsidRPr="00DE113A" w14:paraId="0EB21DA6" w14:textId="77777777" w:rsidTr="00C01D38">
        <w:tc>
          <w:tcPr>
            <w:tcW w:w="4252" w:type="dxa"/>
            <w:tcBorders>
              <w:top w:val="nil"/>
              <w:bottom w:val="nil"/>
            </w:tcBorders>
            <w:shd w:val="clear" w:color="auto" w:fill="auto"/>
          </w:tcPr>
          <w:p w14:paraId="6F231DAB" w14:textId="3096DE42" w:rsidR="00B91A91" w:rsidRPr="00DE113A" w:rsidRDefault="00B91A91" w:rsidP="00B91A91">
            <w:pPr>
              <w:rPr>
                <w:sz w:val="20"/>
                <w:szCs w:val="20"/>
                <w:highlight w:val="yellow"/>
              </w:rPr>
            </w:pPr>
            <w:r w:rsidRPr="00DE113A">
              <w:rPr>
                <w:sz w:val="20"/>
                <w:szCs w:val="20"/>
              </w:rPr>
              <w:t>ostatní neinvestiční výdaje</w:t>
            </w:r>
          </w:p>
        </w:tc>
        <w:tc>
          <w:tcPr>
            <w:tcW w:w="1418" w:type="dxa"/>
            <w:tcBorders>
              <w:top w:val="nil"/>
              <w:bottom w:val="nil"/>
            </w:tcBorders>
            <w:shd w:val="clear" w:color="auto" w:fill="auto"/>
          </w:tcPr>
          <w:p w14:paraId="3136202F" w14:textId="7C783EDD" w:rsidR="00B91A91" w:rsidRPr="00DE113A" w:rsidRDefault="00B91A91" w:rsidP="00B91A91">
            <w:pPr>
              <w:jc w:val="right"/>
              <w:rPr>
                <w:sz w:val="20"/>
                <w:szCs w:val="20"/>
                <w:highlight w:val="yellow"/>
              </w:rPr>
            </w:pPr>
            <w:r w:rsidRPr="00DE113A">
              <w:rPr>
                <w:sz w:val="20"/>
                <w:szCs w:val="20"/>
              </w:rPr>
              <w:t xml:space="preserve">5 527 082 </w:t>
            </w:r>
          </w:p>
        </w:tc>
        <w:tc>
          <w:tcPr>
            <w:tcW w:w="1417" w:type="dxa"/>
            <w:tcBorders>
              <w:top w:val="nil"/>
              <w:bottom w:val="nil"/>
            </w:tcBorders>
            <w:shd w:val="clear" w:color="auto" w:fill="auto"/>
            <w:vAlign w:val="center"/>
          </w:tcPr>
          <w:p w14:paraId="047D76AE" w14:textId="12D41FFE" w:rsidR="00B91A91" w:rsidRPr="00DE113A" w:rsidRDefault="00B91A91" w:rsidP="00B91A91">
            <w:pPr>
              <w:jc w:val="right"/>
              <w:rPr>
                <w:sz w:val="20"/>
                <w:szCs w:val="20"/>
                <w:highlight w:val="yellow"/>
              </w:rPr>
            </w:pPr>
            <w:r w:rsidRPr="00DE113A">
              <w:rPr>
                <w:sz w:val="20"/>
                <w:szCs w:val="20"/>
              </w:rPr>
              <w:t>6 527 969</w:t>
            </w:r>
          </w:p>
        </w:tc>
        <w:tc>
          <w:tcPr>
            <w:tcW w:w="1418" w:type="dxa"/>
            <w:tcBorders>
              <w:top w:val="nil"/>
              <w:bottom w:val="nil"/>
            </w:tcBorders>
            <w:shd w:val="clear" w:color="auto" w:fill="auto"/>
            <w:vAlign w:val="center"/>
          </w:tcPr>
          <w:p w14:paraId="5C3EAF40" w14:textId="0DCA3995" w:rsidR="00B91A91" w:rsidRPr="00DE113A" w:rsidRDefault="00B91A91" w:rsidP="00B91A91">
            <w:pPr>
              <w:jc w:val="right"/>
              <w:rPr>
                <w:sz w:val="20"/>
                <w:szCs w:val="20"/>
                <w:highlight w:val="yellow"/>
              </w:rPr>
            </w:pPr>
            <w:r w:rsidRPr="00DE113A">
              <w:rPr>
                <w:sz w:val="20"/>
                <w:szCs w:val="20"/>
              </w:rPr>
              <w:t>6 633 640</w:t>
            </w:r>
          </w:p>
        </w:tc>
        <w:tc>
          <w:tcPr>
            <w:tcW w:w="997" w:type="dxa"/>
            <w:tcBorders>
              <w:top w:val="nil"/>
              <w:bottom w:val="nil"/>
            </w:tcBorders>
            <w:shd w:val="clear" w:color="auto" w:fill="auto"/>
            <w:vAlign w:val="center"/>
          </w:tcPr>
          <w:p w14:paraId="6BD6135F" w14:textId="541071F5" w:rsidR="00B91A91" w:rsidRPr="00DE113A" w:rsidRDefault="00B91A91" w:rsidP="00B91A91">
            <w:pPr>
              <w:jc w:val="right"/>
              <w:rPr>
                <w:sz w:val="20"/>
                <w:szCs w:val="20"/>
                <w:highlight w:val="yellow"/>
              </w:rPr>
            </w:pPr>
            <w:r w:rsidRPr="00DE113A">
              <w:rPr>
                <w:sz w:val="20"/>
                <w:szCs w:val="20"/>
              </w:rPr>
              <w:t xml:space="preserve">101,62          </w:t>
            </w:r>
          </w:p>
        </w:tc>
      </w:tr>
      <w:tr w:rsidR="00DE113A" w:rsidRPr="00DE113A" w14:paraId="598BEE6B" w14:textId="77777777" w:rsidTr="00C01D38">
        <w:tc>
          <w:tcPr>
            <w:tcW w:w="4252" w:type="dxa"/>
            <w:tcBorders>
              <w:top w:val="nil"/>
              <w:bottom w:val="nil"/>
            </w:tcBorders>
            <w:shd w:val="clear" w:color="auto" w:fill="auto"/>
          </w:tcPr>
          <w:p w14:paraId="62281FC7" w14:textId="4D3A1E3E" w:rsidR="00B91A91" w:rsidRPr="00DE113A" w:rsidRDefault="00B91A91" w:rsidP="00B91A91">
            <w:pPr>
              <w:tabs>
                <w:tab w:val="left" w:pos="340"/>
                <w:tab w:val="left" w:pos="656"/>
              </w:tabs>
              <w:rPr>
                <w:sz w:val="20"/>
                <w:szCs w:val="20"/>
                <w:highlight w:val="yellow"/>
              </w:rPr>
            </w:pPr>
            <w:r w:rsidRPr="00DE113A">
              <w:rPr>
                <w:sz w:val="20"/>
                <w:szCs w:val="20"/>
              </w:rPr>
              <w:t xml:space="preserve">      z toho: kompenzace slev jízdného</w:t>
            </w:r>
          </w:p>
        </w:tc>
        <w:tc>
          <w:tcPr>
            <w:tcW w:w="1418" w:type="dxa"/>
            <w:tcBorders>
              <w:top w:val="nil"/>
              <w:bottom w:val="nil"/>
            </w:tcBorders>
            <w:shd w:val="clear" w:color="auto" w:fill="auto"/>
            <w:vAlign w:val="center"/>
          </w:tcPr>
          <w:p w14:paraId="3857F128" w14:textId="263A3AFF" w:rsidR="00B91A91" w:rsidRPr="00DE113A" w:rsidRDefault="00B91A91" w:rsidP="00B91A91">
            <w:pPr>
              <w:ind w:right="10"/>
              <w:jc w:val="right"/>
              <w:rPr>
                <w:sz w:val="20"/>
                <w:szCs w:val="20"/>
                <w:highlight w:val="yellow"/>
              </w:rPr>
            </w:pPr>
            <w:r w:rsidRPr="00DE113A">
              <w:rPr>
                <w:sz w:val="20"/>
                <w:szCs w:val="20"/>
              </w:rPr>
              <w:t xml:space="preserve">4 663 026 </w:t>
            </w:r>
          </w:p>
        </w:tc>
        <w:tc>
          <w:tcPr>
            <w:tcW w:w="1417" w:type="dxa"/>
            <w:tcBorders>
              <w:top w:val="nil"/>
              <w:bottom w:val="nil"/>
            </w:tcBorders>
            <w:shd w:val="clear" w:color="auto" w:fill="auto"/>
            <w:vAlign w:val="center"/>
          </w:tcPr>
          <w:p w14:paraId="20CB5989" w14:textId="54EF1283" w:rsidR="00B91A91" w:rsidRPr="00DE113A" w:rsidRDefault="00B91A91" w:rsidP="00B91A91">
            <w:pPr>
              <w:jc w:val="right"/>
              <w:rPr>
                <w:sz w:val="20"/>
                <w:szCs w:val="20"/>
                <w:highlight w:val="yellow"/>
              </w:rPr>
            </w:pPr>
            <w:r w:rsidRPr="00DE113A">
              <w:rPr>
                <w:sz w:val="20"/>
                <w:szCs w:val="20"/>
              </w:rPr>
              <w:t>5 500 000</w:t>
            </w:r>
          </w:p>
        </w:tc>
        <w:tc>
          <w:tcPr>
            <w:tcW w:w="1418" w:type="dxa"/>
            <w:tcBorders>
              <w:top w:val="nil"/>
              <w:bottom w:val="nil"/>
            </w:tcBorders>
            <w:shd w:val="clear" w:color="auto" w:fill="auto"/>
            <w:vAlign w:val="center"/>
          </w:tcPr>
          <w:p w14:paraId="3436939E" w14:textId="681F4821" w:rsidR="00B91A91" w:rsidRPr="00DE113A" w:rsidRDefault="00B91A91" w:rsidP="00B91A91">
            <w:pPr>
              <w:jc w:val="right"/>
              <w:rPr>
                <w:sz w:val="20"/>
                <w:szCs w:val="20"/>
                <w:highlight w:val="yellow"/>
              </w:rPr>
            </w:pPr>
            <w:r w:rsidRPr="00DE113A">
              <w:rPr>
                <w:sz w:val="20"/>
                <w:szCs w:val="20"/>
              </w:rPr>
              <w:t>5 500 000</w:t>
            </w:r>
          </w:p>
        </w:tc>
        <w:tc>
          <w:tcPr>
            <w:tcW w:w="997" w:type="dxa"/>
            <w:tcBorders>
              <w:top w:val="nil"/>
              <w:bottom w:val="nil"/>
            </w:tcBorders>
            <w:shd w:val="clear" w:color="auto" w:fill="auto"/>
            <w:vAlign w:val="center"/>
          </w:tcPr>
          <w:p w14:paraId="2CC9ECBE" w14:textId="2731CA08" w:rsidR="00B91A91" w:rsidRPr="00DE113A" w:rsidRDefault="00B91A91" w:rsidP="00B91A91">
            <w:pPr>
              <w:jc w:val="right"/>
              <w:rPr>
                <w:sz w:val="20"/>
                <w:szCs w:val="20"/>
                <w:highlight w:val="yellow"/>
              </w:rPr>
            </w:pPr>
            <w:r w:rsidRPr="00DE113A">
              <w:rPr>
                <w:sz w:val="20"/>
                <w:szCs w:val="20"/>
              </w:rPr>
              <w:t>100,00</w:t>
            </w:r>
          </w:p>
        </w:tc>
      </w:tr>
      <w:tr w:rsidR="00DE113A" w:rsidRPr="00DE113A" w14:paraId="4B9272D7" w14:textId="77777777" w:rsidTr="00C01D38">
        <w:tc>
          <w:tcPr>
            <w:tcW w:w="4252" w:type="dxa"/>
            <w:tcBorders>
              <w:top w:val="nil"/>
              <w:bottom w:val="nil"/>
            </w:tcBorders>
            <w:shd w:val="clear" w:color="auto" w:fill="auto"/>
          </w:tcPr>
          <w:p w14:paraId="68465DF4" w14:textId="41513D90" w:rsidR="00B91A91" w:rsidRPr="00DE113A" w:rsidRDefault="00B91A91" w:rsidP="00B91A91">
            <w:pPr>
              <w:tabs>
                <w:tab w:val="left" w:pos="340"/>
                <w:tab w:val="left" w:pos="656"/>
              </w:tabs>
              <w:ind w:left="599"/>
              <w:rPr>
                <w:sz w:val="20"/>
                <w:szCs w:val="20"/>
                <w:highlight w:val="yellow"/>
              </w:rPr>
            </w:pPr>
            <w:r w:rsidRPr="00DE113A">
              <w:rPr>
                <w:sz w:val="20"/>
                <w:szCs w:val="20"/>
              </w:rPr>
              <w:t xml:space="preserve">      dopravně správní agendy (pol. 5139)</w:t>
            </w:r>
          </w:p>
        </w:tc>
        <w:tc>
          <w:tcPr>
            <w:tcW w:w="1418" w:type="dxa"/>
            <w:tcBorders>
              <w:top w:val="nil"/>
              <w:bottom w:val="nil"/>
            </w:tcBorders>
            <w:shd w:val="clear" w:color="auto" w:fill="auto"/>
            <w:vAlign w:val="center"/>
          </w:tcPr>
          <w:p w14:paraId="6E8F46BC" w14:textId="56E31A0C" w:rsidR="00B91A91" w:rsidRPr="00DE113A" w:rsidRDefault="00B91A91" w:rsidP="00B91A91">
            <w:pPr>
              <w:ind w:right="10"/>
              <w:jc w:val="right"/>
              <w:rPr>
                <w:sz w:val="20"/>
                <w:szCs w:val="20"/>
                <w:highlight w:val="yellow"/>
              </w:rPr>
            </w:pPr>
            <w:r w:rsidRPr="00DE113A">
              <w:rPr>
                <w:sz w:val="20"/>
                <w:szCs w:val="20"/>
              </w:rPr>
              <w:t>199 230</w:t>
            </w:r>
          </w:p>
        </w:tc>
        <w:tc>
          <w:tcPr>
            <w:tcW w:w="1417" w:type="dxa"/>
            <w:tcBorders>
              <w:top w:val="nil"/>
              <w:bottom w:val="nil"/>
            </w:tcBorders>
            <w:shd w:val="clear" w:color="auto" w:fill="auto"/>
            <w:vAlign w:val="center"/>
          </w:tcPr>
          <w:p w14:paraId="0999861F" w14:textId="6807461B" w:rsidR="00B91A91" w:rsidRPr="00DE113A" w:rsidRDefault="00B91A91" w:rsidP="00B91A91">
            <w:pPr>
              <w:jc w:val="right"/>
              <w:rPr>
                <w:sz w:val="20"/>
                <w:szCs w:val="20"/>
                <w:highlight w:val="yellow"/>
              </w:rPr>
            </w:pPr>
            <w:r w:rsidRPr="00DE113A">
              <w:rPr>
                <w:sz w:val="20"/>
              </w:rPr>
              <w:t>228 371</w:t>
            </w:r>
          </w:p>
        </w:tc>
        <w:tc>
          <w:tcPr>
            <w:tcW w:w="1418" w:type="dxa"/>
            <w:tcBorders>
              <w:top w:val="nil"/>
              <w:bottom w:val="nil"/>
            </w:tcBorders>
            <w:shd w:val="clear" w:color="auto" w:fill="auto"/>
            <w:vAlign w:val="center"/>
          </w:tcPr>
          <w:p w14:paraId="61BB156C" w14:textId="3C9EAB74" w:rsidR="00B91A91" w:rsidRPr="00DE113A" w:rsidRDefault="00B91A91" w:rsidP="00B91A91">
            <w:pPr>
              <w:jc w:val="right"/>
              <w:rPr>
                <w:sz w:val="20"/>
                <w:highlight w:val="yellow"/>
              </w:rPr>
            </w:pPr>
            <w:r w:rsidRPr="00DE113A">
              <w:rPr>
                <w:sz w:val="20"/>
              </w:rPr>
              <w:t>246 100</w:t>
            </w:r>
          </w:p>
        </w:tc>
        <w:tc>
          <w:tcPr>
            <w:tcW w:w="997" w:type="dxa"/>
            <w:tcBorders>
              <w:top w:val="nil"/>
              <w:bottom w:val="nil"/>
            </w:tcBorders>
            <w:shd w:val="clear" w:color="auto" w:fill="auto"/>
            <w:vAlign w:val="center"/>
          </w:tcPr>
          <w:p w14:paraId="6131B8FC" w14:textId="44CB94F5" w:rsidR="00B91A91" w:rsidRPr="00DE113A" w:rsidRDefault="00B91A91" w:rsidP="00B91A91">
            <w:pPr>
              <w:jc w:val="right"/>
              <w:rPr>
                <w:sz w:val="20"/>
                <w:szCs w:val="20"/>
                <w:highlight w:val="yellow"/>
              </w:rPr>
            </w:pPr>
            <w:r w:rsidRPr="00DE113A">
              <w:rPr>
                <w:sz w:val="20"/>
                <w:szCs w:val="20"/>
              </w:rPr>
              <w:t>107,76</w:t>
            </w:r>
          </w:p>
        </w:tc>
      </w:tr>
      <w:tr w:rsidR="00DE113A" w:rsidRPr="00DE113A" w14:paraId="142E69AA" w14:textId="77777777" w:rsidTr="00C01D38">
        <w:tc>
          <w:tcPr>
            <w:tcW w:w="4252" w:type="dxa"/>
            <w:tcBorders>
              <w:top w:val="nil"/>
              <w:bottom w:val="nil"/>
            </w:tcBorders>
            <w:shd w:val="clear" w:color="auto" w:fill="auto"/>
          </w:tcPr>
          <w:p w14:paraId="4C4C6D09" w14:textId="1444ED29" w:rsidR="00B91A91" w:rsidRPr="00DE113A" w:rsidRDefault="00B91A91" w:rsidP="00B91A91">
            <w:pPr>
              <w:rPr>
                <w:sz w:val="20"/>
                <w:szCs w:val="20"/>
                <w:highlight w:val="yellow"/>
              </w:rPr>
            </w:pPr>
            <w:r w:rsidRPr="00DE113A">
              <w:rPr>
                <w:sz w:val="20"/>
                <w:szCs w:val="20"/>
              </w:rPr>
              <w:t xml:space="preserve">                  programové financování (EDS/SMVS)</w:t>
            </w:r>
          </w:p>
        </w:tc>
        <w:tc>
          <w:tcPr>
            <w:tcW w:w="1418" w:type="dxa"/>
            <w:tcBorders>
              <w:top w:val="nil"/>
              <w:bottom w:val="nil"/>
            </w:tcBorders>
            <w:shd w:val="clear" w:color="auto" w:fill="auto"/>
            <w:vAlign w:val="center"/>
          </w:tcPr>
          <w:p w14:paraId="2AFFBE53" w14:textId="5E2E8EC4" w:rsidR="00B91A91" w:rsidRPr="00DE113A" w:rsidRDefault="00B91A91" w:rsidP="00B91A91">
            <w:pPr>
              <w:ind w:right="10"/>
              <w:jc w:val="right"/>
              <w:rPr>
                <w:sz w:val="20"/>
                <w:szCs w:val="20"/>
                <w:highlight w:val="yellow"/>
              </w:rPr>
            </w:pPr>
            <w:r w:rsidRPr="00DE113A">
              <w:rPr>
                <w:sz w:val="20"/>
                <w:szCs w:val="20"/>
              </w:rPr>
              <w:t>153 308</w:t>
            </w:r>
          </w:p>
        </w:tc>
        <w:tc>
          <w:tcPr>
            <w:tcW w:w="1417" w:type="dxa"/>
            <w:tcBorders>
              <w:top w:val="nil"/>
              <w:bottom w:val="nil"/>
            </w:tcBorders>
            <w:shd w:val="clear" w:color="auto" w:fill="auto"/>
            <w:vAlign w:val="center"/>
          </w:tcPr>
          <w:p w14:paraId="303537A4" w14:textId="05213DED" w:rsidR="00B91A91" w:rsidRPr="00DE113A" w:rsidRDefault="00B91A91" w:rsidP="00B91A91">
            <w:pPr>
              <w:jc w:val="right"/>
              <w:rPr>
                <w:sz w:val="20"/>
                <w:szCs w:val="20"/>
                <w:highlight w:val="yellow"/>
              </w:rPr>
            </w:pPr>
            <w:r w:rsidRPr="00DE113A">
              <w:rPr>
                <w:sz w:val="20"/>
                <w:szCs w:val="20"/>
              </w:rPr>
              <w:t>98 556</w:t>
            </w:r>
          </w:p>
        </w:tc>
        <w:tc>
          <w:tcPr>
            <w:tcW w:w="1418" w:type="dxa"/>
            <w:tcBorders>
              <w:top w:val="nil"/>
              <w:bottom w:val="nil"/>
            </w:tcBorders>
            <w:shd w:val="clear" w:color="auto" w:fill="auto"/>
            <w:vAlign w:val="center"/>
          </w:tcPr>
          <w:p w14:paraId="04A45EFB" w14:textId="36EA44F9" w:rsidR="00B91A91" w:rsidRPr="00DE113A" w:rsidRDefault="00B91A91" w:rsidP="00B91A91">
            <w:pPr>
              <w:jc w:val="right"/>
              <w:rPr>
                <w:sz w:val="20"/>
                <w:szCs w:val="20"/>
                <w:highlight w:val="yellow"/>
              </w:rPr>
            </w:pPr>
            <w:r w:rsidRPr="00DE113A">
              <w:rPr>
                <w:sz w:val="20"/>
                <w:szCs w:val="20"/>
              </w:rPr>
              <w:t>139 869</w:t>
            </w:r>
          </w:p>
        </w:tc>
        <w:tc>
          <w:tcPr>
            <w:tcW w:w="997" w:type="dxa"/>
            <w:tcBorders>
              <w:top w:val="nil"/>
              <w:bottom w:val="nil"/>
            </w:tcBorders>
            <w:shd w:val="clear" w:color="auto" w:fill="auto"/>
            <w:vAlign w:val="center"/>
          </w:tcPr>
          <w:p w14:paraId="30DC72D7" w14:textId="3BF323D1" w:rsidR="00B91A91" w:rsidRPr="00DE113A" w:rsidRDefault="00B91A91" w:rsidP="00B91A91">
            <w:pPr>
              <w:jc w:val="right"/>
              <w:rPr>
                <w:sz w:val="20"/>
                <w:szCs w:val="20"/>
                <w:highlight w:val="yellow"/>
              </w:rPr>
            </w:pPr>
            <w:r w:rsidRPr="00DE113A">
              <w:rPr>
                <w:sz w:val="20"/>
                <w:szCs w:val="20"/>
              </w:rPr>
              <w:t>141,92</w:t>
            </w:r>
          </w:p>
        </w:tc>
      </w:tr>
      <w:tr w:rsidR="00DE113A" w:rsidRPr="00DE113A" w14:paraId="56049D31" w14:textId="77777777" w:rsidTr="00C01D38">
        <w:trPr>
          <w:trHeight w:val="230"/>
        </w:trPr>
        <w:tc>
          <w:tcPr>
            <w:tcW w:w="4252" w:type="dxa"/>
            <w:tcBorders>
              <w:top w:val="nil"/>
              <w:bottom w:val="single" w:sz="8" w:space="0" w:color="7F7F7F" w:themeColor="text1" w:themeTint="80"/>
            </w:tcBorders>
            <w:shd w:val="clear" w:color="auto" w:fill="auto"/>
          </w:tcPr>
          <w:p w14:paraId="53986424" w14:textId="38C845B4" w:rsidR="00B91A91" w:rsidRPr="00DE113A" w:rsidRDefault="00B91A91" w:rsidP="00B91A91">
            <w:pPr>
              <w:rPr>
                <w:sz w:val="20"/>
                <w:szCs w:val="20"/>
                <w:highlight w:val="yellow"/>
              </w:rPr>
            </w:pPr>
            <w:r w:rsidRPr="00DE113A">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18469A90" w14:textId="4B4E1148" w:rsidR="00B91A91" w:rsidRPr="00DE113A" w:rsidRDefault="00B91A91" w:rsidP="00B91A91">
            <w:pPr>
              <w:ind w:right="10"/>
              <w:jc w:val="right"/>
              <w:rPr>
                <w:sz w:val="20"/>
                <w:szCs w:val="20"/>
                <w:highlight w:val="yellow"/>
              </w:rPr>
            </w:pPr>
            <w:r w:rsidRPr="00DE113A">
              <w:rPr>
                <w:sz w:val="20"/>
                <w:szCs w:val="20"/>
              </w:rPr>
              <w:t>8 628</w:t>
            </w:r>
          </w:p>
        </w:tc>
        <w:tc>
          <w:tcPr>
            <w:tcW w:w="1417" w:type="dxa"/>
            <w:tcBorders>
              <w:top w:val="nil"/>
              <w:bottom w:val="single" w:sz="8" w:space="0" w:color="7F7F7F" w:themeColor="text1" w:themeTint="80"/>
            </w:tcBorders>
            <w:shd w:val="clear" w:color="auto" w:fill="auto"/>
          </w:tcPr>
          <w:p w14:paraId="67A445D9" w14:textId="6563A8DC" w:rsidR="00B91A91" w:rsidRPr="00DE113A" w:rsidRDefault="00B91A91" w:rsidP="00B91A91">
            <w:pPr>
              <w:jc w:val="right"/>
              <w:rPr>
                <w:sz w:val="20"/>
                <w:szCs w:val="20"/>
                <w:highlight w:val="yellow"/>
              </w:rPr>
            </w:pPr>
            <w:r w:rsidRPr="00DE113A">
              <w:rPr>
                <w:sz w:val="20"/>
                <w:szCs w:val="20"/>
              </w:rPr>
              <w:t xml:space="preserve">8 755           </w:t>
            </w:r>
          </w:p>
        </w:tc>
        <w:tc>
          <w:tcPr>
            <w:tcW w:w="1418" w:type="dxa"/>
            <w:tcBorders>
              <w:top w:val="nil"/>
              <w:bottom w:val="single" w:sz="8" w:space="0" w:color="7F7F7F" w:themeColor="text1" w:themeTint="80"/>
            </w:tcBorders>
            <w:shd w:val="clear" w:color="auto" w:fill="auto"/>
          </w:tcPr>
          <w:p w14:paraId="2418973C" w14:textId="525A6EA0" w:rsidR="00B91A91" w:rsidRPr="00DE113A" w:rsidRDefault="00B91A91" w:rsidP="00B91A91">
            <w:pPr>
              <w:jc w:val="right"/>
              <w:rPr>
                <w:sz w:val="20"/>
                <w:szCs w:val="20"/>
                <w:highlight w:val="yellow"/>
              </w:rPr>
            </w:pPr>
            <w:r w:rsidRPr="00DE113A">
              <w:rPr>
                <w:sz w:val="20"/>
                <w:szCs w:val="20"/>
              </w:rPr>
              <w:t xml:space="preserve">5 332          </w:t>
            </w:r>
          </w:p>
        </w:tc>
        <w:tc>
          <w:tcPr>
            <w:tcW w:w="997" w:type="dxa"/>
            <w:tcBorders>
              <w:top w:val="nil"/>
              <w:bottom w:val="single" w:sz="8" w:space="0" w:color="7F7F7F" w:themeColor="text1" w:themeTint="80"/>
            </w:tcBorders>
            <w:shd w:val="clear" w:color="auto" w:fill="auto"/>
          </w:tcPr>
          <w:p w14:paraId="5E6EA6DF" w14:textId="7252D8A6" w:rsidR="00B91A91" w:rsidRPr="00DE113A" w:rsidRDefault="00B91A91" w:rsidP="00B91A91">
            <w:pPr>
              <w:jc w:val="right"/>
              <w:rPr>
                <w:sz w:val="20"/>
                <w:szCs w:val="20"/>
                <w:highlight w:val="yellow"/>
              </w:rPr>
            </w:pPr>
            <w:r w:rsidRPr="00DE113A">
              <w:rPr>
                <w:sz w:val="20"/>
                <w:szCs w:val="20"/>
              </w:rPr>
              <w:t>60,90</w:t>
            </w:r>
          </w:p>
        </w:tc>
      </w:tr>
      <w:tr w:rsidR="00DE113A" w:rsidRPr="00DE113A" w14:paraId="260814DA" w14:textId="77777777" w:rsidTr="00C01D38">
        <w:tc>
          <w:tcPr>
            <w:tcW w:w="4252" w:type="dxa"/>
            <w:tcBorders>
              <w:top w:val="single" w:sz="8" w:space="0" w:color="7F7F7F" w:themeColor="text1" w:themeTint="80"/>
              <w:bottom w:val="nil"/>
            </w:tcBorders>
            <w:shd w:val="clear" w:color="auto" w:fill="auto"/>
          </w:tcPr>
          <w:p w14:paraId="0A0F3506" w14:textId="4B84064A" w:rsidR="00217185" w:rsidRPr="00DE113A" w:rsidRDefault="00217185" w:rsidP="00217185">
            <w:pPr>
              <w:tabs>
                <w:tab w:val="left" w:pos="564"/>
              </w:tabs>
              <w:jc w:val="left"/>
              <w:rPr>
                <w:b/>
                <w:sz w:val="20"/>
                <w:szCs w:val="20"/>
                <w:highlight w:val="yellow"/>
              </w:rPr>
            </w:pPr>
            <w:r w:rsidRPr="00DE113A">
              <w:rPr>
                <w:b/>
                <w:sz w:val="20"/>
                <w:szCs w:val="20"/>
              </w:rPr>
              <w:t xml:space="preserve">Neinvestiční transfery příspěvkovým                      a podobným organizacím </w:t>
            </w:r>
            <w:r w:rsidRPr="00DE113A">
              <w:rPr>
                <w:sz w:val="20"/>
                <w:szCs w:val="20"/>
              </w:rPr>
              <w:t>(podsesk pol. 533)</w:t>
            </w:r>
          </w:p>
        </w:tc>
        <w:tc>
          <w:tcPr>
            <w:tcW w:w="1418" w:type="dxa"/>
            <w:tcBorders>
              <w:top w:val="single" w:sz="8" w:space="0" w:color="7F7F7F" w:themeColor="text1" w:themeTint="80"/>
              <w:bottom w:val="nil"/>
            </w:tcBorders>
            <w:shd w:val="clear" w:color="auto" w:fill="auto"/>
            <w:vAlign w:val="bottom"/>
          </w:tcPr>
          <w:p w14:paraId="0471E0F4" w14:textId="405D30AD" w:rsidR="00217185" w:rsidRPr="00DE113A" w:rsidRDefault="00217185" w:rsidP="00217185">
            <w:pPr>
              <w:ind w:right="10"/>
              <w:jc w:val="right"/>
              <w:rPr>
                <w:b/>
                <w:sz w:val="20"/>
                <w:szCs w:val="20"/>
                <w:highlight w:val="yellow"/>
              </w:rPr>
            </w:pPr>
            <w:r w:rsidRPr="00DE113A">
              <w:rPr>
                <w:b/>
                <w:sz w:val="20"/>
                <w:szCs w:val="20"/>
              </w:rPr>
              <w:t>1 227 265</w:t>
            </w:r>
          </w:p>
        </w:tc>
        <w:tc>
          <w:tcPr>
            <w:tcW w:w="1417" w:type="dxa"/>
            <w:tcBorders>
              <w:top w:val="single" w:sz="8" w:space="0" w:color="7F7F7F" w:themeColor="text1" w:themeTint="80"/>
              <w:bottom w:val="nil"/>
            </w:tcBorders>
            <w:shd w:val="clear" w:color="auto" w:fill="auto"/>
            <w:vAlign w:val="bottom"/>
          </w:tcPr>
          <w:p w14:paraId="1FCFA5D8" w14:textId="609D5FB3" w:rsidR="00217185" w:rsidRPr="00DE113A" w:rsidRDefault="00217185" w:rsidP="00217185">
            <w:pPr>
              <w:jc w:val="right"/>
              <w:rPr>
                <w:b/>
                <w:sz w:val="20"/>
                <w:szCs w:val="20"/>
                <w:highlight w:val="yellow"/>
              </w:rPr>
            </w:pPr>
            <w:r w:rsidRPr="00DE113A">
              <w:rPr>
                <w:b/>
                <w:sz w:val="20"/>
                <w:szCs w:val="20"/>
              </w:rPr>
              <w:t>173 319</w:t>
            </w:r>
          </w:p>
        </w:tc>
        <w:tc>
          <w:tcPr>
            <w:tcW w:w="1418" w:type="dxa"/>
            <w:tcBorders>
              <w:top w:val="single" w:sz="8" w:space="0" w:color="7F7F7F" w:themeColor="text1" w:themeTint="80"/>
              <w:bottom w:val="nil"/>
            </w:tcBorders>
            <w:shd w:val="clear" w:color="auto" w:fill="auto"/>
            <w:vAlign w:val="bottom"/>
          </w:tcPr>
          <w:p w14:paraId="7C1A0198" w14:textId="4C4755FA" w:rsidR="00217185" w:rsidRPr="00DE113A" w:rsidRDefault="00217185" w:rsidP="00217185">
            <w:pPr>
              <w:jc w:val="right"/>
              <w:rPr>
                <w:b/>
                <w:sz w:val="20"/>
                <w:szCs w:val="20"/>
                <w:highlight w:val="yellow"/>
              </w:rPr>
            </w:pPr>
            <w:r w:rsidRPr="00DE113A">
              <w:rPr>
                <w:b/>
                <w:sz w:val="20"/>
                <w:szCs w:val="20"/>
              </w:rPr>
              <w:t>197 620</w:t>
            </w:r>
          </w:p>
        </w:tc>
        <w:tc>
          <w:tcPr>
            <w:tcW w:w="997" w:type="dxa"/>
            <w:tcBorders>
              <w:top w:val="single" w:sz="8" w:space="0" w:color="7F7F7F" w:themeColor="text1" w:themeTint="80"/>
              <w:bottom w:val="nil"/>
            </w:tcBorders>
            <w:shd w:val="clear" w:color="auto" w:fill="auto"/>
            <w:vAlign w:val="bottom"/>
          </w:tcPr>
          <w:p w14:paraId="0CBC11EB" w14:textId="6F06FB6F" w:rsidR="00217185" w:rsidRPr="00DE113A" w:rsidRDefault="00217185" w:rsidP="00217185">
            <w:pPr>
              <w:jc w:val="right"/>
              <w:rPr>
                <w:b/>
                <w:sz w:val="20"/>
                <w:szCs w:val="20"/>
                <w:highlight w:val="yellow"/>
              </w:rPr>
            </w:pPr>
            <w:r w:rsidRPr="00DE113A">
              <w:rPr>
                <w:b/>
                <w:sz w:val="20"/>
                <w:szCs w:val="20"/>
              </w:rPr>
              <w:t>114,02</w:t>
            </w:r>
          </w:p>
        </w:tc>
      </w:tr>
      <w:tr w:rsidR="00DE113A" w:rsidRPr="00DE113A" w14:paraId="2DCEF77D" w14:textId="77777777" w:rsidTr="00C01D38">
        <w:tc>
          <w:tcPr>
            <w:tcW w:w="4252" w:type="dxa"/>
            <w:tcBorders>
              <w:top w:val="nil"/>
              <w:bottom w:val="single" w:sz="8" w:space="0" w:color="7F7F7F" w:themeColor="text1" w:themeTint="80"/>
            </w:tcBorders>
            <w:shd w:val="clear" w:color="auto" w:fill="auto"/>
          </w:tcPr>
          <w:p w14:paraId="6F120F62" w14:textId="77777777" w:rsidR="00217185" w:rsidRPr="00DE113A" w:rsidRDefault="00217185" w:rsidP="00217185">
            <w:pPr>
              <w:tabs>
                <w:tab w:val="left" w:pos="564"/>
              </w:tabs>
              <w:rPr>
                <w:sz w:val="20"/>
                <w:szCs w:val="20"/>
              </w:rPr>
            </w:pPr>
            <w:r w:rsidRPr="00DE113A">
              <w:rPr>
                <w:sz w:val="20"/>
                <w:szCs w:val="20"/>
              </w:rPr>
              <w:t xml:space="preserve">      z toho: dopravně správní agendy</w:t>
            </w:r>
          </w:p>
          <w:p w14:paraId="22E51252" w14:textId="77777777" w:rsidR="00217185" w:rsidRPr="00DE113A" w:rsidRDefault="00217185" w:rsidP="00217185">
            <w:pPr>
              <w:tabs>
                <w:tab w:val="left" w:pos="564"/>
              </w:tabs>
              <w:rPr>
                <w:sz w:val="20"/>
                <w:szCs w:val="20"/>
              </w:rPr>
            </w:pPr>
            <w:r w:rsidRPr="00DE113A">
              <w:rPr>
                <w:sz w:val="20"/>
                <w:szCs w:val="20"/>
              </w:rPr>
              <w:t xml:space="preserve">                  výzkum, vývoj a inovace</w:t>
            </w:r>
          </w:p>
          <w:p w14:paraId="48FCA709" w14:textId="77777777" w:rsidR="00217185" w:rsidRPr="00DE113A" w:rsidRDefault="00217185" w:rsidP="00217185">
            <w:pPr>
              <w:rPr>
                <w:sz w:val="20"/>
                <w:szCs w:val="20"/>
              </w:rPr>
            </w:pPr>
            <w:r w:rsidRPr="00DE113A">
              <w:rPr>
                <w:sz w:val="20"/>
                <w:szCs w:val="20"/>
              </w:rPr>
              <w:t xml:space="preserve">                  programové financování (EDS/SMVS)</w:t>
            </w:r>
          </w:p>
          <w:p w14:paraId="25066F1A" w14:textId="1FA0D68B" w:rsidR="00217185" w:rsidRPr="00DE113A" w:rsidRDefault="00217185" w:rsidP="00217185">
            <w:pPr>
              <w:rPr>
                <w:sz w:val="20"/>
                <w:szCs w:val="20"/>
                <w:highlight w:val="yellow"/>
              </w:rPr>
            </w:pPr>
            <w:r w:rsidRPr="00DE113A">
              <w:rPr>
                <w:sz w:val="20"/>
                <w:szCs w:val="20"/>
              </w:rPr>
              <w:t xml:space="preserve">                  prostředky EU</w:t>
            </w:r>
          </w:p>
        </w:tc>
        <w:tc>
          <w:tcPr>
            <w:tcW w:w="1418" w:type="dxa"/>
            <w:tcBorders>
              <w:top w:val="nil"/>
              <w:bottom w:val="single" w:sz="8" w:space="0" w:color="7F7F7F" w:themeColor="text1" w:themeTint="80"/>
            </w:tcBorders>
            <w:shd w:val="clear" w:color="auto" w:fill="auto"/>
            <w:vAlign w:val="bottom"/>
          </w:tcPr>
          <w:p w14:paraId="3039D5E7" w14:textId="77777777" w:rsidR="00217185" w:rsidRPr="00DE113A" w:rsidRDefault="00217185" w:rsidP="00217185">
            <w:pPr>
              <w:ind w:right="10"/>
              <w:jc w:val="right"/>
              <w:rPr>
                <w:sz w:val="20"/>
                <w:szCs w:val="20"/>
              </w:rPr>
            </w:pPr>
            <w:r w:rsidRPr="00DE113A">
              <w:rPr>
                <w:sz w:val="20"/>
                <w:szCs w:val="20"/>
              </w:rPr>
              <w:t>60 255</w:t>
            </w:r>
          </w:p>
          <w:p w14:paraId="35CFCDAB" w14:textId="77777777" w:rsidR="00217185" w:rsidRPr="00DE113A" w:rsidRDefault="00217185" w:rsidP="00217185">
            <w:pPr>
              <w:ind w:right="10"/>
              <w:jc w:val="right"/>
              <w:rPr>
                <w:sz w:val="20"/>
                <w:szCs w:val="20"/>
              </w:rPr>
            </w:pPr>
            <w:r w:rsidRPr="00DE113A">
              <w:rPr>
                <w:sz w:val="20"/>
                <w:szCs w:val="20"/>
              </w:rPr>
              <w:t>89 069</w:t>
            </w:r>
          </w:p>
          <w:p w14:paraId="0011EF4B" w14:textId="77777777" w:rsidR="00217185" w:rsidRPr="00DE113A" w:rsidRDefault="00217185" w:rsidP="00217185">
            <w:pPr>
              <w:ind w:right="10"/>
              <w:jc w:val="right"/>
              <w:rPr>
                <w:sz w:val="20"/>
                <w:szCs w:val="20"/>
              </w:rPr>
            </w:pPr>
            <w:r w:rsidRPr="00DE113A">
              <w:rPr>
                <w:sz w:val="20"/>
                <w:szCs w:val="20"/>
              </w:rPr>
              <w:t>505</w:t>
            </w:r>
          </w:p>
          <w:p w14:paraId="702E0AFA" w14:textId="4B15BF60" w:rsidR="00217185" w:rsidRPr="00DE113A" w:rsidRDefault="00217185" w:rsidP="00217185">
            <w:pPr>
              <w:ind w:right="10"/>
              <w:jc w:val="right"/>
              <w:rPr>
                <w:sz w:val="20"/>
                <w:szCs w:val="20"/>
                <w:highlight w:val="yellow"/>
              </w:rPr>
            </w:pPr>
            <w:r w:rsidRPr="00DE113A">
              <w:rPr>
                <w:sz w:val="20"/>
                <w:szCs w:val="20"/>
              </w:rPr>
              <w:t xml:space="preserve">              505    </w:t>
            </w:r>
          </w:p>
        </w:tc>
        <w:tc>
          <w:tcPr>
            <w:tcW w:w="1417" w:type="dxa"/>
            <w:tcBorders>
              <w:top w:val="nil"/>
              <w:bottom w:val="single" w:sz="8" w:space="0" w:color="7F7F7F" w:themeColor="text1" w:themeTint="80"/>
            </w:tcBorders>
            <w:shd w:val="clear" w:color="auto" w:fill="auto"/>
            <w:vAlign w:val="center"/>
          </w:tcPr>
          <w:p w14:paraId="037DDE1C" w14:textId="77777777" w:rsidR="00217185" w:rsidRPr="00DE113A" w:rsidRDefault="00217185" w:rsidP="00217185">
            <w:pPr>
              <w:jc w:val="right"/>
              <w:rPr>
                <w:sz w:val="20"/>
                <w:szCs w:val="20"/>
              </w:rPr>
            </w:pPr>
            <w:r w:rsidRPr="00DE113A">
              <w:rPr>
                <w:sz w:val="20"/>
                <w:szCs w:val="20"/>
              </w:rPr>
              <w:t>57 754</w:t>
            </w:r>
          </w:p>
          <w:p w14:paraId="0EBE92EB" w14:textId="77777777" w:rsidR="00217185" w:rsidRPr="00DE113A" w:rsidRDefault="00217185" w:rsidP="00217185">
            <w:pPr>
              <w:jc w:val="right"/>
              <w:rPr>
                <w:sz w:val="20"/>
                <w:szCs w:val="20"/>
              </w:rPr>
            </w:pPr>
            <w:r w:rsidRPr="00DE113A">
              <w:rPr>
                <w:sz w:val="20"/>
                <w:szCs w:val="20"/>
              </w:rPr>
              <w:t>57 426</w:t>
            </w:r>
          </w:p>
          <w:p w14:paraId="4017046F" w14:textId="77777777" w:rsidR="00217185" w:rsidRPr="00DE113A" w:rsidRDefault="00217185" w:rsidP="00217185">
            <w:pPr>
              <w:jc w:val="right"/>
              <w:rPr>
                <w:sz w:val="20"/>
                <w:szCs w:val="20"/>
              </w:rPr>
            </w:pPr>
            <w:r w:rsidRPr="00DE113A">
              <w:rPr>
                <w:sz w:val="20"/>
                <w:szCs w:val="20"/>
              </w:rPr>
              <w:t>0</w:t>
            </w:r>
          </w:p>
          <w:p w14:paraId="4FBD81A7" w14:textId="4E11DF9B" w:rsidR="00217185" w:rsidRPr="00DE113A" w:rsidRDefault="00217185" w:rsidP="00217185">
            <w:pPr>
              <w:jc w:val="right"/>
              <w:rPr>
                <w:sz w:val="20"/>
                <w:szCs w:val="20"/>
                <w:highlight w:val="yellow"/>
              </w:rPr>
            </w:pPr>
            <w:r w:rsidRPr="00DE113A">
              <w:rPr>
                <w:sz w:val="20"/>
                <w:szCs w:val="20"/>
              </w:rPr>
              <w:t>1 875</w:t>
            </w:r>
          </w:p>
        </w:tc>
        <w:tc>
          <w:tcPr>
            <w:tcW w:w="1418" w:type="dxa"/>
            <w:tcBorders>
              <w:top w:val="nil"/>
              <w:bottom w:val="single" w:sz="8" w:space="0" w:color="7F7F7F" w:themeColor="text1" w:themeTint="80"/>
            </w:tcBorders>
            <w:shd w:val="clear" w:color="auto" w:fill="auto"/>
            <w:vAlign w:val="center"/>
          </w:tcPr>
          <w:p w14:paraId="2EC5B604" w14:textId="77777777" w:rsidR="00217185" w:rsidRPr="00DE113A" w:rsidRDefault="00217185" w:rsidP="00217185">
            <w:pPr>
              <w:jc w:val="right"/>
              <w:rPr>
                <w:sz w:val="20"/>
                <w:szCs w:val="20"/>
              </w:rPr>
            </w:pPr>
            <w:r w:rsidRPr="00DE113A">
              <w:rPr>
                <w:sz w:val="20"/>
                <w:szCs w:val="20"/>
              </w:rPr>
              <w:t>59 942</w:t>
            </w:r>
          </w:p>
          <w:p w14:paraId="71E47F9B" w14:textId="77777777" w:rsidR="00217185" w:rsidRPr="00DE113A" w:rsidRDefault="00217185" w:rsidP="00217185">
            <w:pPr>
              <w:jc w:val="right"/>
              <w:rPr>
                <w:sz w:val="20"/>
                <w:szCs w:val="20"/>
              </w:rPr>
            </w:pPr>
            <w:r w:rsidRPr="00DE113A">
              <w:rPr>
                <w:sz w:val="20"/>
                <w:szCs w:val="20"/>
              </w:rPr>
              <w:t>81 412</w:t>
            </w:r>
          </w:p>
          <w:p w14:paraId="66005A70" w14:textId="77777777" w:rsidR="00217185" w:rsidRPr="00DE113A" w:rsidRDefault="00217185" w:rsidP="00217185">
            <w:pPr>
              <w:jc w:val="right"/>
              <w:rPr>
                <w:sz w:val="20"/>
                <w:szCs w:val="20"/>
              </w:rPr>
            </w:pPr>
            <w:r w:rsidRPr="00DE113A">
              <w:rPr>
                <w:sz w:val="20"/>
                <w:szCs w:val="20"/>
              </w:rPr>
              <w:t>0</w:t>
            </w:r>
          </w:p>
          <w:p w14:paraId="4357A2C1" w14:textId="369A61B7" w:rsidR="00217185" w:rsidRPr="00DE113A" w:rsidRDefault="00217185" w:rsidP="00217185">
            <w:pPr>
              <w:jc w:val="right"/>
              <w:rPr>
                <w:sz w:val="20"/>
                <w:szCs w:val="20"/>
                <w:highlight w:val="yellow"/>
              </w:rPr>
            </w:pPr>
            <w:r w:rsidRPr="00DE113A">
              <w:rPr>
                <w:sz w:val="20"/>
                <w:szCs w:val="20"/>
              </w:rPr>
              <w:t>0</w:t>
            </w:r>
          </w:p>
        </w:tc>
        <w:tc>
          <w:tcPr>
            <w:tcW w:w="997" w:type="dxa"/>
            <w:tcBorders>
              <w:top w:val="nil"/>
              <w:bottom w:val="single" w:sz="8" w:space="0" w:color="7F7F7F" w:themeColor="text1" w:themeTint="80"/>
            </w:tcBorders>
            <w:shd w:val="clear" w:color="auto" w:fill="auto"/>
            <w:vAlign w:val="center"/>
          </w:tcPr>
          <w:p w14:paraId="298A62A1" w14:textId="77777777" w:rsidR="00217185" w:rsidRPr="00DE113A" w:rsidRDefault="00217185" w:rsidP="00217185">
            <w:pPr>
              <w:jc w:val="right"/>
              <w:rPr>
                <w:sz w:val="20"/>
                <w:szCs w:val="20"/>
              </w:rPr>
            </w:pPr>
            <w:r w:rsidRPr="00DE113A">
              <w:rPr>
                <w:sz w:val="20"/>
                <w:szCs w:val="20"/>
              </w:rPr>
              <w:t>103,79</w:t>
            </w:r>
          </w:p>
          <w:p w14:paraId="3CF67DED" w14:textId="77777777" w:rsidR="00217185" w:rsidRPr="00DE113A" w:rsidRDefault="00217185" w:rsidP="00217185">
            <w:pPr>
              <w:jc w:val="right"/>
              <w:rPr>
                <w:sz w:val="20"/>
                <w:szCs w:val="20"/>
              </w:rPr>
            </w:pPr>
            <w:r w:rsidRPr="00DE113A">
              <w:rPr>
                <w:sz w:val="20"/>
                <w:szCs w:val="20"/>
              </w:rPr>
              <w:t>141,77</w:t>
            </w:r>
          </w:p>
          <w:p w14:paraId="5749B2DB" w14:textId="77777777" w:rsidR="00217185" w:rsidRPr="00DE113A" w:rsidRDefault="00217185" w:rsidP="00217185">
            <w:pPr>
              <w:jc w:val="right"/>
              <w:rPr>
                <w:sz w:val="20"/>
                <w:szCs w:val="20"/>
              </w:rPr>
            </w:pPr>
            <w:r w:rsidRPr="00DE113A">
              <w:rPr>
                <w:sz w:val="20"/>
                <w:szCs w:val="20"/>
              </w:rPr>
              <w:t>x</w:t>
            </w:r>
          </w:p>
          <w:p w14:paraId="2EC745D6" w14:textId="415F5985" w:rsidR="00217185" w:rsidRPr="00DE113A" w:rsidRDefault="00217185" w:rsidP="00217185">
            <w:pPr>
              <w:jc w:val="right"/>
              <w:rPr>
                <w:sz w:val="20"/>
                <w:szCs w:val="20"/>
                <w:highlight w:val="yellow"/>
              </w:rPr>
            </w:pPr>
            <w:r w:rsidRPr="00DE113A">
              <w:rPr>
                <w:sz w:val="20"/>
                <w:szCs w:val="20"/>
              </w:rPr>
              <w:t>0,00</w:t>
            </w:r>
          </w:p>
        </w:tc>
      </w:tr>
      <w:tr w:rsidR="00DE113A" w:rsidRPr="00DE113A" w14:paraId="19750880" w14:textId="77777777" w:rsidTr="00C01D38">
        <w:trPr>
          <w:trHeight w:val="450"/>
        </w:trPr>
        <w:tc>
          <w:tcPr>
            <w:tcW w:w="4252" w:type="dxa"/>
            <w:tcBorders>
              <w:top w:val="single" w:sz="8" w:space="0" w:color="7F7F7F" w:themeColor="text1" w:themeTint="80"/>
              <w:bottom w:val="nil"/>
            </w:tcBorders>
            <w:shd w:val="clear" w:color="auto" w:fill="auto"/>
          </w:tcPr>
          <w:p w14:paraId="77F93A98" w14:textId="362F0DC2" w:rsidR="008F6DAC" w:rsidRPr="00DE113A" w:rsidRDefault="008F6DAC" w:rsidP="008F6DAC">
            <w:pPr>
              <w:jc w:val="left"/>
              <w:rPr>
                <w:b/>
                <w:sz w:val="20"/>
                <w:szCs w:val="20"/>
                <w:highlight w:val="yellow"/>
              </w:rPr>
            </w:pPr>
            <w:r w:rsidRPr="00DE113A">
              <w:rPr>
                <w:b/>
                <w:sz w:val="20"/>
                <w:szCs w:val="20"/>
              </w:rPr>
              <w:t xml:space="preserve">Neinvestiční dotace neziskovým a podobným organizacím </w:t>
            </w:r>
            <w:r w:rsidRPr="00DE113A">
              <w:rPr>
                <w:sz w:val="20"/>
                <w:szCs w:val="20"/>
              </w:rPr>
              <w:t>(podsesk. pol. 522)</w:t>
            </w:r>
          </w:p>
        </w:tc>
        <w:tc>
          <w:tcPr>
            <w:tcW w:w="1418" w:type="dxa"/>
            <w:tcBorders>
              <w:top w:val="single" w:sz="8" w:space="0" w:color="7F7F7F" w:themeColor="text1" w:themeTint="80"/>
              <w:bottom w:val="nil"/>
            </w:tcBorders>
            <w:shd w:val="clear" w:color="auto" w:fill="auto"/>
            <w:vAlign w:val="bottom"/>
          </w:tcPr>
          <w:p w14:paraId="2F49BE4C" w14:textId="2953CF3A" w:rsidR="008F6DAC" w:rsidRPr="00DE113A" w:rsidRDefault="008F6DAC" w:rsidP="008F6DAC">
            <w:pPr>
              <w:jc w:val="right"/>
              <w:rPr>
                <w:b/>
                <w:sz w:val="20"/>
                <w:szCs w:val="20"/>
                <w:highlight w:val="yellow"/>
              </w:rPr>
            </w:pPr>
            <w:r w:rsidRPr="00DE113A">
              <w:rPr>
                <w:b/>
                <w:sz w:val="20"/>
                <w:szCs w:val="20"/>
              </w:rPr>
              <w:t>13 109</w:t>
            </w:r>
          </w:p>
        </w:tc>
        <w:tc>
          <w:tcPr>
            <w:tcW w:w="1417" w:type="dxa"/>
            <w:tcBorders>
              <w:top w:val="single" w:sz="8" w:space="0" w:color="7F7F7F" w:themeColor="text1" w:themeTint="80"/>
              <w:bottom w:val="nil"/>
            </w:tcBorders>
            <w:shd w:val="clear" w:color="auto" w:fill="auto"/>
            <w:vAlign w:val="bottom"/>
          </w:tcPr>
          <w:p w14:paraId="3B1644CC" w14:textId="633A1DB3" w:rsidR="008F6DAC" w:rsidRPr="00DE113A" w:rsidRDefault="008F6DAC" w:rsidP="008F6DAC">
            <w:pPr>
              <w:jc w:val="right"/>
              <w:rPr>
                <w:b/>
                <w:sz w:val="20"/>
                <w:szCs w:val="20"/>
                <w:highlight w:val="yellow"/>
              </w:rPr>
            </w:pPr>
            <w:r w:rsidRPr="00DE113A">
              <w:rPr>
                <w:b/>
                <w:sz w:val="20"/>
                <w:szCs w:val="20"/>
              </w:rPr>
              <w:t>9 400</w:t>
            </w:r>
          </w:p>
        </w:tc>
        <w:tc>
          <w:tcPr>
            <w:tcW w:w="1418" w:type="dxa"/>
            <w:tcBorders>
              <w:top w:val="single" w:sz="8" w:space="0" w:color="7F7F7F" w:themeColor="text1" w:themeTint="80"/>
              <w:bottom w:val="nil"/>
            </w:tcBorders>
            <w:shd w:val="clear" w:color="auto" w:fill="auto"/>
            <w:vAlign w:val="bottom"/>
          </w:tcPr>
          <w:p w14:paraId="605A221F" w14:textId="53E660BE" w:rsidR="008F6DAC" w:rsidRPr="00DE113A" w:rsidRDefault="008F6DAC" w:rsidP="008F6DAC">
            <w:pPr>
              <w:jc w:val="right"/>
              <w:rPr>
                <w:b/>
                <w:sz w:val="20"/>
                <w:szCs w:val="20"/>
                <w:highlight w:val="yellow"/>
              </w:rPr>
            </w:pPr>
            <w:r w:rsidRPr="00DE113A">
              <w:rPr>
                <w:b/>
                <w:sz w:val="20"/>
                <w:szCs w:val="20"/>
              </w:rPr>
              <w:t>10 340</w:t>
            </w:r>
          </w:p>
        </w:tc>
        <w:tc>
          <w:tcPr>
            <w:tcW w:w="997" w:type="dxa"/>
            <w:tcBorders>
              <w:top w:val="single" w:sz="8" w:space="0" w:color="7F7F7F" w:themeColor="text1" w:themeTint="80"/>
              <w:bottom w:val="nil"/>
            </w:tcBorders>
            <w:shd w:val="clear" w:color="auto" w:fill="auto"/>
            <w:vAlign w:val="bottom"/>
          </w:tcPr>
          <w:p w14:paraId="7CDBDB32" w14:textId="33E3EE81" w:rsidR="008F6DAC" w:rsidRPr="00DE113A" w:rsidRDefault="008F6DAC" w:rsidP="008F6DAC">
            <w:pPr>
              <w:jc w:val="right"/>
              <w:rPr>
                <w:b/>
                <w:sz w:val="20"/>
                <w:szCs w:val="20"/>
                <w:highlight w:val="yellow"/>
              </w:rPr>
            </w:pPr>
            <w:r w:rsidRPr="00DE113A">
              <w:rPr>
                <w:b/>
                <w:sz w:val="20"/>
                <w:szCs w:val="20"/>
              </w:rPr>
              <w:t>110,00</w:t>
            </w:r>
          </w:p>
        </w:tc>
      </w:tr>
      <w:tr w:rsidR="00DE113A" w:rsidRPr="00DE113A" w14:paraId="095AF888" w14:textId="77777777" w:rsidTr="00D42B1E">
        <w:trPr>
          <w:trHeight w:val="398"/>
        </w:trPr>
        <w:tc>
          <w:tcPr>
            <w:tcW w:w="4252" w:type="dxa"/>
            <w:tcBorders>
              <w:top w:val="nil"/>
              <w:bottom w:val="single" w:sz="8" w:space="0" w:color="7F7F7F" w:themeColor="text1" w:themeTint="80"/>
            </w:tcBorders>
            <w:shd w:val="clear" w:color="auto" w:fill="auto"/>
          </w:tcPr>
          <w:p w14:paraId="52BD260C" w14:textId="77777777" w:rsidR="008F6DAC" w:rsidRPr="00DE113A" w:rsidRDefault="008F6DAC" w:rsidP="008F6DAC">
            <w:pPr>
              <w:rPr>
                <w:sz w:val="20"/>
                <w:szCs w:val="20"/>
              </w:rPr>
            </w:pPr>
            <w:r w:rsidRPr="00DE113A">
              <w:rPr>
                <w:sz w:val="20"/>
                <w:szCs w:val="20"/>
              </w:rPr>
              <w:t xml:space="preserve">      z toho: programové financování (EDS/SMVS)</w:t>
            </w:r>
          </w:p>
          <w:p w14:paraId="0CE14E88" w14:textId="3D696C1B" w:rsidR="008F6DAC" w:rsidRPr="00DE113A" w:rsidRDefault="008F6DAC" w:rsidP="008F6DAC">
            <w:pPr>
              <w:rPr>
                <w:sz w:val="20"/>
                <w:szCs w:val="20"/>
                <w:highlight w:val="yellow"/>
              </w:rPr>
            </w:pPr>
            <w:r w:rsidRPr="00DE113A">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13C2C3BA" w14:textId="77777777" w:rsidR="008F6DAC" w:rsidRPr="00DE113A" w:rsidRDefault="008F6DAC" w:rsidP="008F6DAC">
            <w:pPr>
              <w:jc w:val="right"/>
              <w:rPr>
                <w:sz w:val="20"/>
                <w:szCs w:val="20"/>
              </w:rPr>
            </w:pPr>
            <w:r w:rsidRPr="00DE113A">
              <w:rPr>
                <w:sz w:val="20"/>
                <w:szCs w:val="20"/>
              </w:rPr>
              <w:t>2 176</w:t>
            </w:r>
          </w:p>
          <w:p w14:paraId="03C6FBDD" w14:textId="31DB82B3" w:rsidR="008F6DAC" w:rsidRPr="00DE113A" w:rsidRDefault="008F6DAC" w:rsidP="008F6DAC">
            <w:pPr>
              <w:jc w:val="right"/>
              <w:rPr>
                <w:sz w:val="20"/>
                <w:szCs w:val="20"/>
                <w:highlight w:val="yellow"/>
              </w:rPr>
            </w:pPr>
            <w:r w:rsidRPr="00DE113A">
              <w:rPr>
                <w:sz w:val="20"/>
                <w:szCs w:val="20"/>
              </w:rPr>
              <w:t>0</w:t>
            </w:r>
          </w:p>
        </w:tc>
        <w:tc>
          <w:tcPr>
            <w:tcW w:w="1417" w:type="dxa"/>
            <w:tcBorders>
              <w:top w:val="nil"/>
              <w:bottom w:val="single" w:sz="8" w:space="0" w:color="7F7F7F" w:themeColor="text1" w:themeTint="80"/>
            </w:tcBorders>
            <w:shd w:val="clear" w:color="auto" w:fill="auto"/>
            <w:vAlign w:val="center"/>
          </w:tcPr>
          <w:p w14:paraId="0BD7C254" w14:textId="77777777" w:rsidR="008F6DAC" w:rsidRPr="00DE113A" w:rsidRDefault="008F6DAC" w:rsidP="008F6DAC">
            <w:pPr>
              <w:jc w:val="right"/>
              <w:rPr>
                <w:sz w:val="20"/>
                <w:szCs w:val="20"/>
              </w:rPr>
            </w:pPr>
            <w:r w:rsidRPr="00DE113A">
              <w:rPr>
                <w:sz w:val="20"/>
                <w:szCs w:val="20"/>
              </w:rPr>
              <w:t>0</w:t>
            </w:r>
          </w:p>
          <w:p w14:paraId="6D7B7232" w14:textId="6F46C08B" w:rsidR="008F6DAC" w:rsidRPr="00DE113A" w:rsidRDefault="008F6DAC" w:rsidP="008F6DAC">
            <w:pPr>
              <w:jc w:val="right"/>
              <w:rPr>
                <w:sz w:val="20"/>
                <w:szCs w:val="20"/>
                <w:highlight w:val="yellow"/>
              </w:rPr>
            </w:pPr>
            <w:r w:rsidRPr="00DE113A">
              <w:rPr>
                <w:sz w:val="20"/>
                <w:szCs w:val="20"/>
              </w:rPr>
              <w:t>0</w:t>
            </w:r>
          </w:p>
        </w:tc>
        <w:tc>
          <w:tcPr>
            <w:tcW w:w="1418" w:type="dxa"/>
            <w:tcBorders>
              <w:top w:val="nil"/>
              <w:bottom w:val="single" w:sz="8" w:space="0" w:color="7F7F7F" w:themeColor="text1" w:themeTint="80"/>
            </w:tcBorders>
            <w:shd w:val="clear" w:color="auto" w:fill="auto"/>
            <w:vAlign w:val="center"/>
          </w:tcPr>
          <w:p w14:paraId="52F1EE55" w14:textId="77777777" w:rsidR="008F6DAC" w:rsidRPr="00DE113A" w:rsidRDefault="008F6DAC" w:rsidP="008F6DAC">
            <w:pPr>
              <w:jc w:val="right"/>
              <w:rPr>
                <w:sz w:val="20"/>
                <w:szCs w:val="20"/>
              </w:rPr>
            </w:pPr>
            <w:r w:rsidRPr="00DE113A">
              <w:rPr>
                <w:sz w:val="20"/>
                <w:szCs w:val="20"/>
              </w:rPr>
              <w:t>0</w:t>
            </w:r>
          </w:p>
          <w:p w14:paraId="22267D9B" w14:textId="2651163C" w:rsidR="008F6DAC" w:rsidRPr="00DE113A" w:rsidRDefault="008F6DAC" w:rsidP="008F6DAC">
            <w:pPr>
              <w:jc w:val="right"/>
              <w:rPr>
                <w:sz w:val="20"/>
                <w:szCs w:val="20"/>
                <w:highlight w:val="yellow"/>
              </w:rPr>
            </w:pPr>
            <w:r w:rsidRPr="00DE113A">
              <w:rPr>
                <w:sz w:val="20"/>
                <w:szCs w:val="20"/>
              </w:rPr>
              <w:t>0</w:t>
            </w:r>
          </w:p>
        </w:tc>
        <w:tc>
          <w:tcPr>
            <w:tcW w:w="997" w:type="dxa"/>
            <w:tcBorders>
              <w:top w:val="nil"/>
              <w:bottom w:val="single" w:sz="8" w:space="0" w:color="7F7F7F" w:themeColor="text1" w:themeTint="80"/>
            </w:tcBorders>
            <w:shd w:val="clear" w:color="auto" w:fill="auto"/>
            <w:vAlign w:val="center"/>
          </w:tcPr>
          <w:p w14:paraId="0C11E976" w14:textId="77777777" w:rsidR="008F6DAC" w:rsidRPr="00DE113A" w:rsidRDefault="008F6DAC" w:rsidP="008F6DAC">
            <w:pPr>
              <w:jc w:val="right"/>
              <w:rPr>
                <w:sz w:val="20"/>
                <w:szCs w:val="20"/>
              </w:rPr>
            </w:pPr>
            <w:r w:rsidRPr="00DE113A">
              <w:rPr>
                <w:sz w:val="20"/>
                <w:szCs w:val="20"/>
              </w:rPr>
              <w:t>x</w:t>
            </w:r>
          </w:p>
          <w:p w14:paraId="4D1A69D5" w14:textId="263604F2" w:rsidR="008F6DAC" w:rsidRPr="00DE113A" w:rsidRDefault="008F6DAC" w:rsidP="008F6DAC">
            <w:pPr>
              <w:jc w:val="right"/>
              <w:rPr>
                <w:b/>
                <w:sz w:val="20"/>
                <w:szCs w:val="20"/>
                <w:highlight w:val="yellow"/>
              </w:rPr>
            </w:pPr>
            <w:r w:rsidRPr="00DE113A">
              <w:rPr>
                <w:sz w:val="20"/>
                <w:szCs w:val="20"/>
              </w:rPr>
              <w:t>x</w:t>
            </w:r>
          </w:p>
        </w:tc>
      </w:tr>
      <w:tr w:rsidR="00DE113A" w:rsidRPr="00DE113A" w14:paraId="5605C1A6" w14:textId="77777777" w:rsidTr="00F74E8B">
        <w:trPr>
          <w:trHeight w:val="431"/>
        </w:trPr>
        <w:tc>
          <w:tcPr>
            <w:tcW w:w="4252" w:type="dxa"/>
            <w:tcBorders>
              <w:top w:val="single" w:sz="8" w:space="0" w:color="7F7F7F" w:themeColor="text1" w:themeTint="80"/>
              <w:bottom w:val="nil"/>
            </w:tcBorders>
            <w:shd w:val="clear" w:color="auto" w:fill="auto"/>
          </w:tcPr>
          <w:p w14:paraId="01FD3F52" w14:textId="6D9D98A9" w:rsidR="00490E6F" w:rsidRPr="00DE113A" w:rsidRDefault="00490E6F" w:rsidP="00490E6F">
            <w:pPr>
              <w:jc w:val="left"/>
              <w:rPr>
                <w:b/>
                <w:sz w:val="20"/>
                <w:szCs w:val="20"/>
                <w:highlight w:val="yellow"/>
              </w:rPr>
            </w:pPr>
            <w:r w:rsidRPr="00DE113A">
              <w:rPr>
                <w:b/>
                <w:sz w:val="20"/>
                <w:szCs w:val="20"/>
              </w:rPr>
              <w:t xml:space="preserve">Neinvestiční transfery veřejným rozpočtům územní úrovně </w:t>
            </w:r>
            <w:r w:rsidRPr="00DE113A">
              <w:rPr>
                <w:sz w:val="20"/>
                <w:szCs w:val="20"/>
              </w:rPr>
              <w:t>(podsesk. pol. 532)</w:t>
            </w:r>
          </w:p>
        </w:tc>
        <w:tc>
          <w:tcPr>
            <w:tcW w:w="1418" w:type="dxa"/>
            <w:tcBorders>
              <w:top w:val="single" w:sz="8" w:space="0" w:color="7F7F7F" w:themeColor="text1" w:themeTint="80"/>
              <w:bottom w:val="nil"/>
            </w:tcBorders>
            <w:shd w:val="clear" w:color="auto" w:fill="auto"/>
            <w:vAlign w:val="bottom"/>
          </w:tcPr>
          <w:p w14:paraId="6B72CBF5" w14:textId="7AB519FC" w:rsidR="00490E6F" w:rsidRPr="00DE113A" w:rsidRDefault="00490E6F" w:rsidP="00490E6F">
            <w:pPr>
              <w:ind w:right="10"/>
              <w:jc w:val="right"/>
              <w:rPr>
                <w:sz w:val="20"/>
                <w:szCs w:val="20"/>
                <w:highlight w:val="yellow"/>
              </w:rPr>
            </w:pPr>
            <w:r w:rsidRPr="00DE113A">
              <w:rPr>
                <w:b/>
                <w:sz w:val="20"/>
                <w:szCs w:val="20"/>
              </w:rPr>
              <w:t>3 406 263</w:t>
            </w:r>
          </w:p>
        </w:tc>
        <w:tc>
          <w:tcPr>
            <w:tcW w:w="1417" w:type="dxa"/>
            <w:tcBorders>
              <w:top w:val="single" w:sz="8" w:space="0" w:color="7F7F7F" w:themeColor="text1" w:themeTint="80"/>
              <w:bottom w:val="nil"/>
            </w:tcBorders>
            <w:shd w:val="clear" w:color="auto" w:fill="auto"/>
            <w:vAlign w:val="bottom"/>
          </w:tcPr>
          <w:p w14:paraId="2E07656D" w14:textId="34FED46E" w:rsidR="00490E6F" w:rsidRPr="00DE113A" w:rsidRDefault="00490E6F" w:rsidP="00490E6F">
            <w:pPr>
              <w:jc w:val="right"/>
              <w:rPr>
                <w:sz w:val="20"/>
                <w:szCs w:val="20"/>
                <w:highlight w:val="yellow"/>
              </w:rPr>
            </w:pPr>
            <w:r w:rsidRPr="00DE113A">
              <w:rPr>
                <w:b/>
                <w:sz w:val="20"/>
                <w:szCs w:val="20"/>
              </w:rPr>
              <w:t xml:space="preserve">4 109 877 </w:t>
            </w:r>
          </w:p>
        </w:tc>
        <w:tc>
          <w:tcPr>
            <w:tcW w:w="1418" w:type="dxa"/>
            <w:tcBorders>
              <w:top w:val="single" w:sz="8" w:space="0" w:color="7F7F7F" w:themeColor="text1" w:themeTint="80"/>
              <w:bottom w:val="nil"/>
            </w:tcBorders>
            <w:shd w:val="clear" w:color="auto" w:fill="auto"/>
            <w:vAlign w:val="bottom"/>
          </w:tcPr>
          <w:p w14:paraId="6CCAD4E5" w14:textId="39D90158" w:rsidR="00490E6F" w:rsidRPr="00DE113A" w:rsidRDefault="00490E6F" w:rsidP="00490E6F">
            <w:pPr>
              <w:jc w:val="right"/>
              <w:rPr>
                <w:sz w:val="20"/>
                <w:szCs w:val="20"/>
                <w:highlight w:val="yellow"/>
              </w:rPr>
            </w:pPr>
            <w:r w:rsidRPr="00DE113A">
              <w:rPr>
                <w:b/>
                <w:sz w:val="20"/>
                <w:szCs w:val="20"/>
              </w:rPr>
              <w:t xml:space="preserve">4 507 084 </w:t>
            </w:r>
          </w:p>
        </w:tc>
        <w:tc>
          <w:tcPr>
            <w:tcW w:w="997" w:type="dxa"/>
            <w:tcBorders>
              <w:top w:val="single" w:sz="8" w:space="0" w:color="7F7F7F" w:themeColor="text1" w:themeTint="80"/>
              <w:bottom w:val="nil"/>
            </w:tcBorders>
            <w:shd w:val="clear" w:color="auto" w:fill="auto"/>
            <w:vAlign w:val="bottom"/>
          </w:tcPr>
          <w:p w14:paraId="3C564E47" w14:textId="3004D129" w:rsidR="00490E6F" w:rsidRPr="00DE113A" w:rsidRDefault="00490E6F" w:rsidP="00490E6F">
            <w:pPr>
              <w:jc w:val="right"/>
              <w:rPr>
                <w:sz w:val="20"/>
                <w:szCs w:val="20"/>
                <w:highlight w:val="yellow"/>
              </w:rPr>
            </w:pPr>
            <w:r w:rsidRPr="00DE113A">
              <w:rPr>
                <w:b/>
                <w:sz w:val="20"/>
                <w:szCs w:val="20"/>
              </w:rPr>
              <w:t>109,66</w:t>
            </w:r>
          </w:p>
        </w:tc>
      </w:tr>
      <w:tr w:rsidR="00DE113A" w:rsidRPr="00DE113A" w14:paraId="36D5F39E" w14:textId="77777777" w:rsidTr="00F74E8B">
        <w:tc>
          <w:tcPr>
            <w:tcW w:w="4252" w:type="dxa"/>
            <w:tcBorders>
              <w:top w:val="nil"/>
              <w:bottom w:val="single" w:sz="8" w:space="0" w:color="7F7F7F" w:themeColor="text1" w:themeTint="80"/>
            </w:tcBorders>
            <w:shd w:val="clear" w:color="auto" w:fill="auto"/>
          </w:tcPr>
          <w:p w14:paraId="6F353261" w14:textId="77777777" w:rsidR="00490E6F" w:rsidRPr="00DE113A" w:rsidRDefault="00490E6F" w:rsidP="00490E6F">
            <w:pPr>
              <w:tabs>
                <w:tab w:val="left" w:pos="367"/>
              </w:tabs>
              <w:rPr>
                <w:sz w:val="20"/>
                <w:szCs w:val="20"/>
              </w:rPr>
            </w:pPr>
            <w:r w:rsidRPr="00DE113A">
              <w:rPr>
                <w:sz w:val="20"/>
                <w:szCs w:val="20"/>
              </w:rPr>
              <w:t xml:space="preserve">      z toho: programové financování (EDS/SMVS)</w:t>
            </w:r>
          </w:p>
          <w:p w14:paraId="5B810B4F" w14:textId="66DA9AA3" w:rsidR="00490E6F" w:rsidRPr="00DE113A" w:rsidRDefault="00490E6F" w:rsidP="00490E6F">
            <w:pPr>
              <w:tabs>
                <w:tab w:val="left" w:pos="367"/>
              </w:tabs>
              <w:rPr>
                <w:sz w:val="20"/>
                <w:szCs w:val="20"/>
                <w:highlight w:val="yellow"/>
              </w:rPr>
            </w:pPr>
            <w:r w:rsidRPr="00DE113A">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0F49F3CA" w14:textId="77777777" w:rsidR="00490E6F" w:rsidRPr="00DE113A" w:rsidRDefault="00490E6F" w:rsidP="00490E6F">
            <w:pPr>
              <w:ind w:right="10"/>
              <w:jc w:val="right"/>
              <w:rPr>
                <w:sz w:val="20"/>
                <w:szCs w:val="20"/>
              </w:rPr>
            </w:pPr>
            <w:r w:rsidRPr="00DE113A">
              <w:rPr>
                <w:sz w:val="20"/>
                <w:szCs w:val="20"/>
              </w:rPr>
              <w:t>33</w:t>
            </w:r>
          </w:p>
          <w:p w14:paraId="71B25B65" w14:textId="231A51D8" w:rsidR="00490E6F" w:rsidRPr="00DE113A" w:rsidRDefault="00490E6F" w:rsidP="00490E6F">
            <w:pPr>
              <w:ind w:right="10"/>
              <w:jc w:val="right"/>
              <w:rPr>
                <w:sz w:val="20"/>
                <w:szCs w:val="20"/>
                <w:highlight w:val="yellow"/>
              </w:rPr>
            </w:pPr>
            <w:r w:rsidRPr="00DE113A">
              <w:rPr>
                <w:sz w:val="20"/>
                <w:szCs w:val="20"/>
              </w:rPr>
              <w:t>33</w:t>
            </w:r>
          </w:p>
        </w:tc>
        <w:tc>
          <w:tcPr>
            <w:tcW w:w="1417" w:type="dxa"/>
            <w:tcBorders>
              <w:top w:val="nil"/>
              <w:bottom w:val="single" w:sz="8" w:space="0" w:color="7F7F7F" w:themeColor="text1" w:themeTint="80"/>
            </w:tcBorders>
            <w:shd w:val="clear" w:color="auto" w:fill="auto"/>
            <w:vAlign w:val="center"/>
          </w:tcPr>
          <w:p w14:paraId="19BD625F" w14:textId="77777777" w:rsidR="00490E6F" w:rsidRPr="00DE113A" w:rsidRDefault="00490E6F" w:rsidP="00490E6F">
            <w:pPr>
              <w:jc w:val="right"/>
              <w:rPr>
                <w:sz w:val="20"/>
                <w:szCs w:val="20"/>
              </w:rPr>
            </w:pPr>
            <w:r w:rsidRPr="00DE113A">
              <w:rPr>
                <w:sz w:val="20"/>
                <w:szCs w:val="20"/>
              </w:rPr>
              <w:t>0</w:t>
            </w:r>
          </w:p>
          <w:p w14:paraId="760E3988" w14:textId="11738B90" w:rsidR="00490E6F" w:rsidRPr="00DE113A" w:rsidRDefault="00490E6F" w:rsidP="00490E6F">
            <w:pPr>
              <w:jc w:val="right"/>
              <w:rPr>
                <w:sz w:val="20"/>
                <w:szCs w:val="20"/>
                <w:highlight w:val="yellow"/>
              </w:rPr>
            </w:pPr>
            <w:r w:rsidRPr="00DE113A">
              <w:rPr>
                <w:sz w:val="20"/>
                <w:szCs w:val="20"/>
              </w:rPr>
              <w:t>0</w:t>
            </w:r>
          </w:p>
        </w:tc>
        <w:tc>
          <w:tcPr>
            <w:tcW w:w="1418" w:type="dxa"/>
            <w:tcBorders>
              <w:top w:val="nil"/>
              <w:bottom w:val="single" w:sz="8" w:space="0" w:color="7F7F7F" w:themeColor="text1" w:themeTint="80"/>
            </w:tcBorders>
            <w:shd w:val="clear" w:color="auto" w:fill="auto"/>
            <w:vAlign w:val="center"/>
          </w:tcPr>
          <w:p w14:paraId="46F55D39" w14:textId="77777777" w:rsidR="00490E6F" w:rsidRPr="00DE113A" w:rsidRDefault="00490E6F" w:rsidP="00490E6F">
            <w:pPr>
              <w:jc w:val="right"/>
              <w:rPr>
                <w:sz w:val="20"/>
                <w:szCs w:val="20"/>
              </w:rPr>
            </w:pPr>
            <w:r w:rsidRPr="00DE113A">
              <w:rPr>
                <w:sz w:val="20"/>
                <w:szCs w:val="20"/>
              </w:rPr>
              <w:t>0</w:t>
            </w:r>
          </w:p>
          <w:p w14:paraId="22DBD124" w14:textId="4E0629CD" w:rsidR="00490E6F" w:rsidRPr="00DE113A" w:rsidRDefault="00490E6F" w:rsidP="00490E6F">
            <w:pPr>
              <w:jc w:val="right"/>
              <w:rPr>
                <w:sz w:val="20"/>
                <w:szCs w:val="20"/>
                <w:highlight w:val="yellow"/>
              </w:rPr>
            </w:pPr>
            <w:r w:rsidRPr="00DE113A">
              <w:rPr>
                <w:sz w:val="20"/>
                <w:szCs w:val="20"/>
              </w:rPr>
              <w:t>1 620</w:t>
            </w:r>
          </w:p>
        </w:tc>
        <w:tc>
          <w:tcPr>
            <w:tcW w:w="997" w:type="dxa"/>
            <w:tcBorders>
              <w:top w:val="nil"/>
              <w:bottom w:val="single" w:sz="8" w:space="0" w:color="7F7F7F" w:themeColor="text1" w:themeTint="80"/>
            </w:tcBorders>
            <w:shd w:val="clear" w:color="auto" w:fill="auto"/>
            <w:vAlign w:val="center"/>
          </w:tcPr>
          <w:p w14:paraId="5601FD43" w14:textId="77777777" w:rsidR="00490E6F" w:rsidRPr="00DE113A" w:rsidRDefault="00490E6F" w:rsidP="00490E6F">
            <w:pPr>
              <w:jc w:val="right"/>
              <w:rPr>
                <w:b/>
                <w:sz w:val="20"/>
                <w:szCs w:val="20"/>
              </w:rPr>
            </w:pPr>
            <w:r w:rsidRPr="00DE113A">
              <w:rPr>
                <w:sz w:val="20"/>
                <w:szCs w:val="20"/>
              </w:rPr>
              <w:t>x</w:t>
            </w:r>
          </w:p>
          <w:p w14:paraId="3C44CF6A" w14:textId="255DD533" w:rsidR="00490E6F" w:rsidRPr="00DE113A" w:rsidRDefault="00490E6F" w:rsidP="00490E6F">
            <w:pPr>
              <w:jc w:val="right"/>
              <w:rPr>
                <w:sz w:val="20"/>
                <w:szCs w:val="20"/>
                <w:highlight w:val="yellow"/>
              </w:rPr>
            </w:pPr>
            <w:r w:rsidRPr="00DE113A">
              <w:rPr>
                <w:sz w:val="20"/>
                <w:szCs w:val="20"/>
              </w:rPr>
              <w:t>x</w:t>
            </w:r>
          </w:p>
        </w:tc>
      </w:tr>
      <w:tr w:rsidR="00DE113A" w:rsidRPr="00DE113A" w14:paraId="62DAD9B1" w14:textId="77777777" w:rsidTr="00C01D38">
        <w:trPr>
          <w:trHeight w:val="403"/>
        </w:trPr>
        <w:tc>
          <w:tcPr>
            <w:tcW w:w="4252" w:type="dxa"/>
            <w:tcBorders>
              <w:top w:val="single" w:sz="8" w:space="0" w:color="7F7F7F" w:themeColor="text1" w:themeTint="80"/>
              <w:bottom w:val="nil"/>
            </w:tcBorders>
            <w:shd w:val="clear" w:color="auto" w:fill="auto"/>
          </w:tcPr>
          <w:p w14:paraId="48EFD3A2" w14:textId="60C76112" w:rsidR="00431078" w:rsidRPr="00DE113A" w:rsidRDefault="00431078" w:rsidP="00431078">
            <w:pPr>
              <w:rPr>
                <w:b/>
                <w:sz w:val="20"/>
                <w:szCs w:val="20"/>
                <w:highlight w:val="yellow"/>
              </w:rPr>
            </w:pPr>
            <w:r w:rsidRPr="00DE113A">
              <w:rPr>
                <w:b/>
                <w:sz w:val="20"/>
                <w:szCs w:val="20"/>
              </w:rPr>
              <w:t xml:space="preserve">Neinvestiční transfery podnikatelským subjektům </w:t>
            </w:r>
            <w:r w:rsidRPr="00DE113A">
              <w:rPr>
                <w:sz w:val="20"/>
                <w:szCs w:val="20"/>
              </w:rPr>
              <w:t>(podsesk. pol. 521)</w:t>
            </w:r>
          </w:p>
        </w:tc>
        <w:tc>
          <w:tcPr>
            <w:tcW w:w="1418" w:type="dxa"/>
            <w:tcBorders>
              <w:top w:val="single" w:sz="8" w:space="0" w:color="7F7F7F" w:themeColor="text1" w:themeTint="80"/>
              <w:bottom w:val="nil"/>
            </w:tcBorders>
            <w:shd w:val="clear" w:color="auto" w:fill="auto"/>
            <w:vAlign w:val="bottom"/>
          </w:tcPr>
          <w:p w14:paraId="4D3879D5" w14:textId="77777777" w:rsidR="00431078" w:rsidRPr="00DE113A" w:rsidRDefault="00431078" w:rsidP="00431078">
            <w:pPr>
              <w:ind w:right="10"/>
              <w:jc w:val="right"/>
              <w:rPr>
                <w:b/>
                <w:sz w:val="20"/>
                <w:szCs w:val="20"/>
              </w:rPr>
            </w:pPr>
          </w:p>
          <w:p w14:paraId="39B14BE6" w14:textId="0AA6B7E6" w:rsidR="00431078" w:rsidRPr="00DE113A" w:rsidRDefault="00431078" w:rsidP="00431078">
            <w:pPr>
              <w:ind w:right="10"/>
              <w:jc w:val="right"/>
              <w:rPr>
                <w:b/>
                <w:sz w:val="20"/>
                <w:szCs w:val="20"/>
                <w:highlight w:val="yellow"/>
              </w:rPr>
            </w:pPr>
            <w:r w:rsidRPr="00DE113A">
              <w:rPr>
                <w:b/>
                <w:sz w:val="20"/>
                <w:szCs w:val="20"/>
              </w:rPr>
              <w:t>6 465 853</w:t>
            </w:r>
          </w:p>
        </w:tc>
        <w:tc>
          <w:tcPr>
            <w:tcW w:w="1417" w:type="dxa"/>
            <w:tcBorders>
              <w:top w:val="single" w:sz="8" w:space="0" w:color="7F7F7F" w:themeColor="text1" w:themeTint="80"/>
              <w:bottom w:val="nil"/>
            </w:tcBorders>
            <w:shd w:val="clear" w:color="auto" w:fill="auto"/>
            <w:vAlign w:val="bottom"/>
          </w:tcPr>
          <w:p w14:paraId="7779483B" w14:textId="77777777" w:rsidR="00431078" w:rsidRPr="00DE113A" w:rsidRDefault="00431078" w:rsidP="00431078">
            <w:pPr>
              <w:jc w:val="right"/>
              <w:rPr>
                <w:b/>
                <w:sz w:val="20"/>
                <w:szCs w:val="20"/>
              </w:rPr>
            </w:pPr>
          </w:p>
          <w:p w14:paraId="2372CC11" w14:textId="02D4E86A" w:rsidR="00431078" w:rsidRPr="00DE113A" w:rsidRDefault="00431078" w:rsidP="00431078">
            <w:pPr>
              <w:jc w:val="right"/>
              <w:rPr>
                <w:b/>
                <w:sz w:val="20"/>
                <w:szCs w:val="20"/>
                <w:highlight w:val="yellow"/>
              </w:rPr>
            </w:pPr>
            <w:r w:rsidRPr="00DE113A">
              <w:rPr>
                <w:b/>
                <w:sz w:val="20"/>
                <w:szCs w:val="20"/>
              </w:rPr>
              <w:t xml:space="preserve">8 428 728 </w:t>
            </w:r>
          </w:p>
        </w:tc>
        <w:tc>
          <w:tcPr>
            <w:tcW w:w="1418" w:type="dxa"/>
            <w:tcBorders>
              <w:top w:val="single" w:sz="8" w:space="0" w:color="7F7F7F" w:themeColor="text1" w:themeTint="80"/>
              <w:bottom w:val="nil"/>
            </w:tcBorders>
            <w:shd w:val="clear" w:color="auto" w:fill="auto"/>
            <w:vAlign w:val="bottom"/>
          </w:tcPr>
          <w:p w14:paraId="3028409F" w14:textId="77777777" w:rsidR="00431078" w:rsidRPr="00DE113A" w:rsidRDefault="00431078" w:rsidP="00431078">
            <w:pPr>
              <w:jc w:val="right"/>
              <w:rPr>
                <w:b/>
                <w:sz w:val="20"/>
                <w:szCs w:val="20"/>
              </w:rPr>
            </w:pPr>
          </w:p>
          <w:p w14:paraId="0256C754" w14:textId="1343F3D3" w:rsidR="00431078" w:rsidRPr="00DE113A" w:rsidRDefault="00431078" w:rsidP="00431078">
            <w:pPr>
              <w:jc w:val="right"/>
              <w:rPr>
                <w:b/>
                <w:sz w:val="20"/>
                <w:szCs w:val="20"/>
                <w:highlight w:val="yellow"/>
              </w:rPr>
            </w:pPr>
            <w:r w:rsidRPr="00DE113A">
              <w:rPr>
                <w:b/>
                <w:sz w:val="20"/>
                <w:szCs w:val="20"/>
              </w:rPr>
              <w:t xml:space="preserve">6 665 688 </w:t>
            </w:r>
          </w:p>
        </w:tc>
        <w:tc>
          <w:tcPr>
            <w:tcW w:w="997" w:type="dxa"/>
            <w:tcBorders>
              <w:top w:val="single" w:sz="8" w:space="0" w:color="7F7F7F" w:themeColor="text1" w:themeTint="80"/>
              <w:bottom w:val="nil"/>
            </w:tcBorders>
            <w:shd w:val="clear" w:color="auto" w:fill="auto"/>
            <w:vAlign w:val="bottom"/>
          </w:tcPr>
          <w:p w14:paraId="254F21B7" w14:textId="77777777" w:rsidR="00431078" w:rsidRPr="00DE113A" w:rsidRDefault="00431078" w:rsidP="00431078">
            <w:pPr>
              <w:jc w:val="right"/>
              <w:rPr>
                <w:b/>
                <w:sz w:val="20"/>
                <w:szCs w:val="20"/>
              </w:rPr>
            </w:pPr>
          </w:p>
          <w:p w14:paraId="1334923D" w14:textId="67CD306F" w:rsidR="00431078" w:rsidRPr="00DE113A" w:rsidRDefault="00431078" w:rsidP="00431078">
            <w:pPr>
              <w:jc w:val="right"/>
              <w:rPr>
                <w:b/>
                <w:sz w:val="20"/>
                <w:szCs w:val="20"/>
                <w:highlight w:val="yellow"/>
              </w:rPr>
            </w:pPr>
            <w:r w:rsidRPr="00DE113A">
              <w:rPr>
                <w:b/>
                <w:sz w:val="20"/>
                <w:szCs w:val="20"/>
              </w:rPr>
              <w:t>79,08</w:t>
            </w:r>
          </w:p>
        </w:tc>
      </w:tr>
      <w:tr w:rsidR="00DE113A" w:rsidRPr="00DE113A" w14:paraId="601EC96B" w14:textId="77777777" w:rsidTr="00C01D38">
        <w:tc>
          <w:tcPr>
            <w:tcW w:w="4252" w:type="dxa"/>
            <w:tcBorders>
              <w:top w:val="nil"/>
              <w:bottom w:val="single" w:sz="8" w:space="0" w:color="7F7F7F" w:themeColor="text1" w:themeTint="80"/>
            </w:tcBorders>
            <w:shd w:val="clear" w:color="auto" w:fill="auto"/>
          </w:tcPr>
          <w:p w14:paraId="278FB5D0" w14:textId="77777777" w:rsidR="00431078" w:rsidRPr="00DE113A" w:rsidRDefault="00431078" w:rsidP="00431078">
            <w:pPr>
              <w:rPr>
                <w:sz w:val="20"/>
                <w:szCs w:val="20"/>
              </w:rPr>
            </w:pPr>
            <w:r w:rsidRPr="00DE113A">
              <w:rPr>
                <w:sz w:val="20"/>
                <w:szCs w:val="20"/>
              </w:rPr>
              <w:t xml:space="preserve">      z toho: programové financování (EDS/SMVS)</w:t>
            </w:r>
          </w:p>
          <w:p w14:paraId="6ABA3471" w14:textId="4F3EA91B" w:rsidR="00431078" w:rsidRPr="00DE113A" w:rsidRDefault="00431078" w:rsidP="00431078">
            <w:pPr>
              <w:rPr>
                <w:sz w:val="20"/>
                <w:szCs w:val="20"/>
                <w:highlight w:val="yellow"/>
              </w:rPr>
            </w:pPr>
            <w:r w:rsidRPr="00DE113A">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02E5A380" w14:textId="77777777" w:rsidR="00431078" w:rsidRPr="00DE113A" w:rsidRDefault="00431078" w:rsidP="00431078">
            <w:pPr>
              <w:ind w:right="10"/>
              <w:jc w:val="right"/>
              <w:rPr>
                <w:sz w:val="20"/>
                <w:szCs w:val="20"/>
              </w:rPr>
            </w:pPr>
            <w:r w:rsidRPr="00DE113A">
              <w:rPr>
                <w:sz w:val="20"/>
                <w:szCs w:val="20"/>
              </w:rPr>
              <w:t>4 180</w:t>
            </w:r>
          </w:p>
          <w:p w14:paraId="7515F81F" w14:textId="3EBE1455" w:rsidR="00431078" w:rsidRPr="00DE113A" w:rsidRDefault="00431078" w:rsidP="00431078">
            <w:pPr>
              <w:ind w:right="10"/>
              <w:jc w:val="right"/>
              <w:rPr>
                <w:b/>
                <w:sz w:val="20"/>
                <w:szCs w:val="20"/>
                <w:highlight w:val="yellow"/>
              </w:rPr>
            </w:pPr>
            <w:r w:rsidRPr="00DE113A">
              <w:rPr>
                <w:sz w:val="20"/>
                <w:szCs w:val="20"/>
              </w:rPr>
              <w:t xml:space="preserve">34     </w:t>
            </w:r>
          </w:p>
        </w:tc>
        <w:tc>
          <w:tcPr>
            <w:tcW w:w="1417" w:type="dxa"/>
            <w:tcBorders>
              <w:top w:val="nil"/>
              <w:bottom w:val="single" w:sz="8" w:space="0" w:color="7F7F7F" w:themeColor="text1" w:themeTint="80"/>
            </w:tcBorders>
            <w:shd w:val="clear" w:color="auto" w:fill="auto"/>
            <w:vAlign w:val="center"/>
          </w:tcPr>
          <w:p w14:paraId="40FF2CF2" w14:textId="77777777" w:rsidR="00431078" w:rsidRPr="00DE113A" w:rsidRDefault="00431078" w:rsidP="00431078">
            <w:pPr>
              <w:jc w:val="right"/>
              <w:rPr>
                <w:sz w:val="20"/>
                <w:szCs w:val="20"/>
              </w:rPr>
            </w:pPr>
            <w:r w:rsidRPr="00DE113A">
              <w:rPr>
                <w:sz w:val="20"/>
                <w:szCs w:val="20"/>
              </w:rPr>
              <w:t>0</w:t>
            </w:r>
          </w:p>
          <w:p w14:paraId="39B43A23" w14:textId="186C1436" w:rsidR="00431078" w:rsidRPr="00DE113A" w:rsidRDefault="00431078" w:rsidP="00431078">
            <w:pPr>
              <w:jc w:val="right"/>
              <w:rPr>
                <w:sz w:val="20"/>
                <w:szCs w:val="20"/>
                <w:highlight w:val="yellow"/>
              </w:rPr>
            </w:pPr>
            <w:r w:rsidRPr="00DE113A">
              <w:rPr>
                <w:sz w:val="20"/>
                <w:szCs w:val="20"/>
              </w:rPr>
              <w:t>0</w:t>
            </w:r>
          </w:p>
        </w:tc>
        <w:tc>
          <w:tcPr>
            <w:tcW w:w="1418" w:type="dxa"/>
            <w:tcBorders>
              <w:top w:val="nil"/>
              <w:bottom w:val="single" w:sz="8" w:space="0" w:color="7F7F7F" w:themeColor="text1" w:themeTint="80"/>
            </w:tcBorders>
            <w:shd w:val="clear" w:color="auto" w:fill="auto"/>
            <w:vAlign w:val="center"/>
          </w:tcPr>
          <w:p w14:paraId="6D5CA67F" w14:textId="77777777" w:rsidR="00431078" w:rsidRPr="00DE113A" w:rsidRDefault="00431078" w:rsidP="00431078">
            <w:pPr>
              <w:jc w:val="right"/>
              <w:rPr>
                <w:sz w:val="20"/>
                <w:szCs w:val="20"/>
              </w:rPr>
            </w:pPr>
            <w:r w:rsidRPr="00DE113A">
              <w:rPr>
                <w:sz w:val="20"/>
                <w:szCs w:val="20"/>
              </w:rPr>
              <w:t>0</w:t>
            </w:r>
          </w:p>
          <w:p w14:paraId="44AF2EB7" w14:textId="166C555E" w:rsidR="00431078" w:rsidRPr="00DE113A" w:rsidRDefault="00431078" w:rsidP="00431078">
            <w:pPr>
              <w:jc w:val="right"/>
              <w:rPr>
                <w:sz w:val="20"/>
                <w:szCs w:val="20"/>
                <w:highlight w:val="yellow"/>
              </w:rPr>
            </w:pPr>
            <w:r w:rsidRPr="00DE113A">
              <w:rPr>
                <w:sz w:val="20"/>
                <w:szCs w:val="20"/>
              </w:rPr>
              <w:t>0</w:t>
            </w:r>
          </w:p>
        </w:tc>
        <w:tc>
          <w:tcPr>
            <w:tcW w:w="997" w:type="dxa"/>
            <w:tcBorders>
              <w:top w:val="nil"/>
              <w:bottom w:val="single" w:sz="8" w:space="0" w:color="7F7F7F" w:themeColor="text1" w:themeTint="80"/>
            </w:tcBorders>
            <w:shd w:val="clear" w:color="auto" w:fill="auto"/>
            <w:vAlign w:val="center"/>
          </w:tcPr>
          <w:p w14:paraId="70FDF158" w14:textId="1AD89468" w:rsidR="00431078" w:rsidRPr="00DE113A" w:rsidRDefault="001A60A9" w:rsidP="00431078">
            <w:pPr>
              <w:jc w:val="right"/>
              <w:rPr>
                <w:sz w:val="20"/>
                <w:szCs w:val="20"/>
              </w:rPr>
            </w:pPr>
            <w:r>
              <w:rPr>
                <w:sz w:val="20"/>
                <w:szCs w:val="20"/>
              </w:rPr>
              <w:t>x</w:t>
            </w:r>
          </w:p>
          <w:p w14:paraId="0524640C" w14:textId="0BE275E5" w:rsidR="00431078" w:rsidRPr="00DE113A" w:rsidRDefault="001A60A9" w:rsidP="00431078">
            <w:pPr>
              <w:jc w:val="right"/>
              <w:rPr>
                <w:sz w:val="20"/>
                <w:szCs w:val="20"/>
                <w:highlight w:val="yellow"/>
              </w:rPr>
            </w:pPr>
            <w:r>
              <w:rPr>
                <w:sz w:val="20"/>
                <w:szCs w:val="20"/>
              </w:rPr>
              <w:t>x</w:t>
            </w:r>
          </w:p>
        </w:tc>
      </w:tr>
      <w:tr w:rsidR="00DE113A" w:rsidRPr="00DE113A" w14:paraId="4B23AC91" w14:textId="77777777" w:rsidTr="00C01D38">
        <w:tc>
          <w:tcPr>
            <w:tcW w:w="4252" w:type="dxa"/>
            <w:tcBorders>
              <w:top w:val="single" w:sz="8" w:space="0" w:color="7F7F7F" w:themeColor="text1" w:themeTint="80"/>
              <w:bottom w:val="nil"/>
            </w:tcBorders>
            <w:shd w:val="clear" w:color="auto" w:fill="auto"/>
          </w:tcPr>
          <w:p w14:paraId="1821FC65" w14:textId="65322EFC" w:rsidR="00E913A0" w:rsidRPr="00DE113A" w:rsidRDefault="00E913A0" w:rsidP="00E913A0">
            <w:pPr>
              <w:rPr>
                <w:b/>
                <w:sz w:val="20"/>
                <w:szCs w:val="20"/>
                <w:highlight w:val="yellow"/>
              </w:rPr>
            </w:pPr>
            <w:r w:rsidRPr="00DE113A">
              <w:rPr>
                <w:b/>
                <w:sz w:val="20"/>
                <w:szCs w:val="20"/>
              </w:rPr>
              <w:t xml:space="preserve">Neinvestiční transfery státním fondům </w:t>
            </w:r>
            <w:r w:rsidRPr="00DE113A">
              <w:rPr>
                <w:sz w:val="20"/>
                <w:szCs w:val="20"/>
              </w:rPr>
              <w:t>(podsesk. pol. 531)</w:t>
            </w:r>
          </w:p>
        </w:tc>
        <w:tc>
          <w:tcPr>
            <w:tcW w:w="1418" w:type="dxa"/>
            <w:tcBorders>
              <w:top w:val="single" w:sz="8" w:space="0" w:color="7F7F7F" w:themeColor="text1" w:themeTint="80"/>
              <w:bottom w:val="nil"/>
            </w:tcBorders>
            <w:shd w:val="clear" w:color="auto" w:fill="auto"/>
            <w:vAlign w:val="bottom"/>
          </w:tcPr>
          <w:p w14:paraId="6ADC5F18" w14:textId="56A97AC7" w:rsidR="00E913A0" w:rsidRPr="00DE113A" w:rsidRDefault="00E913A0" w:rsidP="00E913A0">
            <w:pPr>
              <w:ind w:right="10"/>
              <w:jc w:val="right"/>
              <w:rPr>
                <w:sz w:val="20"/>
                <w:szCs w:val="20"/>
                <w:highlight w:val="yellow"/>
              </w:rPr>
            </w:pPr>
            <w:r w:rsidRPr="00DE113A">
              <w:rPr>
                <w:b/>
                <w:sz w:val="20"/>
                <w:szCs w:val="20"/>
              </w:rPr>
              <w:t>21 428 872</w:t>
            </w:r>
          </w:p>
        </w:tc>
        <w:tc>
          <w:tcPr>
            <w:tcW w:w="1417" w:type="dxa"/>
            <w:tcBorders>
              <w:top w:val="single" w:sz="8" w:space="0" w:color="7F7F7F" w:themeColor="text1" w:themeTint="80"/>
              <w:bottom w:val="nil"/>
            </w:tcBorders>
            <w:shd w:val="clear" w:color="auto" w:fill="auto"/>
            <w:vAlign w:val="bottom"/>
          </w:tcPr>
          <w:p w14:paraId="23390299" w14:textId="7EBBD5D7" w:rsidR="00E913A0" w:rsidRPr="00DE113A" w:rsidRDefault="00E913A0" w:rsidP="00E913A0">
            <w:pPr>
              <w:jc w:val="right"/>
              <w:rPr>
                <w:sz w:val="20"/>
                <w:szCs w:val="20"/>
                <w:highlight w:val="yellow"/>
              </w:rPr>
            </w:pPr>
            <w:r w:rsidRPr="00DE113A">
              <w:rPr>
                <w:b/>
                <w:sz w:val="20"/>
                <w:szCs w:val="20"/>
              </w:rPr>
              <w:t>40 112 897</w:t>
            </w:r>
          </w:p>
        </w:tc>
        <w:tc>
          <w:tcPr>
            <w:tcW w:w="1418" w:type="dxa"/>
            <w:tcBorders>
              <w:top w:val="single" w:sz="8" w:space="0" w:color="7F7F7F" w:themeColor="text1" w:themeTint="80"/>
              <w:bottom w:val="nil"/>
            </w:tcBorders>
            <w:shd w:val="clear" w:color="auto" w:fill="auto"/>
            <w:vAlign w:val="bottom"/>
          </w:tcPr>
          <w:p w14:paraId="5D256A31" w14:textId="488BA924" w:rsidR="00E913A0" w:rsidRPr="00DE113A" w:rsidRDefault="00E913A0" w:rsidP="00E913A0">
            <w:pPr>
              <w:jc w:val="right"/>
              <w:rPr>
                <w:sz w:val="20"/>
                <w:szCs w:val="20"/>
                <w:highlight w:val="yellow"/>
              </w:rPr>
            </w:pPr>
            <w:r w:rsidRPr="00DE113A">
              <w:rPr>
                <w:b/>
                <w:sz w:val="20"/>
                <w:szCs w:val="20"/>
              </w:rPr>
              <w:t>26 060 912</w:t>
            </w:r>
          </w:p>
        </w:tc>
        <w:tc>
          <w:tcPr>
            <w:tcW w:w="997" w:type="dxa"/>
            <w:tcBorders>
              <w:top w:val="single" w:sz="8" w:space="0" w:color="7F7F7F" w:themeColor="text1" w:themeTint="80"/>
              <w:bottom w:val="nil"/>
            </w:tcBorders>
            <w:shd w:val="clear" w:color="auto" w:fill="auto"/>
            <w:vAlign w:val="bottom"/>
          </w:tcPr>
          <w:p w14:paraId="7F67C5FE" w14:textId="4D156FB1" w:rsidR="00E913A0" w:rsidRPr="00DE113A" w:rsidRDefault="00E913A0" w:rsidP="00E913A0">
            <w:pPr>
              <w:jc w:val="right"/>
              <w:rPr>
                <w:b/>
                <w:sz w:val="20"/>
                <w:szCs w:val="20"/>
                <w:highlight w:val="yellow"/>
              </w:rPr>
            </w:pPr>
            <w:r w:rsidRPr="00DE113A">
              <w:rPr>
                <w:b/>
                <w:sz w:val="20"/>
                <w:szCs w:val="20"/>
              </w:rPr>
              <w:t>64,97</w:t>
            </w:r>
          </w:p>
        </w:tc>
      </w:tr>
      <w:tr w:rsidR="00DE113A" w:rsidRPr="00DE113A" w14:paraId="31F836A9" w14:textId="77777777" w:rsidTr="00C01D38">
        <w:tc>
          <w:tcPr>
            <w:tcW w:w="4252" w:type="dxa"/>
            <w:tcBorders>
              <w:top w:val="nil"/>
              <w:bottom w:val="single" w:sz="8" w:space="0" w:color="7F7F7F" w:themeColor="text1" w:themeTint="80"/>
            </w:tcBorders>
            <w:shd w:val="clear" w:color="auto" w:fill="auto"/>
          </w:tcPr>
          <w:p w14:paraId="7A531EA7" w14:textId="77777777" w:rsidR="00E913A0" w:rsidRPr="00DE113A" w:rsidRDefault="00E913A0" w:rsidP="00E913A0">
            <w:pPr>
              <w:rPr>
                <w:sz w:val="20"/>
                <w:szCs w:val="20"/>
              </w:rPr>
            </w:pPr>
            <w:r w:rsidRPr="00DE113A">
              <w:rPr>
                <w:sz w:val="20"/>
                <w:szCs w:val="20"/>
              </w:rPr>
              <w:t xml:space="preserve">     z toho: programové financování (EDS/SMVS)</w:t>
            </w:r>
          </w:p>
          <w:p w14:paraId="3FC37F5A" w14:textId="61CBE2E7" w:rsidR="00E913A0" w:rsidRPr="00DE113A" w:rsidRDefault="00E913A0" w:rsidP="00E913A0">
            <w:pPr>
              <w:rPr>
                <w:sz w:val="20"/>
                <w:szCs w:val="20"/>
                <w:highlight w:val="yellow"/>
              </w:rPr>
            </w:pPr>
            <w:r w:rsidRPr="00DE113A">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77A3E73E" w14:textId="77777777" w:rsidR="00E913A0" w:rsidRPr="00DE113A" w:rsidRDefault="00E913A0" w:rsidP="00E913A0">
            <w:pPr>
              <w:ind w:right="10"/>
              <w:jc w:val="right"/>
              <w:rPr>
                <w:sz w:val="20"/>
                <w:szCs w:val="20"/>
              </w:rPr>
            </w:pPr>
            <w:r w:rsidRPr="00DE113A">
              <w:rPr>
                <w:sz w:val="20"/>
                <w:szCs w:val="20"/>
              </w:rPr>
              <w:t>21 378 057</w:t>
            </w:r>
          </w:p>
          <w:p w14:paraId="02EC0C1E" w14:textId="65EB3CC4" w:rsidR="00E913A0" w:rsidRPr="00DE113A" w:rsidRDefault="00E913A0" w:rsidP="00E913A0">
            <w:pPr>
              <w:ind w:right="10"/>
              <w:jc w:val="right"/>
              <w:rPr>
                <w:sz w:val="20"/>
                <w:szCs w:val="20"/>
                <w:highlight w:val="yellow"/>
              </w:rPr>
            </w:pPr>
            <w:r w:rsidRPr="00DE113A">
              <w:rPr>
                <w:sz w:val="20"/>
                <w:szCs w:val="20"/>
              </w:rPr>
              <w:t>51 278</w:t>
            </w:r>
          </w:p>
        </w:tc>
        <w:tc>
          <w:tcPr>
            <w:tcW w:w="1417" w:type="dxa"/>
            <w:tcBorders>
              <w:top w:val="nil"/>
              <w:bottom w:val="single" w:sz="8" w:space="0" w:color="7F7F7F" w:themeColor="text1" w:themeTint="80"/>
            </w:tcBorders>
            <w:shd w:val="clear" w:color="auto" w:fill="auto"/>
            <w:vAlign w:val="center"/>
          </w:tcPr>
          <w:p w14:paraId="37CFCF82" w14:textId="77777777" w:rsidR="00E913A0" w:rsidRPr="00DE113A" w:rsidRDefault="00E913A0" w:rsidP="00E913A0">
            <w:pPr>
              <w:jc w:val="right"/>
              <w:rPr>
                <w:sz w:val="20"/>
                <w:szCs w:val="20"/>
              </w:rPr>
            </w:pPr>
            <w:r w:rsidRPr="00DE113A">
              <w:rPr>
                <w:sz w:val="20"/>
                <w:szCs w:val="20"/>
              </w:rPr>
              <w:t>40 052 607</w:t>
            </w:r>
          </w:p>
          <w:p w14:paraId="024846EF" w14:textId="3A58752F" w:rsidR="00E913A0" w:rsidRPr="00DE113A" w:rsidRDefault="00E913A0" w:rsidP="00E913A0">
            <w:pPr>
              <w:jc w:val="right"/>
              <w:rPr>
                <w:sz w:val="20"/>
                <w:szCs w:val="20"/>
                <w:highlight w:val="yellow"/>
              </w:rPr>
            </w:pPr>
            <w:r w:rsidRPr="00DE113A">
              <w:rPr>
                <w:sz w:val="20"/>
                <w:szCs w:val="20"/>
              </w:rPr>
              <w:t>60 290</w:t>
            </w:r>
          </w:p>
        </w:tc>
        <w:tc>
          <w:tcPr>
            <w:tcW w:w="1418" w:type="dxa"/>
            <w:tcBorders>
              <w:top w:val="nil"/>
              <w:bottom w:val="single" w:sz="8" w:space="0" w:color="7F7F7F" w:themeColor="text1" w:themeTint="80"/>
            </w:tcBorders>
            <w:shd w:val="clear" w:color="auto" w:fill="auto"/>
            <w:vAlign w:val="center"/>
          </w:tcPr>
          <w:p w14:paraId="4E2AB2C6" w14:textId="77777777" w:rsidR="00E913A0" w:rsidRPr="00DE113A" w:rsidRDefault="00E913A0" w:rsidP="00E913A0">
            <w:pPr>
              <w:jc w:val="right"/>
              <w:rPr>
                <w:sz w:val="20"/>
                <w:szCs w:val="20"/>
              </w:rPr>
            </w:pPr>
            <w:r w:rsidRPr="00DE113A">
              <w:rPr>
                <w:sz w:val="20"/>
                <w:szCs w:val="20"/>
              </w:rPr>
              <w:t>26 000 000</w:t>
            </w:r>
          </w:p>
          <w:p w14:paraId="0D534175" w14:textId="571938E9" w:rsidR="00E913A0" w:rsidRPr="00DE113A" w:rsidRDefault="00E913A0" w:rsidP="00E913A0">
            <w:pPr>
              <w:jc w:val="right"/>
              <w:rPr>
                <w:sz w:val="20"/>
                <w:szCs w:val="20"/>
                <w:highlight w:val="yellow"/>
              </w:rPr>
            </w:pPr>
            <w:r w:rsidRPr="00DE113A">
              <w:rPr>
                <w:sz w:val="20"/>
                <w:szCs w:val="20"/>
              </w:rPr>
              <w:t>60 912</w:t>
            </w:r>
          </w:p>
        </w:tc>
        <w:tc>
          <w:tcPr>
            <w:tcW w:w="997" w:type="dxa"/>
            <w:tcBorders>
              <w:top w:val="nil"/>
              <w:bottom w:val="single" w:sz="8" w:space="0" w:color="7F7F7F" w:themeColor="text1" w:themeTint="80"/>
            </w:tcBorders>
            <w:shd w:val="clear" w:color="auto" w:fill="auto"/>
            <w:vAlign w:val="center"/>
          </w:tcPr>
          <w:p w14:paraId="5B68F636" w14:textId="77777777" w:rsidR="00E913A0" w:rsidRPr="00DE113A" w:rsidRDefault="00E913A0" w:rsidP="00E913A0">
            <w:pPr>
              <w:jc w:val="right"/>
              <w:rPr>
                <w:sz w:val="20"/>
                <w:szCs w:val="20"/>
              </w:rPr>
            </w:pPr>
            <w:r w:rsidRPr="00DE113A">
              <w:rPr>
                <w:sz w:val="20"/>
                <w:szCs w:val="20"/>
              </w:rPr>
              <w:t xml:space="preserve">64,91                </w:t>
            </w:r>
          </w:p>
          <w:p w14:paraId="5C793BCE" w14:textId="64BA4B42" w:rsidR="00E913A0" w:rsidRPr="00DE113A" w:rsidRDefault="00E913A0" w:rsidP="00E913A0">
            <w:pPr>
              <w:jc w:val="right"/>
              <w:rPr>
                <w:sz w:val="20"/>
                <w:szCs w:val="20"/>
                <w:highlight w:val="yellow"/>
              </w:rPr>
            </w:pPr>
            <w:r w:rsidRPr="00DE113A">
              <w:rPr>
                <w:sz w:val="20"/>
                <w:szCs w:val="20"/>
              </w:rPr>
              <w:t>101,03</w:t>
            </w:r>
          </w:p>
        </w:tc>
      </w:tr>
      <w:tr w:rsidR="007B36D0" w:rsidRPr="00DE113A" w14:paraId="48782CDE" w14:textId="77777777" w:rsidTr="00C01D38">
        <w:trPr>
          <w:trHeight w:val="383"/>
        </w:trPr>
        <w:tc>
          <w:tcPr>
            <w:tcW w:w="4252" w:type="dxa"/>
            <w:tcBorders>
              <w:top w:val="single" w:sz="8" w:space="0" w:color="7F7F7F" w:themeColor="text1" w:themeTint="80"/>
              <w:bottom w:val="single" w:sz="8" w:space="0" w:color="7F7F7F" w:themeColor="text1" w:themeTint="80"/>
            </w:tcBorders>
            <w:shd w:val="clear" w:color="auto" w:fill="auto"/>
          </w:tcPr>
          <w:p w14:paraId="1D42F44B" w14:textId="77777777" w:rsidR="007B36D0" w:rsidRPr="00DE113A" w:rsidRDefault="007B36D0" w:rsidP="007B36D0">
            <w:pPr>
              <w:rPr>
                <w:sz w:val="20"/>
                <w:szCs w:val="20"/>
              </w:rPr>
            </w:pPr>
            <w:r w:rsidRPr="00DE113A">
              <w:rPr>
                <w:b/>
                <w:sz w:val="20"/>
                <w:szCs w:val="20"/>
              </w:rPr>
              <w:t xml:space="preserve">Účelové neinvestiční transfery fyzickým osobám </w:t>
            </w:r>
            <w:r w:rsidRPr="00DE113A">
              <w:rPr>
                <w:sz w:val="20"/>
                <w:szCs w:val="20"/>
              </w:rPr>
              <w:t>(položka 5493)</w:t>
            </w:r>
          </w:p>
          <w:p w14:paraId="2CA2A1EA" w14:textId="77777777" w:rsidR="007B36D0" w:rsidRPr="00DE113A" w:rsidRDefault="007B36D0" w:rsidP="007B36D0">
            <w:pPr>
              <w:rPr>
                <w:sz w:val="20"/>
                <w:szCs w:val="20"/>
              </w:rPr>
            </w:pPr>
            <w:r w:rsidRPr="00DE113A">
              <w:rPr>
                <w:sz w:val="20"/>
                <w:szCs w:val="20"/>
              </w:rPr>
              <w:t>z toho: programové financování (EDS/SMVS)</w:t>
            </w:r>
          </w:p>
          <w:p w14:paraId="1850AA72" w14:textId="762A4680" w:rsidR="007B36D0" w:rsidRPr="00DE113A" w:rsidRDefault="007B36D0" w:rsidP="007B36D0">
            <w:pPr>
              <w:rPr>
                <w:b/>
                <w:sz w:val="20"/>
                <w:szCs w:val="20"/>
              </w:rPr>
            </w:pPr>
            <w:r w:rsidRPr="00DE113A">
              <w:rPr>
                <w:sz w:val="20"/>
                <w:szCs w:val="20"/>
              </w:rPr>
              <w:t xml:space="preserve">            prostředky EU</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734C39FB" w14:textId="77777777" w:rsidR="007B36D0" w:rsidRPr="00DE113A" w:rsidRDefault="007B36D0" w:rsidP="007B36D0">
            <w:pPr>
              <w:jc w:val="right"/>
              <w:rPr>
                <w:b/>
                <w:sz w:val="20"/>
                <w:szCs w:val="20"/>
              </w:rPr>
            </w:pPr>
            <w:r w:rsidRPr="00DE113A">
              <w:rPr>
                <w:b/>
                <w:sz w:val="20"/>
                <w:szCs w:val="20"/>
              </w:rPr>
              <w:t>278</w:t>
            </w:r>
          </w:p>
          <w:p w14:paraId="4E59407A" w14:textId="77777777" w:rsidR="007B36D0" w:rsidRPr="00DE113A" w:rsidRDefault="007B36D0" w:rsidP="007B36D0">
            <w:pPr>
              <w:jc w:val="right"/>
              <w:rPr>
                <w:bCs/>
                <w:sz w:val="20"/>
                <w:szCs w:val="20"/>
              </w:rPr>
            </w:pPr>
            <w:r w:rsidRPr="00DE113A">
              <w:rPr>
                <w:bCs/>
                <w:sz w:val="20"/>
                <w:szCs w:val="20"/>
              </w:rPr>
              <w:t>278</w:t>
            </w:r>
          </w:p>
          <w:p w14:paraId="69A792FB" w14:textId="6CE965BD" w:rsidR="007B36D0" w:rsidRPr="00DE113A" w:rsidRDefault="007B36D0" w:rsidP="007B36D0">
            <w:pPr>
              <w:ind w:right="10"/>
              <w:jc w:val="right"/>
              <w:rPr>
                <w:b/>
                <w:sz w:val="20"/>
                <w:szCs w:val="20"/>
              </w:rPr>
            </w:pPr>
            <w:r w:rsidRPr="00DE113A">
              <w:rPr>
                <w:bCs/>
                <w:sz w:val="20"/>
                <w:szCs w:val="20"/>
              </w:rPr>
              <w:t xml:space="preserve">                     0</w:t>
            </w:r>
          </w:p>
        </w:tc>
        <w:tc>
          <w:tcPr>
            <w:tcW w:w="1417" w:type="dxa"/>
            <w:tcBorders>
              <w:top w:val="single" w:sz="8" w:space="0" w:color="7F7F7F" w:themeColor="text1" w:themeTint="80"/>
              <w:bottom w:val="single" w:sz="8" w:space="0" w:color="7F7F7F" w:themeColor="text1" w:themeTint="80"/>
            </w:tcBorders>
            <w:shd w:val="clear" w:color="auto" w:fill="auto"/>
            <w:vAlign w:val="bottom"/>
          </w:tcPr>
          <w:p w14:paraId="3EE977BC" w14:textId="77777777" w:rsidR="007B36D0" w:rsidRPr="00DE113A" w:rsidRDefault="007B36D0" w:rsidP="007B36D0">
            <w:pPr>
              <w:jc w:val="right"/>
              <w:rPr>
                <w:b/>
                <w:sz w:val="20"/>
                <w:szCs w:val="20"/>
              </w:rPr>
            </w:pPr>
            <w:r w:rsidRPr="00DE113A">
              <w:rPr>
                <w:b/>
                <w:sz w:val="20"/>
                <w:szCs w:val="20"/>
              </w:rPr>
              <w:t>0</w:t>
            </w:r>
          </w:p>
          <w:p w14:paraId="1DA34F13" w14:textId="77777777" w:rsidR="007B36D0" w:rsidRPr="00DE113A" w:rsidRDefault="007B36D0" w:rsidP="007B36D0">
            <w:pPr>
              <w:jc w:val="right"/>
              <w:rPr>
                <w:sz w:val="20"/>
                <w:szCs w:val="20"/>
              </w:rPr>
            </w:pPr>
            <w:r w:rsidRPr="00DE113A">
              <w:rPr>
                <w:sz w:val="20"/>
                <w:szCs w:val="20"/>
              </w:rPr>
              <w:t>0</w:t>
            </w:r>
          </w:p>
          <w:p w14:paraId="5CBE9C08" w14:textId="1D1D5556" w:rsidR="007B36D0" w:rsidRPr="00DE113A" w:rsidRDefault="007B36D0" w:rsidP="007B36D0">
            <w:pPr>
              <w:jc w:val="right"/>
              <w:rPr>
                <w:b/>
                <w:sz w:val="20"/>
                <w:szCs w:val="20"/>
              </w:rPr>
            </w:pPr>
            <w:r w:rsidRPr="00DE113A">
              <w:rPr>
                <w:sz w:val="20"/>
                <w:szCs w:val="20"/>
              </w:rPr>
              <w:t>0</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095F7805" w14:textId="77777777" w:rsidR="007B36D0" w:rsidRPr="00DE113A" w:rsidRDefault="007B36D0" w:rsidP="007B36D0">
            <w:pPr>
              <w:jc w:val="right"/>
              <w:rPr>
                <w:b/>
                <w:sz w:val="20"/>
                <w:szCs w:val="20"/>
              </w:rPr>
            </w:pPr>
            <w:r w:rsidRPr="00DE113A">
              <w:rPr>
                <w:b/>
                <w:sz w:val="20"/>
                <w:szCs w:val="20"/>
              </w:rPr>
              <w:t>0</w:t>
            </w:r>
          </w:p>
          <w:p w14:paraId="2E8C1F00" w14:textId="77777777" w:rsidR="007B36D0" w:rsidRPr="00DE113A" w:rsidRDefault="007B36D0" w:rsidP="007B36D0">
            <w:pPr>
              <w:jc w:val="right"/>
              <w:rPr>
                <w:sz w:val="20"/>
                <w:szCs w:val="20"/>
              </w:rPr>
            </w:pPr>
            <w:r w:rsidRPr="00DE113A">
              <w:rPr>
                <w:sz w:val="20"/>
                <w:szCs w:val="20"/>
              </w:rPr>
              <w:t>0</w:t>
            </w:r>
          </w:p>
          <w:p w14:paraId="1774D632" w14:textId="508E0BE8" w:rsidR="007B36D0" w:rsidRPr="00DE113A" w:rsidRDefault="007B36D0" w:rsidP="007B36D0">
            <w:pPr>
              <w:jc w:val="right"/>
              <w:rPr>
                <w:b/>
                <w:sz w:val="20"/>
                <w:szCs w:val="20"/>
              </w:rPr>
            </w:pPr>
            <w:r w:rsidRPr="00DE113A">
              <w:rPr>
                <w:bCs/>
                <w:sz w:val="20"/>
                <w:szCs w:val="20"/>
              </w:rPr>
              <w:t>0</w:t>
            </w:r>
          </w:p>
        </w:tc>
        <w:tc>
          <w:tcPr>
            <w:tcW w:w="997" w:type="dxa"/>
            <w:tcBorders>
              <w:top w:val="single" w:sz="8" w:space="0" w:color="7F7F7F" w:themeColor="text1" w:themeTint="80"/>
              <w:bottom w:val="single" w:sz="8" w:space="0" w:color="7F7F7F" w:themeColor="text1" w:themeTint="80"/>
            </w:tcBorders>
            <w:shd w:val="clear" w:color="auto" w:fill="auto"/>
            <w:vAlign w:val="bottom"/>
          </w:tcPr>
          <w:p w14:paraId="746B9301" w14:textId="77777777" w:rsidR="007B36D0" w:rsidRPr="00DE113A" w:rsidRDefault="007B36D0" w:rsidP="007B36D0">
            <w:pPr>
              <w:jc w:val="right"/>
              <w:rPr>
                <w:bCs/>
                <w:sz w:val="20"/>
                <w:szCs w:val="20"/>
              </w:rPr>
            </w:pPr>
            <w:r w:rsidRPr="00DE113A">
              <w:rPr>
                <w:bCs/>
                <w:sz w:val="20"/>
                <w:szCs w:val="20"/>
              </w:rPr>
              <w:t>x</w:t>
            </w:r>
          </w:p>
          <w:p w14:paraId="5DF37164" w14:textId="77777777" w:rsidR="007B36D0" w:rsidRPr="00DE113A" w:rsidRDefault="007B36D0" w:rsidP="007B36D0">
            <w:pPr>
              <w:jc w:val="right"/>
              <w:rPr>
                <w:bCs/>
                <w:sz w:val="20"/>
                <w:szCs w:val="20"/>
              </w:rPr>
            </w:pPr>
            <w:r w:rsidRPr="00DE113A">
              <w:rPr>
                <w:bCs/>
                <w:sz w:val="20"/>
                <w:szCs w:val="20"/>
              </w:rPr>
              <w:t>x</w:t>
            </w:r>
          </w:p>
          <w:p w14:paraId="7849F63B" w14:textId="5F51F60C" w:rsidR="007B36D0" w:rsidRPr="00DE113A" w:rsidRDefault="007B36D0" w:rsidP="007B36D0">
            <w:pPr>
              <w:jc w:val="right"/>
              <w:rPr>
                <w:b/>
                <w:sz w:val="20"/>
                <w:szCs w:val="20"/>
              </w:rPr>
            </w:pPr>
            <w:r w:rsidRPr="00DE113A">
              <w:rPr>
                <w:bCs/>
                <w:sz w:val="20"/>
                <w:szCs w:val="20"/>
              </w:rPr>
              <w:t xml:space="preserve">x                    </w:t>
            </w:r>
          </w:p>
        </w:tc>
      </w:tr>
      <w:tr w:rsidR="00DE113A" w:rsidRPr="00DE113A" w14:paraId="4E62972E" w14:textId="77777777" w:rsidTr="00C01D38">
        <w:trPr>
          <w:trHeight w:val="383"/>
        </w:trPr>
        <w:tc>
          <w:tcPr>
            <w:tcW w:w="4252" w:type="dxa"/>
            <w:tcBorders>
              <w:top w:val="single" w:sz="8" w:space="0" w:color="7F7F7F" w:themeColor="text1" w:themeTint="80"/>
              <w:bottom w:val="single" w:sz="8" w:space="0" w:color="7F7F7F" w:themeColor="text1" w:themeTint="80"/>
            </w:tcBorders>
            <w:shd w:val="clear" w:color="auto" w:fill="auto"/>
          </w:tcPr>
          <w:p w14:paraId="1A55CFA8" w14:textId="5E5DE353" w:rsidR="007B36D0" w:rsidRPr="00DE113A" w:rsidRDefault="007B36D0" w:rsidP="007B36D0">
            <w:pPr>
              <w:rPr>
                <w:b/>
                <w:sz w:val="20"/>
                <w:szCs w:val="20"/>
                <w:highlight w:val="yellow"/>
              </w:rPr>
            </w:pPr>
            <w:r w:rsidRPr="00DE113A">
              <w:rPr>
                <w:b/>
                <w:sz w:val="20"/>
                <w:szCs w:val="20"/>
              </w:rPr>
              <w:t xml:space="preserve">Neinvestiční transfery do zahraničí </w:t>
            </w:r>
            <w:r w:rsidRPr="00DE113A">
              <w:rPr>
                <w:sz w:val="20"/>
                <w:szCs w:val="20"/>
              </w:rPr>
              <w:t>(podsesk. pol. 551, 553, 554)</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690C26D6" w14:textId="7B21AF73" w:rsidR="007B36D0" w:rsidRPr="00DE113A" w:rsidRDefault="007B36D0" w:rsidP="007B36D0">
            <w:pPr>
              <w:ind w:right="10"/>
              <w:jc w:val="right"/>
              <w:rPr>
                <w:b/>
                <w:sz w:val="20"/>
                <w:szCs w:val="20"/>
                <w:highlight w:val="yellow"/>
              </w:rPr>
            </w:pPr>
            <w:r w:rsidRPr="00DE113A">
              <w:rPr>
                <w:b/>
                <w:sz w:val="20"/>
                <w:szCs w:val="20"/>
              </w:rPr>
              <w:t>1 189 399</w:t>
            </w:r>
          </w:p>
        </w:tc>
        <w:tc>
          <w:tcPr>
            <w:tcW w:w="1417" w:type="dxa"/>
            <w:tcBorders>
              <w:top w:val="single" w:sz="8" w:space="0" w:color="7F7F7F" w:themeColor="text1" w:themeTint="80"/>
              <w:bottom w:val="single" w:sz="8" w:space="0" w:color="7F7F7F" w:themeColor="text1" w:themeTint="80"/>
            </w:tcBorders>
            <w:shd w:val="clear" w:color="auto" w:fill="auto"/>
            <w:vAlign w:val="bottom"/>
          </w:tcPr>
          <w:p w14:paraId="123AD289" w14:textId="0C703D8F" w:rsidR="007B36D0" w:rsidRPr="00DE113A" w:rsidRDefault="007B36D0" w:rsidP="007B36D0">
            <w:pPr>
              <w:jc w:val="right"/>
              <w:rPr>
                <w:b/>
                <w:sz w:val="20"/>
                <w:szCs w:val="20"/>
                <w:highlight w:val="yellow"/>
              </w:rPr>
            </w:pPr>
            <w:r w:rsidRPr="00DE113A">
              <w:rPr>
                <w:b/>
                <w:sz w:val="20"/>
                <w:szCs w:val="20"/>
              </w:rPr>
              <w:t>1 221 146</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75AB8FBB" w14:textId="2E7A87C7" w:rsidR="007B36D0" w:rsidRPr="00DE113A" w:rsidRDefault="007B36D0" w:rsidP="007B36D0">
            <w:pPr>
              <w:jc w:val="right"/>
              <w:rPr>
                <w:b/>
                <w:sz w:val="20"/>
                <w:szCs w:val="20"/>
                <w:highlight w:val="yellow"/>
              </w:rPr>
            </w:pPr>
            <w:r w:rsidRPr="00DE113A">
              <w:rPr>
                <w:b/>
                <w:sz w:val="20"/>
                <w:szCs w:val="20"/>
              </w:rPr>
              <w:t>1 221 466</w:t>
            </w:r>
          </w:p>
        </w:tc>
        <w:tc>
          <w:tcPr>
            <w:tcW w:w="997" w:type="dxa"/>
            <w:tcBorders>
              <w:top w:val="single" w:sz="8" w:space="0" w:color="7F7F7F" w:themeColor="text1" w:themeTint="80"/>
              <w:bottom w:val="single" w:sz="8" w:space="0" w:color="7F7F7F" w:themeColor="text1" w:themeTint="80"/>
            </w:tcBorders>
            <w:shd w:val="clear" w:color="auto" w:fill="auto"/>
            <w:vAlign w:val="bottom"/>
          </w:tcPr>
          <w:p w14:paraId="51B60174" w14:textId="772DFC3E" w:rsidR="007B36D0" w:rsidRPr="00DE113A" w:rsidRDefault="007B36D0" w:rsidP="007B36D0">
            <w:pPr>
              <w:jc w:val="right"/>
              <w:rPr>
                <w:b/>
                <w:sz w:val="20"/>
                <w:szCs w:val="20"/>
                <w:highlight w:val="yellow"/>
              </w:rPr>
            </w:pPr>
            <w:r w:rsidRPr="00DE113A">
              <w:rPr>
                <w:b/>
                <w:sz w:val="20"/>
                <w:szCs w:val="20"/>
              </w:rPr>
              <w:t xml:space="preserve">              100,03</w:t>
            </w:r>
          </w:p>
        </w:tc>
      </w:tr>
      <w:tr w:rsidR="00DE113A" w:rsidRPr="00DE113A" w14:paraId="685D65E4" w14:textId="77777777" w:rsidTr="00C01D38">
        <w:trPr>
          <w:trHeight w:val="1265"/>
        </w:trPr>
        <w:tc>
          <w:tcPr>
            <w:tcW w:w="4252" w:type="dxa"/>
            <w:tcBorders>
              <w:top w:val="single" w:sz="8" w:space="0" w:color="7F7F7F" w:themeColor="text1" w:themeTint="80"/>
              <w:bottom w:val="single" w:sz="8" w:space="0" w:color="7F7F7F" w:themeColor="text1" w:themeTint="80"/>
            </w:tcBorders>
            <w:shd w:val="clear" w:color="auto" w:fill="auto"/>
          </w:tcPr>
          <w:p w14:paraId="2CE4B293" w14:textId="77777777" w:rsidR="00FA3923" w:rsidRPr="00DE113A" w:rsidRDefault="00FA3923" w:rsidP="00FA3923">
            <w:pPr>
              <w:jc w:val="left"/>
              <w:rPr>
                <w:b/>
                <w:sz w:val="20"/>
                <w:szCs w:val="20"/>
              </w:rPr>
            </w:pPr>
            <w:r w:rsidRPr="00DE113A">
              <w:rPr>
                <w:b/>
                <w:sz w:val="20"/>
                <w:szCs w:val="20"/>
              </w:rPr>
              <w:t xml:space="preserve">BĚŽNÉ VÝDAJE CELKEM  </w:t>
            </w:r>
          </w:p>
          <w:p w14:paraId="5CA3761C" w14:textId="77777777" w:rsidR="00FA3923" w:rsidRPr="00DE113A" w:rsidRDefault="00FA3923" w:rsidP="00FA3923">
            <w:pPr>
              <w:jc w:val="left"/>
              <w:rPr>
                <w:sz w:val="20"/>
                <w:szCs w:val="20"/>
              </w:rPr>
            </w:pPr>
            <w:r w:rsidRPr="00DE113A">
              <w:rPr>
                <w:sz w:val="20"/>
                <w:szCs w:val="20"/>
              </w:rPr>
              <w:t>z toho: dopravně správní agendy</w:t>
            </w:r>
          </w:p>
          <w:p w14:paraId="05F6FFAB" w14:textId="77777777" w:rsidR="00FA3923" w:rsidRPr="00DE113A" w:rsidRDefault="00FA3923" w:rsidP="00FA3923">
            <w:pPr>
              <w:jc w:val="left"/>
              <w:rPr>
                <w:sz w:val="20"/>
                <w:szCs w:val="20"/>
              </w:rPr>
            </w:pPr>
            <w:r w:rsidRPr="00DE113A">
              <w:rPr>
                <w:b/>
                <w:sz w:val="20"/>
                <w:szCs w:val="20"/>
              </w:rPr>
              <w:t xml:space="preserve">            </w:t>
            </w:r>
            <w:r w:rsidRPr="00DE113A">
              <w:rPr>
                <w:sz w:val="20"/>
                <w:szCs w:val="20"/>
              </w:rPr>
              <w:t>programové financování (EDS/SMVS)</w:t>
            </w:r>
          </w:p>
          <w:p w14:paraId="6FBB0162" w14:textId="77777777" w:rsidR="00FA3923" w:rsidRPr="00DE113A" w:rsidRDefault="00FA3923" w:rsidP="00FA3923">
            <w:pPr>
              <w:jc w:val="left"/>
              <w:rPr>
                <w:sz w:val="20"/>
                <w:szCs w:val="20"/>
              </w:rPr>
            </w:pPr>
            <w:r w:rsidRPr="00DE113A">
              <w:rPr>
                <w:sz w:val="20"/>
                <w:szCs w:val="20"/>
              </w:rPr>
              <w:t xml:space="preserve">            prostředky EU</w:t>
            </w:r>
          </w:p>
          <w:p w14:paraId="42FFA3B2" w14:textId="74310AA1" w:rsidR="00FA3923" w:rsidRPr="00DE113A" w:rsidRDefault="00FA3923" w:rsidP="00FA3923">
            <w:pPr>
              <w:jc w:val="left"/>
              <w:rPr>
                <w:b/>
                <w:sz w:val="20"/>
                <w:szCs w:val="20"/>
                <w:highlight w:val="yellow"/>
              </w:rPr>
            </w:pPr>
            <w:r w:rsidRPr="00DE113A">
              <w:rPr>
                <w:sz w:val="20"/>
                <w:szCs w:val="20"/>
              </w:rPr>
              <w:t xml:space="preserve">            výzkum, vývoj a inovace</w:t>
            </w:r>
          </w:p>
        </w:tc>
        <w:tc>
          <w:tcPr>
            <w:tcW w:w="1418" w:type="dxa"/>
            <w:tcBorders>
              <w:top w:val="single" w:sz="8" w:space="0" w:color="7F7F7F" w:themeColor="text1" w:themeTint="80"/>
              <w:bottom w:val="single" w:sz="8" w:space="0" w:color="7F7F7F" w:themeColor="text1" w:themeTint="80"/>
            </w:tcBorders>
            <w:shd w:val="clear" w:color="auto" w:fill="auto"/>
          </w:tcPr>
          <w:p w14:paraId="5C89719A" w14:textId="77777777" w:rsidR="00FA3923" w:rsidRPr="00DE113A" w:rsidRDefault="00FA3923" w:rsidP="00FA3923">
            <w:pPr>
              <w:ind w:right="10"/>
              <w:jc w:val="right"/>
              <w:rPr>
                <w:b/>
                <w:sz w:val="20"/>
                <w:szCs w:val="20"/>
              </w:rPr>
            </w:pPr>
            <w:r w:rsidRPr="00DE113A">
              <w:rPr>
                <w:b/>
                <w:sz w:val="20"/>
                <w:szCs w:val="20"/>
              </w:rPr>
              <w:t>40 044 596</w:t>
            </w:r>
          </w:p>
          <w:p w14:paraId="1FD80966" w14:textId="77777777" w:rsidR="00FA3923" w:rsidRPr="00DE113A" w:rsidRDefault="00FA3923" w:rsidP="00FA3923">
            <w:pPr>
              <w:ind w:right="10"/>
              <w:jc w:val="right"/>
              <w:rPr>
                <w:sz w:val="20"/>
                <w:szCs w:val="20"/>
              </w:rPr>
            </w:pPr>
            <w:r w:rsidRPr="00DE113A">
              <w:rPr>
                <w:sz w:val="20"/>
                <w:szCs w:val="20"/>
              </w:rPr>
              <w:t xml:space="preserve">        259 485</w:t>
            </w:r>
          </w:p>
          <w:p w14:paraId="3DED4979" w14:textId="77777777" w:rsidR="00FA3923" w:rsidRPr="00DE113A" w:rsidRDefault="00FA3923" w:rsidP="00FA3923">
            <w:pPr>
              <w:ind w:right="10"/>
              <w:jc w:val="right"/>
              <w:rPr>
                <w:sz w:val="20"/>
                <w:szCs w:val="20"/>
              </w:rPr>
            </w:pPr>
            <w:r w:rsidRPr="00DE113A">
              <w:rPr>
                <w:sz w:val="20"/>
                <w:szCs w:val="20"/>
              </w:rPr>
              <w:t xml:space="preserve">21 538 537            </w:t>
            </w:r>
          </w:p>
          <w:p w14:paraId="5328825E" w14:textId="77777777" w:rsidR="00FA3923" w:rsidRPr="00DE113A" w:rsidRDefault="00FA3923" w:rsidP="00FA3923">
            <w:pPr>
              <w:ind w:right="10"/>
              <w:jc w:val="right"/>
              <w:rPr>
                <w:sz w:val="20"/>
                <w:szCs w:val="20"/>
              </w:rPr>
            </w:pPr>
            <w:r w:rsidRPr="00DE113A">
              <w:rPr>
                <w:sz w:val="20"/>
                <w:szCs w:val="20"/>
              </w:rPr>
              <w:t xml:space="preserve">133 008 </w:t>
            </w:r>
          </w:p>
          <w:p w14:paraId="77E8358B" w14:textId="541E4111" w:rsidR="00FA3923" w:rsidRPr="00DE113A" w:rsidRDefault="00FA3923" w:rsidP="00FA3923">
            <w:pPr>
              <w:ind w:right="10"/>
              <w:jc w:val="right"/>
              <w:rPr>
                <w:b/>
                <w:sz w:val="20"/>
                <w:szCs w:val="20"/>
                <w:highlight w:val="yellow"/>
              </w:rPr>
            </w:pPr>
            <w:r w:rsidRPr="00DE113A">
              <w:rPr>
                <w:sz w:val="20"/>
                <w:szCs w:val="20"/>
              </w:rPr>
              <w:t xml:space="preserve">89 069  </w:t>
            </w:r>
          </w:p>
        </w:tc>
        <w:tc>
          <w:tcPr>
            <w:tcW w:w="1417" w:type="dxa"/>
            <w:tcBorders>
              <w:top w:val="single" w:sz="8" w:space="0" w:color="7F7F7F" w:themeColor="text1" w:themeTint="80"/>
              <w:bottom w:val="single" w:sz="8" w:space="0" w:color="7F7F7F" w:themeColor="text1" w:themeTint="80"/>
            </w:tcBorders>
            <w:shd w:val="clear" w:color="auto" w:fill="auto"/>
          </w:tcPr>
          <w:p w14:paraId="17FDB3D8" w14:textId="77777777" w:rsidR="00FA3923" w:rsidRPr="00DE113A" w:rsidRDefault="00FA3923" w:rsidP="00FA3923">
            <w:pPr>
              <w:jc w:val="right"/>
              <w:rPr>
                <w:b/>
                <w:sz w:val="20"/>
                <w:szCs w:val="20"/>
              </w:rPr>
            </w:pPr>
            <w:r w:rsidRPr="00DE113A">
              <w:rPr>
                <w:b/>
                <w:sz w:val="20"/>
                <w:szCs w:val="20"/>
              </w:rPr>
              <w:t xml:space="preserve">61 404 087   </w:t>
            </w:r>
          </w:p>
          <w:p w14:paraId="7AE933FE" w14:textId="77777777" w:rsidR="00FA3923" w:rsidRPr="00DE113A" w:rsidRDefault="00FA3923" w:rsidP="00FA3923">
            <w:pPr>
              <w:jc w:val="right"/>
              <w:rPr>
                <w:sz w:val="20"/>
                <w:szCs w:val="20"/>
              </w:rPr>
            </w:pPr>
            <w:r w:rsidRPr="00DE113A">
              <w:rPr>
                <w:sz w:val="20"/>
                <w:szCs w:val="20"/>
              </w:rPr>
              <w:t>286 125</w:t>
            </w:r>
          </w:p>
          <w:p w14:paraId="5F7C7EE6" w14:textId="77777777" w:rsidR="00FA3923" w:rsidRPr="00DE113A" w:rsidRDefault="00FA3923" w:rsidP="00FA3923">
            <w:pPr>
              <w:jc w:val="right"/>
              <w:rPr>
                <w:sz w:val="20"/>
                <w:szCs w:val="20"/>
              </w:rPr>
            </w:pPr>
            <w:r w:rsidRPr="00DE113A">
              <w:rPr>
                <w:sz w:val="20"/>
                <w:szCs w:val="20"/>
              </w:rPr>
              <w:t xml:space="preserve">40 151 163 </w:t>
            </w:r>
          </w:p>
          <w:p w14:paraId="461D1F7C" w14:textId="77777777" w:rsidR="00FA3923" w:rsidRPr="00DE113A" w:rsidRDefault="00FA3923" w:rsidP="00FA3923">
            <w:pPr>
              <w:tabs>
                <w:tab w:val="center" w:pos="380"/>
                <w:tab w:val="right" w:pos="761"/>
              </w:tabs>
              <w:jc w:val="right"/>
              <w:rPr>
                <w:sz w:val="20"/>
                <w:szCs w:val="20"/>
              </w:rPr>
            </w:pPr>
            <w:r w:rsidRPr="00DE113A">
              <w:rPr>
                <w:sz w:val="20"/>
                <w:szCs w:val="20"/>
              </w:rPr>
              <w:t>156 444</w:t>
            </w:r>
          </w:p>
          <w:p w14:paraId="1571D7EF" w14:textId="664DC165" w:rsidR="00FA3923" w:rsidRPr="00DE113A" w:rsidRDefault="00FA3923" w:rsidP="00FA3923">
            <w:pPr>
              <w:jc w:val="right"/>
              <w:rPr>
                <w:b/>
                <w:sz w:val="20"/>
                <w:szCs w:val="20"/>
                <w:highlight w:val="yellow"/>
              </w:rPr>
            </w:pPr>
            <w:r w:rsidRPr="00DE113A">
              <w:rPr>
                <w:sz w:val="20"/>
                <w:szCs w:val="20"/>
              </w:rPr>
              <w:t xml:space="preserve">57 426   </w:t>
            </w:r>
          </w:p>
        </w:tc>
        <w:tc>
          <w:tcPr>
            <w:tcW w:w="1418" w:type="dxa"/>
            <w:tcBorders>
              <w:top w:val="single" w:sz="8" w:space="0" w:color="7F7F7F" w:themeColor="text1" w:themeTint="80"/>
              <w:bottom w:val="single" w:sz="8" w:space="0" w:color="7F7F7F" w:themeColor="text1" w:themeTint="80"/>
            </w:tcBorders>
            <w:shd w:val="clear" w:color="auto" w:fill="auto"/>
          </w:tcPr>
          <w:p w14:paraId="57766E78" w14:textId="77777777" w:rsidR="00FA3923" w:rsidRPr="00DE113A" w:rsidRDefault="00FA3923" w:rsidP="00FA3923">
            <w:pPr>
              <w:jc w:val="right"/>
              <w:rPr>
                <w:b/>
                <w:sz w:val="20"/>
                <w:szCs w:val="20"/>
              </w:rPr>
            </w:pPr>
            <w:r w:rsidRPr="00DE113A">
              <w:rPr>
                <w:b/>
                <w:sz w:val="20"/>
                <w:szCs w:val="20"/>
              </w:rPr>
              <w:t xml:space="preserve">46 192 970   </w:t>
            </w:r>
          </w:p>
          <w:p w14:paraId="7578E701" w14:textId="77777777" w:rsidR="00FA3923" w:rsidRPr="00DE113A" w:rsidRDefault="00FA3923" w:rsidP="00FA3923">
            <w:pPr>
              <w:jc w:val="right"/>
              <w:rPr>
                <w:sz w:val="20"/>
                <w:szCs w:val="20"/>
              </w:rPr>
            </w:pPr>
            <w:r w:rsidRPr="00DE113A">
              <w:rPr>
                <w:sz w:val="20"/>
                <w:szCs w:val="20"/>
              </w:rPr>
              <w:t>306 042</w:t>
            </w:r>
          </w:p>
          <w:p w14:paraId="3A430368" w14:textId="77777777" w:rsidR="00FA3923" w:rsidRPr="00DE113A" w:rsidRDefault="00FA3923" w:rsidP="00FA3923">
            <w:pPr>
              <w:jc w:val="right"/>
              <w:rPr>
                <w:sz w:val="20"/>
                <w:szCs w:val="20"/>
              </w:rPr>
            </w:pPr>
            <w:r w:rsidRPr="00DE113A">
              <w:rPr>
                <w:sz w:val="20"/>
                <w:szCs w:val="20"/>
              </w:rPr>
              <w:t xml:space="preserve">26 139 869 </w:t>
            </w:r>
          </w:p>
          <w:p w14:paraId="37E671F1" w14:textId="77777777" w:rsidR="00FA3923" w:rsidRPr="00DE113A" w:rsidRDefault="00FA3923" w:rsidP="00FA3923">
            <w:pPr>
              <w:tabs>
                <w:tab w:val="center" w:pos="380"/>
                <w:tab w:val="right" w:pos="761"/>
              </w:tabs>
              <w:jc w:val="right"/>
              <w:rPr>
                <w:sz w:val="20"/>
                <w:szCs w:val="20"/>
              </w:rPr>
            </w:pPr>
            <w:r w:rsidRPr="00DE113A">
              <w:rPr>
                <w:sz w:val="20"/>
                <w:szCs w:val="20"/>
              </w:rPr>
              <w:t>155 010</w:t>
            </w:r>
          </w:p>
          <w:p w14:paraId="508A208F" w14:textId="1EADF721" w:rsidR="00FA3923" w:rsidRPr="00DE113A" w:rsidRDefault="00FA3923" w:rsidP="00FA3923">
            <w:pPr>
              <w:jc w:val="right"/>
              <w:rPr>
                <w:b/>
                <w:sz w:val="20"/>
                <w:szCs w:val="20"/>
                <w:highlight w:val="yellow"/>
              </w:rPr>
            </w:pPr>
            <w:r w:rsidRPr="00DE113A">
              <w:rPr>
                <w:sz w:val="20"/>
                <w:szCs w:val="20"/>
              </w:rPr>
              <w:t xml:space="preserve">81 412   </w:t>
            </w:r>
          </w:p>
        </w:tc>
        <w:tc>
          <w:tcPr>
            <w:tcW w:w="997" w:type="dxa"/>
            <w:tcBorders>
              <w:top w:val="single" w:sz="8" w:space="0" w:color="7F7F7F" w:themeColor="text1" w:themeTint="80"/>
              <w:bottom w:val="single" w:sz="8" w:space="0" w:color="7F7F7F" w:themeColor="text1" w:themeTint="80"/>
            </w:tcBorders>
            <w:shd w:val="clear" w:color="auto" w:fill="auto"/>
          </w:tcPr>
          <w:p w14:paraId="61A09CBE" w14:textId="77777777" w:rsidR="00FA3923" w:rsidRPr="00DE113A" w:rsidRDefault="00FA3923" w:rsidP="00FA3923">
            <w:pPr>
              <w:jc w:val="right"/>
              <w:rPr>
                <w:b/>
                <w:sz w:val="20"/>
                <w:szCs w:val="20"/>
              </w:rPr>
            </w:pPr>
            <w:r w:rsidRPr="00DE113A">
              <w:rPr>
                <w:b/>
                <w:sz w:val="20"/>
                <w:szCs w:val="20"/>
              </w:rPr>
              <w:t>75,23</w:t>
            </w:r>
          </w:p>
          <w:p w14:paraId="69A9FDA9" w14:textId="77777777" w:rsidR="00FA3923" w:rsidRPr="00DE113A" w:rsidRDefault="00FA3923" w:rsidP="00FA3923">
            <w:pPr>
              <w:jc w:val="right"/>
              <w:rPr>
                <w:sz w:val="20"/>
                <w:szCs w:val="20"/>
              </w:rPr>
            </w:pPr>
            <w:r w:rsidRPr="00DE113A">
              <w:rPr>
                <w:sz w:val="20"/>
                <w:szCs w:val="20"/>
              </w:rPr>
              <w:t xml:space="preserve">    106,96</w:t>
            </w:r>
          </w:p>
          <w:p w14:paraId="39753807" w14:textId="77777777" w:rsidR="00FA3923" w:rsidRPr="00DE113A" w:rsidRDefault="00FA3923" w:rsidP="00FA3923">
            <w:pPr>
              <w:jc w:val="right"/>
              <w:rPr>
                <w:sz w:val="20"/>
                <w:szCs w:val="20"/>
              </w:rPr>
            </w:pPr>
            <w:r w:rsidRPr="00DE113A">
              <w:rPr>
                <w:sz w:val="20"/>
                <w:szCs w:val="20"/>
              </w:rPr>
              <w:t>65,10</w:t>
            </w:r>
          </w:p>
          <w:p w14:paraId="60F33324" w14:textId="77777777" w:rsidR="00FA3923" w:rsidRPr="00DE113A" w:rsidRDefault="00FA3923" w:rsidP="00FA3923">
            <w:pPr>
              <w:jc w:val="right"/>
              <w:rPr>
                <w:sz w:val="20"/>
                <w:szCs w:val="20"/>
              </w:rPr>
            </w:pPr>
            <w:r w:rsidRPr="00DE113A">
              <w:rPr>
                <w:sz w:val="20"/>
                <w:szCs w:val="20"/>
              </w:rPr>
              <w:t>99,08</w:t>
            </w:r>
          </w:p>
          <w:p w14:paraId="5BEB2E55" w14:textId="6CFDDAAB" w:rsidR="00FA3923" w:rsidRPr="00DE113A" w:rsidRDefault="00FA3923" w:rsidP="00FA3923">
            <w:pPr>
              <w:jc w:val="right"/>
              <w:rPr>
                <w:sz w:val="20"/>
                <w:szCs w:val="20"/>
                <w:highlight w:val="yellow"/>
              </w:rPr>
            </w:pPr>
            <w:r w:rsidRPr="00DE113A">
              <w:rPr>
                <w:sz w:val="20"/>
                <w:szCs w:val="20"/>
              </w:rPr>
              <w:t>141,77</w:t>
            </w:r>
          </w:p>
        </w:tc>
      </w:tr>
    </w:tbl>
    <w:p w14:paraId="357C073C" w14:textId="019DD0B2" w:rsidR="00E0328C" w:rsidRPr="00DE113A" w:rsidRDefault="00857587" w:rsidP="00857587">
      <w:pPr>
        <w:rPr>
          <w:highlight w:val="yellow"/>
        </w:rPr>
      </w:pPr>
      <w:r w:rsidRPr="00DE113A">
        <w:rPr>
          <w:highlight w:val="yellow"/>
        </w:rPr>
        <w:t xml:space="preserve">    </w:t>
      </w:r>
    </w:p>
    <w:p w14:paraId="0A282724" w14:textId="4535A15B" w:rsidR="00857587" w:rsidRPr="00D070B8" w:rsidRDefault="00857587" w:rsidP="00857587">
      <w:pPr>
        <w:rPr>
          <w:rFonts w:cs="Times New Roman"/>
          <w:bCs/>
          <w:color w:val="FF0000"/>
          <w:szCs w:val="24"/>
          <w:highlight w:val="yellow"/>
        </w:rPr>
      </w:pPr>
      <w:r w:rsidRPr="00D070B8">
        <w:rPr>
          <w:color w:val="FF0000"/>
          <w:highlight w:val="yellow"/>
        </w:rPr>
        <w:lastRenderedPageBreak/>
        <w:t xml:space="preserve">                                                                                                                                                                       </w:t>
      </w:r>
    </w:p>
    <w:p w14:paraId="41724B59" w14:textId="2899FA95" w:rsidR="00857587" w:rsidRPr="00DE113A" w:rsidRDefault="00857587" w:rsidP="00857587">
      <w:pPr>
        <w:pStyle w:val="Titulek"/>
      </w:pPr>
      <w:bookmarkStart w:id="151" w:name="_Toc463338096"/>
      <w:bookmarkStart w:id="152" w:name="_Toc179888381"/>
      <w:r w:rsidRPr="00DE113A">
        <w:t xml:space="preserve">Graf č. </w:t>
      </w:r>
      <w:r w:rsidR="0001421C" w:rsidRPr="00DE113A">
        <w:rPr>
          <w:noProof/>
        </w:rPr>
        <w:fldChar w:fldCharType="begin"/>
      </w:r>
      <w:r w:rsidR="0001421C" w:rsidRPr="00DE113A">
        <w:rPr>
          <w:noProof/>
        </w:rPr>
        <w:instrText xml:space="preserve"> SEQ Graf_č. \* ARABIC </w:instrText>
      </w:r>
      <w:r w:rsidR="0001421C" w:rsidRPr="00DE113A">
        <w:rPr>
          <w:noProof/>
        </w:rPr>
        <w:fldChar w:fldCharType="separate"/>
      </w:r>
      <w:r w:rsidR="003B0B01" w:rsidRPr="00DE113A">
        <w:rPr>
          <w:noProof/>
        </w:rPr>
        <w:t>5</w:t>
      </w:r>
      <w:r w:rsidR="0001421C" w:rsidRPr="00DE113A">
        <w:rPr>
          <w:noProof/>
        </w:rPr>
        <w:fldChar w:fldCharType="end"/>
      </w:r>
      <w:r w:rsidRPr="00DE113A">
        <w:t xml:space="preserve"> Členění běžných výdajů </w:t>
      </w:r>
      <w:bookmarkEnd w:id="151"/>
      <w:r w:rsidR="004D0049" w:rsidRPr="00DE113A">
        <w:t>202</w:t>
      </w:r>
      <w:r w:rsidR="00DE113A" w:rsidRPr="00DE113A">
        <w:t>5</w:t>
      </w:r>
      <w:bookmarkEnd w:id="152"/>
    </w:p>
    <w:p w14:paraId="58C162CF" w14:textId="27314B87" w:rsidR="00857587" w:rsidRPr="00AA1D3E" w:rsidRDefault="00DE113A" w:rsidP="00857587">
      <w:pPr>
        <w:pStyle w:val="obyctext"/>
        <w:ind w:firstLine="0"/>
        <w:rPr>
          <w:noProof/>
          <w:color w:val="FF0000"/>
        </w:rPr>
      </w:pPr>
      <w:r w:rsidRPr="00AA1D3E">
        <w:rPr>
          <w:noProof/>
          <w:color w:val="FF0000"/>
        </w:rPr>
        <w:drawing>
          <wp:inline distT="0" distB="0" distL="0" distR="0" wp14:anchorId="373F84B9" wp14:editId="4E38C291">
            <wp:extent cx="5760085" cy="2699087"/>
            <wp:effectExtent l="0" t="0" r="12065" b="6350"/>
            <wp:docPr id="2078493202" name="Graf 207849320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DF87200" w14:textId="7F931C90" w:rsidR="00116974" w:rsidRPr="00DE113A" w:rsidRDefault="00116974" w:rsidP="00116974">
      <w:pPr>
        <w:pStyle w:val="Nadpis3"/>
      </w:pPr>
      <w:bookmarkStart w:id="153" w:name="_Toc462314390"/>
      <w:bookmarkStart w:id="154" w:name="_Toc179964093"/>
      <w:r w:rsidRPr="00DE113A">
        <w:t xml:space="preserve">Běžné výdaje organizačních složek státu bez podseskupení položek 521, 522, 531, 532, 533, 551, 553 </w:t>
      </w:r>
      <w:r w:rsidR="0009399A" w:rsidRPr="00DE113A">
        <w:t xml:space="preserve">a </w:t>
      </w:r>
      <w:r w:rsidRPr="00DE113A">
        <w:t>554</w:t>
      </w:r>
      <w:bookmarkEnd w:id="153"/>
      <w:bookmarkEnd w:id="154"/>
    </w:p>
    <w:p w14:paraId="0F3A1277" w14:textId="2E2357E4" w:rsidR="00116974" w:rsidRPr="00DE113A" w:rsidRDefault="00DE113A" w:rsidP="0009399A">
      <w:pPr>
        <w:pStyle w:val="Styl1"/>
      </w:pPr>
      <w:r w:rsidRPr="00DE113A">
        <w:rPr>
          <w:bCs/>
        </w:rPr>
        <w:t>Navrhovaný objem běžných výdajů po vyloučení podseskupení položek rozpočtové skladby 521, 522, 531, 532, 533, 551, 553 a 554 ve výši 7 529 860 tis. Kč, tj. 102,46 % schváleného rozpočtu na rok 2024, je určen na financování orgánů státní správy a ostatní organizační složky státu</w:t>
      </w:r>
      <w:r w:rsidR="0009399A" w:rsidRPr="00DE113A">
        <w:t>.</w:t>
      </w:r>
    </w:p>
    <w:p w14:paraId="41E31601" w14:textId="77777777" w:rsidR="00B06722" w:rsidRPr="00DE113A" w:rsidRDefault="00B06722" w:rsidP="00B06722">
      <w:pPr>
        <w:pStyle w:val="obyctext"/>
        <w:ind w:firstLine="0"/>
        <w:rPr>
          <w:b/>
        </w:rPr>
      </w:pPr>
      <w:r w:rsidRPr="00DE113A">
        <w:rPr>
          <w:b/>
        </w:rPr>
        <w:t>Organizační složky státu zajišťující výkon státní správy:</w:t>
      </w:r>
    </w:p>
    <w:p w14:paraId="3FCFF5BC" w14:textId="77777777" w:rsidR="00B06722" w:rsidRPr="00DE113A" w:rsidRDefault="005D6577" w:rsidP="004B2F70">
      <w:pPr>
        <w:pStyle w:val="Styl1"/>
        <w:numPr>
          <w:ilvl w:val="0"/>
          <w:numId w:val="13"/>
        </w:numPr>
        <w:spacing w:after="0"/>
      </w:pPr>
      <w:r w:rsidRPr="00DE113A">
        <w:t>ú</w:t>
      </w:r>
      <w:r w:rsidR="00B06722" w:rsidRPr="00DE113A">
        <w:t>střední orgán Ministerstva dopravy (ÚO MD)</w:t>
      </w:r>
    </w:p>
    <w:p w14:paraId="2813112E" w14:textId="77777777" w:rsidR="00B06722" w:rsidRPr="00DE113A" w:rsidRDefault="00B06722" w:rsidP="004B2F70">
      <w:pPr>
        <w:pStyle w:val="Styl1"/>
        <w:numPr>
          <w:ilvl w:val="0"/>
          <w:numId w:val="13"/>
        </w:numPr>
        <w:spacing w:after="0"/>
      </w:pPr>
      <w:r w:rsidRPr="00DE113A">
        <w:t>Úřad pro civilní letectví (ÚCL)</w:t>
      </w:r>
    </w:p>
    <w:p w14:paraId="7E86CA0E" w14:textId="77777777" w:rsidR="00B06722" w:rsidRPr="00DE113A" w:rsidRDefault="00B06722" w:rsidP="004B2F70">
      <w:pPr>
        <w:pStyle w:val="Styl1"/>
        <w:numPr>
          <w:ilvl w:val="0"/>
          <w:numId w:val="13"/>
        </w:numPr>
        <w:spacing w:after="0"/>
      </w:pPr>
      <w:r w:rsidRPr="00DE113A">
        <w:t>Státní plavební správa (SPS)</w:t>
      </w:r>
    </w:p>
    <w:p w14:paraId="14026BB5" w14:textId="77777777" w:rsidR="00B06722" w:rsidRPr="00DE113A" w:rsidRDefault="00B06722" w:rsidP="004B2F70">
      <w:pPr>
        <w:pStyle w:val="Styl1"/>
        <w:numPr>
          <w:ilvl w:val="0"/>
          <w:numId w:val="13"/>
        </w:numPr>
        <w:spacing w:after="0"/>
      </w:pPr>
      <w:r w:rsidRPr="00DE113A">
        <w:t>Drážní úřad (DÚ)</w:t>
      </w:r>
    </w:p>
    <w:p w14:paraId="3BEAB288" w14:textId="77777777" w:rsidR="00B06722" w:rsidRPr="00DE113A" w:rsidRDefault="00B06722" w:rsidP="004B2F70">
      <w:pPr>
        <w:pStyle w:val="Styl1"/>
        <w:numPr>
          <w:ilvl w:val="0"/>
          <w:numId w:val="13"/>
        </w:numPr>
        <w:spacing w:after="0"/>
      </w:pPr>
      <w:r w:rsidRPr="00DE113A">
        <w:t>Drážní inspekce (DI)</w:t>
      </w:r>
    </w:p>
    <w:p w14:paraId="35CFD297" w14:textId="67DBEEF0" w:rsidR="00B06722" w:rsidRPr="00DE113A" w:rsidRDefault="00B06722" w:rsidP="004B2F70">
      <w:pPr>
        <w:pStyle w:val="Styl1"/>
        <w:numPr>
          <w:ilvl w:val="0"/>
          <w:numId w:val="13"/>
        </w:numPr>
        <w:spacing w:after="0"/>
      </w:pPr>
      <w:r w:rsidRPr="00DE113A">
        <w:t>Ústav pro odborné zjišťování příčin leteckých nehod (ÚZPLN)</w:t>
      </w:r>
    </w:p>
    <w:p w14:paraId="7B6A5616" w14:textId="1D2E89CB" w:rsidR="00414ABE" w:rsidRPr="00DE113A" w:rsidRDefault="00414ABE" w:rsidP="004B2F70">
      <w:pPr>
        <w:pStyle w:val="Styl1"/>
        <w:numPr>
          <w:ilvl w:val="0"/>
          <w:numId w:val="13"/>
        </w:numPr>
        <w:spacing w:after="0"/>
      </w:pPr>
      <w:r w:rsidRPr="00DE113A">
        <w:t>Dopravní a energetický stavební úřad</w:t>
      </w:r>
      <w:r w:rsidR="009A7F8C" w:rsidRPr="00DE113A">
        <w:t xml:space="preserve"> (DESÚ)</w:t>
      </w:r>
    </w:p>
    <w:p w14:paraId="00CEB3C4" w14:textId="77777777" w:rsidR="00B06722" w:rsidRPr="00DE113A" w:rsidRDefault="00B06722" w:rsidP="00B06722">
      <w:pPr>
        <w:pStyle w:val="obyctext"/>
        <w:spacing w:before="220"/>
        <w:ind w:firstLine="0"/>
        <w:rPr>
          <w:b/>
        </w:rPr>
      </w:pPr>
      <w:r w:rsidRPr="00DE113A">
        <w:rPr>
          <w:b/>
        </w:rPr>
        <w:t>Ostatní organizační složky státu:</w:t>
      </w:r>
    </w:p>
    <w:p w14:paraId="0008EB59" w14:textId="51A3BACF" w:rsidR="00670FCB" w:rsidRPr="00DE113A" w:rsidRDefault="00B06722" w:rsidP="0088307E">
      <w:pPr>
        <w:pStyle w:val="Styl1"/>
        <w:numPr>
          <w:ilvl w:val="0"/>
          <w:numId w:val="13"/>
        </w:numPr>
        <w:tabs>
          <w:tab w:val="left" w:pos="567"/>
        </w:tabs>
        <w:spacing w:before="140" w:after="140"/>
      </w:pPr>
      <w:r w:rsidRPr="00DE113A">
        <w:t>Ředitelství vodních cest ČR (ŘVC ČR)</w:t>
      </w:r>
    </w:p>
    <w:p w14:paraId="713960C0" w14:textId="094874C9" w:rsidR="001B037B" w:rsidRPr="00DE113A" w:rsidRDefault="00DE113A" w:rsidP="00670FCB">
      <w:pPr>
        <w:pStyle w:val="Styl1"/>
      </w:pPr>
      <w:r w:rsidRPr="00DE113A">
        <w:lastRenderedPageBreak/>
        <w:t>Výše navržených běžných výdajů organizačních složek státu je výrazně ovlivněna zejména</w:t>
      </w:r>
      <w:r w:rsidRPr="00DE113A">
        <w:rPr>
          <w:rFonts w:asciiTheme="minorHAnsi" w:eastAsiaTheme="minorHAnsi" w:hAnsiTheme="minorHAnsi" w:cstheme="minorBidi"/>
          <w:sz w:val="22"/>
          <w:szCs w:val="22"/>
          <w:lang w:eastAsia="en-US"/>
        </w:rPr>
        <w:t xml:space="preserve"> </w:t>
      </w:r>
      <w:r w:rsidRPr="00DE113A">
        <w:t xml:space="preserve">výdaji na kompenzaci ztráty vznikající dopravcům ve veřejné osobní dopravě přiznáváním státem nařízených slev (zavedení schváleno usnesením vlády  č. 206/2018), dopadem zabezpečení činností spojených s dopravně správními agendami vyplývajících </w:t>
      </w:r>
      <w:r w:rsidRPr="00DE113A">
        <w:br/>
        <w:t xml:space="preserve">ze zákona č. 247/2000 Sb., o získávání a zdokonalování odborné způsobilosti k řízení motorových vozidel a o změnách některých zákonů, ve znění pozdějších úprav, zákona </w:t>
      </w:r>
      <w:r w:rsidRPr="00DE113A">
        <w:br/>
        <w:t xml:space="preserve">č. 361/2000 Sb., o provozu na pozemních komunikacích a o změnách některých zákonů, </w:t>
      </w:r>
      <w:r w:rsidRPr="00DE113A">
        <w:br/>
        <w:t>ve znění pozdějších úprav, zákona č. 56/2001 Sb., o podmínkách provozu vozidel na pozemních komunikacích, ve znění pozdějších předpisů. Další výdaje vyplynuly zejména ze zákona č. 240/2000 Sb., o krizovém řízení a o změně některých zákonů, ve znění pozdějších úprav a ze zákona č. 241/2000 Sb., o hospodářských pro krizové stavy a o změně některých souvisejících zákonů, ve znění pozdějších úprav</w:t>
      </w:r>
      <w:r w:rsidR="00AF292F" w:rsidRPr="00DE113A">
        <w:t>.</w:t>
      </w:r>
    </w:p>
    <w:p w14:paraId="41419CC6" w14:textId="77777777" w:rsidR="003A0B78" w:rsidRPr="001060CE" w:rsidRDefault="003A0B78" w:rsidP="003A0B78">
      <w:pPr>
        <w:pStyle w:val="Nadpis3"/>
      </w:pPr>
      <w:bookmarkStart w:id="155" w:name="_Toc21936868"/>
      <w:bookmarkStart w:id="156" w:name="_Toc462314392"/>
      <w:bookmarkStart w:id="157" w:name="_Toc179964094"/>
      <w:bookmarkEnd w:id="150"/>
      <w:r w:rsidRPr="001060CE">
        <w:t>Výdaje na platy a počty pracovníků za OSS a PO</w:t>
      </w:r>
      <w:bookmarkEnd w:id="155"/>
      <w:bookmarkEnd w:id="157"/>
    </w:p>
    <w:p w14:paraId="63756352" w14:textId="77777777" w:rsidR="00115B57" w:rsidRPr="001060CE" w:rsidRDefault="00115B57" w:rsidP="00115B57">
      <w:pPr>
        <w:pStyle w:val="Nadpis9"/>
      </w:pPr>
      <w:r w:rsidRPr="001060CE">
        <w:t>A) Objem výdajů na platy a ostatní platby za provedenou práci</w:t>
      </w:r>
    </w:p>
    <w:p w14:paraId="33BB7C9A" w14:textId="21B52D0D" w:rsidR="002906D0" w:rsidRPr="001060CE" w:rsidRDefault="001060CE" w:rsidP="002906D0">
      <w:pPr>
        <w:pStyle w:val="Styl1"/>
      </w:pPr>
      <w:r w:rsidRPr="001060CE">
        <w:t xml:space="preserve">Objem výdajů na platy a ostatní platby za provedenou práci organizačních složek státu (ústřední orgán MD, Úřad pro civilní letectví, Státní plavební správa, Drážní úřad, Drážní inspekce, Ústav pro odborné zjišťování příčin leteckých nehod, Dopravní a energetický stavební úřad a Ředitelství vodních cest ČR) a objem nákladů na platy a ostatní osobní náklady příspěvkové organizace (Centrum služeb pro silniční dopravu) je navrhován pro rok 2025 v celkové výši </w:t>
      </w:r>
      <w:bookmarkStart w:id="158" w:name="_Hlk175644402"/>
      <w:r w:rsidRPr="001060CE">
        <w:br/>
        <w:t xml:space="preserve">700 466 </w:t>
      </w:r>
      <w:bookmarkEnd w:id="158"/>
      <w:r w:rsidRPr="001060CE">
        <w:t>tis. Kč, což představuje navýšení o 57 604 tis. Kč, tj. o 8,96 % oproti roku 2024, kdy byl objem prostředků schválen ve výši 642 862 tis. Kč.</w:t>
      </w:r>
      <w:r w:rsidR="002906D0" w:rsidRPr="001060CE">
        <w:t xml:space="preserve"> </w:t>
      </w:r>
    </w:p>
    <w:p w14:paraId="3AA80027" w14:textId="4AE41B39" w:rsidR="002906D0" w:rsidRPr="001060CE" w:rsidRDefault="002906D0" w:rsidP="002906D0">
      <w:pPr>
        <w:pStyle w:val="Titulek"/>
      </w:pPr>
      <w:r w:rsidRPr="001060CE">
        <w:t xml:space="preserve">Tabulka č. </w:t>
      </w:r>
      <w:r w:rsidRPr="001060CE">
        <w:rPr>
          <w:noProof/>
        </w:rPr>
        <w:fldChar w:fldCharType="begin"/>
      </w:r>
      <w:r w:rsidRPr="001060CE">
        <w:rPr>
          <w:noProof/>
        </w:rPr>
        <w:instrText xml:space="preserve"> SEQ Tabulka \* ARABIC </w:instrText>
      </w:r>
      <w:r w:rsidRPr="001060CE">
        <w:rPr>
          <w:noProof/>
        </w:rPr>
        <w:fldChar w:fldCharType="separate"/>
      </w:r>
      <w:r w:rsidR="003B0B01" w:rsidRPr="001060CE">
        <w:rPr>
          <w:noProof/>
        </w:rPr>
        <w:t>9</w:t>
      </w:r>
      <w:r w:rsidRPr="001060CE">
        <w:rPr>
          <w:noProof/>
        </w:rPr>
        <w:fldChar w:fldCharType="end"/>
      </w:r>
      <w:r w:rsidRPr="001060CE">
        <w:t xml:space="preserve"> Přehled prostředků na platy a ostatní platby za provedenou práci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1060CE" w:rsidRPr="001060CE" w14:paraId="634BB5B6" w14:textId="77777777" w:rsidTr="001E02BC">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1ABAB3" w14:textId="77777777"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E793965" w14:textId="77777777"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Skutečnost</w:t>
            </w:r>
          </w:p>
          <w:p w14:paraId="1B9BC5C3" w14:textId="6B0ADC19"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202</w:t>
            </w:r>
            <w:r w:rsidR="001060CE" w:rsidRPr="001060CE">
              <w:rPr>
                <w:rFonts w:eastAsia="Times New Roman" w:cs="Times New Roman"/>
                <w:b/>
                <w:lang w:eastAsia="cs-CZ"/>
              </w:rPr>
              <w:t>3</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1FE9D29" w14:textId="77777777"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Schválený</w:t>
            </w:r>
          </w:p>
          <w:p w14:paraId="5FE00722" w14:textId="77777777"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rozpočet</w:t>
            </w:r>
          </w:p>
          <w:p w14:paraId="307E8A01" w14:textId="1F6E8D5F"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202</w:t>
            </w:r>
            <w:r w:rsidR="001060CE" w:rsidRPr="001060CE">
              <w:rPr>
                <w:rFonts w:eastAsia="Times New Roman" w:cs="Times New Roman"/>
                <w:b/>
                <w:lang w:eastAsia="cs-CZ"/>
              </w:rPr>
              <w:t>4</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1811C5D" w14:textId="77777777"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Návrh</w:t>
            </w:r>
          </w:p>
          <w:p w14:paraId="5129C0A6" w14:textId="77777777"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rozpočtu</w:t>
            </w:r>
          </w:p>
          <w:p w14:paraId="49D0883B" w14:textId="145EE776"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20</w:t>
            </w:r>
            <w:r w:rsidR="001060CE" w:rsidRPr="001060CE">
              <w:rPr>
                <w:rFonts w:eastAsia="Times New Roman" w:cs="Times New Roman"/>
                <w:b/>
                <w:lang w:eastAsia="cs-CZ"/>
              </w:rPr>
              <w:t>25</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0072243" w14:textId="77777777"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Index</w:t>
            </w:r>
          </w:p>
          <w:p w14:paraId="0CBA5496" w14:textId="5D941B8E" w:rsidR="002906D0" w:rsidRPr="001060CE" w:rsidRDefault="002906D0" w:rsidP="001E02BC">
            <w:pPr>
              <w:jc w:val="center"/>
              <w:rPr>
                <w:rFonts w:eastAsia="Times New Roman" w:cs="Times New Roman"/>
                <w:b/>
                <w:lang w:eastAsia="cs-CZ"/>
              </w:rPr>
            </w:pPr>
            <w:r w:rsidRPr="001060CE">
              <w:rPr>
                <w:rFonts w:eastAsia="Times New Roman" w:cs="Times New Roman"/>
                <w:b/>
                <w:lang w:eastAsia="cs-CZ"/>
              </w:rPr>
              <w:t>202</w:t>
            </w:r>
            <w:r w:rsidR="001060CE" w:rsidRPr="001060CE">
              <w:rPr>
                <w:rFonts w:eastAsia="Times New Roman" w:cs="Times New Roman"/>
                <w:b/>
                <w:lang w:eastAsia="cs-CZ"/>
              </w:rPr>
              <w:t>5</w:t>
            </w:r>
            <w:r w:rsidRPr="001060CE">
              <w:rPr>
                <w:rFonts w:eastAsia="Times New Roman" w:cs="Times New Roman"/>
                <w:b/>
                <w:lang w:eastAsia="cs-CZ"/>
              </w:rPr>
              <w:t>/ 202</w:t>
            </w:r>
            <w:r w:rsidR="001060CE" w:rsidRPr="001060CE">
              <w:rPr>
                <w:rFonts w:eastAsia="Times New Roman" w:cs="Times New Roman"/>
                <w:b/>
                <w:lang w:eastAsia="cs-CZ"/>
              </w:rPr>
              <w:t>4</w:t>
            </w:r>
            <w:r w:rsidRPr="001060CE">
              <w:rPr>
                <w:rFonts w:eastAsia="Times New Roman" w:cs="Times New Roman"/>
                <w:b/>
                <w:lang w:eastAsia="cs-CZ"/>
              </w:rPr>
              <w:t xml:space="preserve"> (v %)</w:t>
            </w:r>
          </w:p>
        </w:tc>
      </w:tr>
      <w:tr w:rsidR="001060CE" w:rsidRPr="001060CE" w14:paraId="7EB6712F" w14:textId="77777777" w:rsidTr="001E02BC">
        <w:trPr>
          <w:trHeight w:val="248"/>
        </w:trPr>
        <w:tc>
          <w:tcPr>
            <w:tcW w:w="2377" w:type="pct"/>
            <w:tcBorders>
              <w:top w:val="single" w:sz="4" w:space="0" w:color="7F7F7F" w:themeColor="text1" w:themeTint="80"/>
              <w:bottom w:val="single" w:sz="8" w:space="0" w:color="7F7F7F" w:themeColor="text1" w:themeTint="80"/>
            </w:tcBorders>
            <w:shd w:val="clear" w:color="auto" w:fill="auto"/>
          </w:tcPr>
          <w:p w14:paraId="6A87024C" w14:textId="77777777" w:rsidR="002906D0" w:rsidRPr="001060CE" w:rsidRDefault="002906D0" w:rsidP="001E02BC">
            <w:pPr>
              <w:jc w:val="center"/>
              <w:rPr>
                <w:rFonts w:eastAsia="Times New Roman" w:cs="Times New Roman"/>
                <w:szCs w:val="24"/>
                <w:lang w:eastAsia="cs-CZ"/>
              </w:rPr>
            </w:pPr>
            <w:r w:rsidRPr="001060CE">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14:paraId="58700F20" w14:textId="77777777" w:rsidR="002906D0" w:rsidRPr="001060CE" w:rsidRDefault="002906D0" w:rsidP="001E02BC">
            <w:pPr>
              <w:jc w:val="center"/>
              <w:rPr>
                <w:rFonts w:eastAsia="Times New Roman" w:cs="Times New Roman"/>
                <w:szCs w:val="24"/>
                <w:lang w:eastAsia="cs-CZ"/>
              </w:rPr>
            </w:pPr>
            <w:r w:rsidRPr="001060CE">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14:paraId="5E011F95" w14:textId="77777777" w:rsidR="002906D0" w:rsidRPr="001060CE" w:rsidRDefault="002906D0" w:rsidP="001E02BC">
            <w:pPr>
              <w:jc w:val="center"/>
              <w:rPr>
                <w:rFonts w:eastAsia="Times New Roman" w:cs="Times New Roman"/>
                <w:szCs w:val="24"/>
                <w:lang w:eastAsia="cs-CZ"/>
              </w:rPr>
            </w:pPr>
            <w:r w:rsidRPr="001060CE">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14:paraId="6C25729D" w14:textId="77777777" w:rsidR="002906D0" w:rsidRPr="001060CE" w:rsidRDefault="002906D0" w:rsidP="001E02BC">
            <w:pPr>
              <w:jc w:val="center"/>
              <w:rPr>
                <w:rFonts w:eastAsia="Times New Roman" w:cs="Times New Roman"/>
                <w:szCs w:val="24"/>
                <w:lang w:eastAsia="cs-CZ"/>
              </w:rPr>
            </w:pPr>
            <w:r w:rsidRPr="001060CE">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14:paraId="73AAE8EB" w14:textId="77777777" w:rsidR="002906D0" w:rsidRPr="001060CE" w:rsidRDefault="002906D0" w:rsidP="001E02BC">
            <w:pPr>
              <w:jc w:val="center"/>
              <w:rPr>
                <w:rFonts w:eastAsia="Times New Roman" w:cs="Times New Roman"/>
                <w:szCs w:val="24"/>
                <w:lang w:eastAsia="cs-CZ"/>
              </w:rPr>
            </w:pPr>
            <w:r w:rsidRPr="001060CE">
              <w:rPr>
                <w:rFonts w:eastAsia="Times New Roman" w:cs="Times New Roman"/>
                <w:szCs w:val="24"/>
                <w:lang w:eastAsia="cs-CZ"/>
              </w:rPr>
              <w:t>4</w:t>
            </w:r>
          </w:p>
        </w:tc>
      </w:tr>
      <w:tr w:rsidR="001060CE" w:rsidRPr="001060CE" w14:paraId="3E22EA39" w14:textId="77777777" w:rsidTr="00A60031">
        <w:trPr>
          <w:trHeight w:val="486"/>
        </w:trPr>
        <w:tc>
          <w:tcPr>
            <w:tcW w:w="2377" w:type="pct"/>
            <w:tcBorders>
              <w:top w:val="single" w:sz="8" w:space="0" w:color="7F7F7F" w:themeColor="text1" w:themeTint="80"/>
              <w:bottom w:val="single" w:sz="8" w:space="0" w:color="7F7F7F" w:themeColor="text1" w:themeTint="80"/>
            </w:tcBorders>
            <w:shd w:val="clear" w:color="auto" w:fill="auto"/>
          </w:tcPr>
          <w:p w14:paraId="382114FB" w14:textId="77777777" w:rsidR="001060CE" w:rsidRPr="001060CE" w:rsidRDefault="001060CE" w:rsidP="001060CE">
            <w:pPr>
              <w:spacing w:before="54"/>
              <w:rPr>
                <w:rFonts w:eastAsia="Times New Roman" w:cs="Times New Roman"/>
                <w:b/>
                <w:lang w:eastAsia="cs-CZ"/>
              </w:rPr>
            </w:pPr>
            <w:r w:rsidRPr="001060CE">
              <w:rPr>
                <w:rFonts w:eastAsia="Times New Roman" w:cs="Times New Roman"/>
                <w:b/>
                <w:iCs/>
                <w:lang w:eastAsia="cs-CZ"/>
              </w:rPr>
              <w:t xml:space="preserve">Prostředky na platy a ostatní platby za provedenou práci </w:t>
            </w:r>
            <w:r w:rsidRPr="001060CE">
              <w:rPr>
                <w:rFonts w:eastAsia="Times New Roman" w:cs="Times New Roman"/>
                <w:lang w:eastAsia="cs-CZ"/>
              </w:rPr>
              <w:t>v tom:</w:t>
            </w:r>
            <w:r w:rsidRPr="001060CE">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14:paraId="682EB33A" w14:textId="3C4196F4" w:rsidR="001060CE" w:rsidRPr="001060CE" w:rsidRDefault="001060CE" w:rsidP="001060CE">
            <w:pPr>
              <w:jc w:val="right"/>
              <w:rPr>
                <w:rFonts w:eastAsia="Times New Roman" w:cs="Times New Roman"/>
                <w:b/>
                <w:bCs/>
                <w:lang w:eastAsia="cs-CZ"/>
              </w:rPr>
            </w:pPr>
            <w:r w:rsidRPr="001060CE">
              <w:rPr>
                <w:b/>
                <w:bCs/>
              </w:rPr>
              <w:t>620 988</w:t>
            </w:r>
          </w:p>
        </w:tc>
        <w:tc>
          <w:tcPr>
            <w:tcW w:w="703" w:type="pct"/>
            <w:tcBorders>
              <w:top w:val="single" w:sz="8" w:space="0" w:color="7F7F7F" w:themeColor="text1" w:themeTint="80"/>
              <w:bottom w:val="single" w:sz="8" w:space="0" w:color="7F7F7F" w:themeColor="text1" w:themeTint="80"/>
            </w:tcBorders>
            <w:shd w:val="clear" w:color="auto" w:fill="auto"/>
            <w:vAlign w:val="center"/>
          </w:tcPr>
          <w:p w14:paraId="629EB44D" w14:textId="7683B67B" w:rsidR="001060CE" w:rsidRPr="001060CE" w:rsidRDefault="001060CE" w:rsidP="001060CE">
            <w:pPr>
              <w:jc w:val="right"/>
              <w:rPr>
                <w:rFonts w:eastAsia="Times New Roman" w:cs="Times New Roman"/>
                <w:b/>
                <w:bCs/>
                <w:lang w:eastAsia="cs-CZ"/>
              </w:rPr>
            </w:pPr>
            <w:r w:rsidRPr="001060CE">
              <w:rPr>
                <w:b/>
                <w:bCs/>
              </w:rPr>
              <w:t>642 862</w:t>
            </w:r>
          </w:p>
        </w:tc>
        <w:tc>
          <w:tcPr>
            <w:tcW w:w="625" w:type="pct"/>
            <w:tcBorders>
              <w:top w:val="single" w:sz="8" w:space="0" w:color="7F7F7F" w:themeColor="text1" w:themeTint="80"/>
              <w:bottom w:val="single" w:sz="8" w:space="0" w:color="7F7F7F" w:themeColor="text1" w:themeTint="80"/>
            </w:tcBorders>
            <w:shd w:val="clear" w:color="auto" w:fill="auto"/>
            <w:vAlign w:val="center"/>
          </w:tcPr>
          <w:p w14:paraId="7D77CDF4" w14:textId="3556AAF8" w:rsidR="001060CE" w:rsidRPr="001060CE" w:rsidRDefault="001060CE" w:rsidP="001060CE">
            <w:pPr>
              <w:jc w:val="right"/>
              <w:rPr>
                <w:rFonts w:eastAsia="Times New Roman" w:cs="Times New Roman"/>
                <w:b/>
                <w:bCs/>
                <w:lang w:eastAsia="cs-CZ"/>
              </w:rPr>
            </w:pPr>
            <w:r w:rsidRPr="001060CE">
              <w:rPr>
                <w:b/>
                <w:bCs/>
              </w:rPr>
              <w:t>700 466</w:t>
            </w:r>
          </w:p>
        </w:tc>
        <w:tc>
          <w:tcPr>
            <w:tcW w:w="513" w:type="pct"/>
            <w:tcBorders>
              <w:top w:val="single" w:sz="8" w:space="0" w:color="7F7F7F" w:themeColor="text1" w:themeTint="80"/>
              <w:bottom w:val="single" w:sz="8" w:space="0" w:color="7F7F7F" w:themeColor="text1" w:themeTint="80"/>
            </w:tcBorders>
            <w:shd w:val="clear" w:color="auto" w:fill="auto"/>
            <w:vAlign w:val="center"/>
          </w:tcPr>
          <w:p w14:paraId="7824FDA0" w14:textId="1C3E4948" w:rsidR="001060CE" w:rsidRPr="001060CE" w:rsidRDefault="001060CE" w:rsidP="001060CE">
            <w:pPr>
              <w:spacing w:before="160"/>
              <w:jc w:val="right"/>
              <w:rPr>
                <w:rFonts w:eastAsia="Times New Roman" w:cs="Times New Roman"/>
                <w:b/>
                <w:bCs/>
                <w:lang w:eastAsia="cs-CZ"/>
              </w:rPr>
            </w:pPr>
            <w:r w:rsidRPr="001060CE">
              <w:rPr>
                <w:b/>
                <w:bCs/>
              </w:rPr>
              <w:t>108,96</w:t>
            </w:r>
          </w:p>
        </w:tc>
      </w:tr>
      <w:tr w:rsidR="001060CE" w:rsidRPr="001060CE" w14:paraId="246ECC91"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5C80535D" w14:textId="77777777" w:rsidR="001060CE" w:rsidRPr="001060CE" w:rsidRDefault="001060CE" w:rsidP="001060CE">
            <w:pPr>
              <w:spacing w:before="60"/>
              <w:rPr>
                <w:rFonts w:eastAsia="Times New Roman" w:cs="Times New Roman"/>
                <w:b/>
                <w:iCs/>
                <w:lang w:eastAsia="cs-CZ"/>
              </w:rPr>
            </w:pPr>
            <w:r w:rsidRPr="001060CE">
              <w:rPr>
                <w:rFonts w:eastAsia="Times New Roman" w:cs="Times New Roman"/>
                <w:lang w:eastAsia="cs-CZ"/>
              </w:rPr>
              <w:t xml:space="preserve">Ústřední orgán MD </w:t>
            </w:r>
          </w:p>
        </w:tc>
        <w:tc>
          <w:tcPr>
            <w:tcW w:w="782" w:type="pct"/>
            <w:tcBorders>
              <w:top w:val="single" w:sz="8" w:space="0" w:color="7F7F7F" w:themeColor="text1" w:themeTint="80"/>
            </w:tcBorders>
            <w:shd w:val="clear" w:color="auto" w:fill="auto"/>
            <w:vAlign w:val="center"/>
          </w:tcPr>
          <w:p w14:paraId="420AFBA4" w14:textId="11EA914A" w:rsidR="001060CE" w:rsidRPr="001060CE" w:rsidRDefault="001060CE" w:rsidP="001060CE">
            <w:pPr>
              <w:jc w:val="right"/>
              <w:rPr>
                <w:rFonts w:eastAsia="Times New Roman" w:cs="Times New Roman"/>
                <w:bCs/>
                <w:lang w:eastAsia="cs-CZ"/>
              </w:rPr>
            </w:pPr>
            <w:r w:rsidRPr="001060CE">
              <w:t>325 592</w:t>
            </w:r>
          </w:p>
        </w:tc>
        <w:tc>
          <w:tcPr>
            <w:tcW w:w="703" w:type="pct"/>
            <w:tcBorders>
              <w:top w:val="single" w:sz="8" w:space="0" w:color="7F7F7F" w:themeColor="text1" w:themeTint="80"/>
            </w:tcBorders>
            <w:shd w:val="clear" w:color="auto" w:fill="auto"/>
            <w:vAlign w:val="center"/>
          </w:tcPr>
          <w:p w14:paraId="3A6488C9" w14:textId="6A245CDF" w:rsidR="001060CE" w:rsidRPr="001060CE" w:rsidRDefault="001060CE" w:rsidP="001060CE">
            <w:pPr>
              <w:spacing w:before="81"/>
              <w:jc w:val="right"/>
              <w:rPr>
                <w:rFonts w:eastAsia="Times New Roman" w:cs="Times New Roman"/>
                <w:lang w:eastAsia="cs-CZ"/>
              </w:rPr>
            </w:pPr>
            <w:r w:rsidRPr="001060CE">
              <w:t>325 990</w:t>
            </w:r>
          </w:p>
        </w:tc>
        <w:tc>
          <w:tcPr>
            <w:tcW w:w="625" w:type="pct"/>
            <w:tcBorders>
              <w:top w:val="single" w:sz="8" w:space="0" w:color="7F7F7F" w:themeColor="text1" w:themeTint="80"/>
            </w:tcBorders>
            <w:shd w:val="clear" w:color="auto" w:fill="auto"/>
            <w:vAlign w:val="center"/>
          </w:tcPr>
          <w:p w14:paraId="3DE0686D" w14:textId="318B67CF" w:rsidR="001060CE" w:rsidRPr="001060CE" w:rsidRDefault="001060CE" w:rsidP="001060CE">
            <w:pPr>
              <w:spacing w:before="81"/>
              <w:jc w:val="right"/>
              <w:rPr>
                <w:rFonts w:eastAsia="Times New Roman" w:cs="Times New Roman"/>
                <w:lang w:eastAsia="cs-CZ"/>
              </w:rPr>
            </w:pPr>
            <w:r w:rsidRPr="001060CE">
              <w:t>338 940</w:t>
            </w:r>
          </w:p>
        </w:tc>
        <w:tc>
          <w:tcPr>
            <w:tcW w:w="513" w:type="pct"/>
            <w:tcBorders>
              <w:top w:val="single" w:sz="8" w:space="0" w:color="7F7F7F" w:themeColor="text1" w:themeTint="80"/>
            </w:tcBorders>
            <w:shd w:val="clear" w:color="auto" w:fill="auto"/>
            <w:vAlign w:val="center"/>
          </w:tcPr>
          <w:p w14:paraId="6512FC88" w14:textId="256F4C23" w:rsidR="001060CE" w:rsidRPr="001060CE" w:rsidRDefault="001060CE" w:rsidP="001060CE">
            <w:pPr>
              <w:spacing w:before="81"/>
              <w:jc w:val="right"/>
              <w:rPr>
                <w:rFonts w:eastAsia="Times New Roman" w:cs="Times New Roman"/>
                <w:lang w:eastAsia="cs-CZ"/>
              </w:rPr>
            </w:pPr>
            <w:r w:rsidRPr="001060CE">
              <w:t>103,97</w:t>
            </w:r>
          </w:p>
        </w:tc>
      </w:tr>
      <w:tr w:rsidR="001060CE" w:rsidRPr="001060CE" w14:paraId="1703F85E"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49AAA460" w14:textId="6BF4C630"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Úřad pro civilní letectví</w:t>
            </w:r>
          </w:p>
        </w:tc>
        <w:tc>
          <w:tcPr>
            <w:tcW w:w="782" w:type="pct"/>
            <w:tcBorders>
              <w:top w:val="single" w:sz="8" w:space="0" w:color="7F7F7F" w:themeColor="text1" w:themeTint="80"/>
            </w:tcBorders>
            <w:shd w:val="clear" w:color="auto" w:fill="auto"/>
            <w:vAlign w:val="center"/>
          </w:tcPr>
          <w:p w14:paraId="3270DE94" w14:textId="618A56DD" w:rsidR="001060CE" w:rsidRPr="001060CE" w:rsidRDefault="001060CE" w:rsidP="001060CE">
            <w:pPr>
              <w:jc w:val="right"/>
              <w:rPr>
                <w:rFonts w:eastAsia="Times New Roman" w:cs="Times New Roman"/>
                <w:bCs/>
                <w:lang w:eastAsia="cs-CZ"/>
              </w:rPr>
            </w:pPr>
            <w:r w:rsidRPr="001060CE">
              <w:t>114 437</w:t>
            </w:r>
          </w:p>
        </w:tc>
        <w:tc>
          <w:tcPr>
            <w:tcW w:w="703" w:type="pct"/>
            <w:tcBorders>
              <w:top w:val="single" w:sz="8" w:space="0" w:color="7F7F7F" w:themeColor="text1" w:themeTint="80"/>
            </w:tcBorders>
            <w:shd w:val="clear" w:color="auto" w:fill="auto"/>
            <w:vAlign w:val="center"/>
          </w:tcPr>
          <w:p w14:paraId="2F17963A" w14:textId="302BAA3A" w:rsidR="001060CE" w:rsidRPr="001060CE" w:rsidRDefault="001060CE" w:rsidP="001060CE">
            <w:pPr>
              <w:spacing w:before="81"/>
              <w:jc w:val="right"/>
              <w:rPr>
                <w:rFonts w:eastAsia="Times New Roman" w:cs="Times New Roman"/>
                <w:lang w:eastAsia="cs-CZ"/>
              </w:rPr>
            </w:pPr>
            <w:r w:rsidRPr="001060CE">
              <w:t>108 172</w:t>
            </w:r>
          </w:p>
        </w:tc>
        <w:tc>
          <w:tcPr>
            <w:tcW w:w="625" w:type="pct"/>
            <w:tcBorders>
              <w:top w:val="single" w:sz="8" w:space="0" w:color="7F7F7F" w:themeColor="text1" w:themeTint="80"/>
            </w:tcBorders>
            <w:shd w:val="clear" w:color="auto" w:fill="auto"/>
            <w:vAlign w:val="center"/>
          </w:tcPr>
          <w:p w14:paraId="36EB0D55" w14:textId="082FA4FE" w:rsidR="001060CE" w:rsidRPr="001060CE" w:rsidRDefault="001060CE" w:rsidP="001060CE">
            <w:pPr>
              <w:spacing w:before="81"/>
              <w:jc w:val="right"/>
              <w:rPr>
                <w:rFonts w:eastAsia="Times New Roman" w:cs="Times New Roman"/>
                <w:lang w:eastAsia="cs-CZ"/>
              </w:rPr>
            </w:pPr>
            <w:r w:rsidRPr="001060CE">
              <w:t>113 554</w:t>
            </w:r>
          </w:p>
        </w:tc>
        <w:tc>
          <w:tcPr>
            <w:tcW w:w="513" w:type="pct"/>
            <w:tcBorders>
              <w:top w:val="single" w:sz="8" w:space="0" w:color="7F7F7F" w:themeColor="text1" w:themeTint="80"/>
            </w:tcBorders>
            <w:shd w:val="clear" w:color="auto" w:fill="auto"/>
            <w:vAlign w:val="center"/>
          </w:tcPr>
          <w:p w14:paraId="726B3CAF" w14:textId="7DFF1047" w:rsidR="001060CE" w:rsidRPr="001060CE" w:rsidRDefault="001060CE" w:rsidP="001060CE">
            <w:pPr>
              <w:spacing w:before="81"/>
              <w:jc w:val="right"/>
              <w:rPr>
                <w:rFonts w:eastAsia="Times New Roman" w:cs="Times New Roman"/>
                <w:lang w:eastAsia="cs-CZ"/>
              </w:rPr>
            </w:pPr>
            <w:r w:rsidRPr="001060CE">
              <w:t>104,98</w:t>
            </w:r>
          </w:p>
        </w:tc>
      </w:tr>
      <w:tr w:rsidR="001060CE" w:rsidRPr="001060CE" w14:paraId="231056ED"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E5BEC1E" w14:textId="77777777"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Statní plavební správa</w:t>
            </w:r>
          </w:p>
        </w:tc>
        <w:tc>
          <w:tcPr>
            <w:tcW w:w="782" w:type="pct"/>
            <w:tcBorders>
              <w:top w:val="single" w:sz="8" w:space="0" w:color="7F7F7F" w:themeColor="text1" w:themeTint="80"/>
            </w:tcBorders>
            <w:shd w:val="clear" w:color="auto" w:fill="auto"/>
            <w:vAlign w:val="center"/>
          </w:tcPr>
          <w:p w14:paraId="777DF6B0" w14:textId="1EECA7F5" w:rsidR="001060CE" w:rsidRPr="001060CE" w:rsidRDefault="001060CE" w:rsidP="001060CE">
            <w:pPr>
              <w:jc w:val="right"/>
              <w:rPr>
                <w:rFonts w:eastAsia="Times New Roman" w:cs="Times New Roman"/>
                <w:bCs/>
                <w:lang w:eastAsia="cs-CZ"/>
              </w:rPr>
            </w:pPr>
            <w:r w:rsidRPr="001060CE">
              <w:t>41 584</w:t>
            </w:r>
          </w:p>
        </w:tc>
        <w:tc>
          <w:tcPr>
            <w:tcW w:w="703" w:type="pct"/>
            <w:tcBorders>
              <w:top w:val="single" w:sz="8" w:space="0" w:color="7F7F7F" w:themeColor="text1" w:themeTint="80"/>
            </w:tcBorders>
            <w:shd w:val="clear" w:color="auto" w:fill="auto"/>
            <w:vAlign w:val="center"/>
          </w:tcPr>
          <w:p w14:paraId="366DBC31" w14:textId="6D3E9AF1" w:rsidR="001060CE" w:rsidRPr="001060CE" w:rsidRDefault="001060CE" w:rsidP="001060CE">
            <w:pPr>
              <w:spacing w:before="81"/>
              <w:jc w:val="right"/>
              <w:rPr>
                <w:rFonts w:eastAsia="Times New Roman" w:cs="Times New Roman"/>
                <w:lang w:eastAsia="cs-CZ"/>
              </w:rPr>
            </w:pPr>
            <w:r w:rsidRPr="001060CE">
              <w:t>41 754</w:t>
            </w:r>
          </w:p>
        </w:tc>
        <w:tc>
          <w:tcPr>
            <w:tcW w:w="625" w:type="pct"/>
            <w:tcBorders>
              <w:top w:val="single" w:sz="8" w:space="0" w:color="7F7F7F" w:themeColor="text1" w:themeTint="80"/>
            </w:tcBorders>
            <w:shd w:val="clear" w:color="auto" w:fill="auto"/>
            <w:vAlign w:val="center"/>
          </w:tcPr>
          <w:p w14:paraId="2AD98030" w14:textId="2AA6AB2C" w:rsidR="001060CE" w:rsidRPr="001060CE" w:rsidRDefault="001060CE" w:rsidP="001060CE">
            <w:pPr>
              <w:spacing w:before="81"/>
              <w:jc w:val="right"/>
              <w:rPr>
                <w:rFonts w:eastAsia="Times New Roman" w:cs="Times New Roman"/>
                <w:lang w:eastAsia="cs-CZ"/>
              </w:rPr>
            </w:pPr>
            <w:r w:rsidRPr="001060CE">
              <w:t>43 678</w:t>
            </w:r>
          </w:p>
        </w:tc>
        <w:tc>
          <w:tcPr>
            <w:tcW w:w="513" w:type="pct"/>
            <w:tcBorders>
              <w:top w:val="single" w:sz="8" w:space="0" w:color="7F7F7F" w:themeColor="text1" w:themeTint="80"/>
            </w:tcBorders>
            <w:shd w:val="clear" w:color="auto" w:fill="auto"/>
            <w:vAlign w:val="center"/>
          </w:tcPr>
          <w:p w14:paraId="751789DA" w14:textId="6EEA852E" w:rsidR="001060CE" w:rsidRPr="001060CE" w:rsidRDefault="001060CE" w:rsidP="001060CE">
            <w:pPr>
              <w:spacing w:before="81"/>
              <w:jc w:val="right"/>
              <w:rPr>
                <w:rFonts w:eastAsia="Times New Roman" w:cs="Times New Roman"/>
                <w:lang w:eastAsia="cs-CZ"/>
              </w:rPr>
            </w:pPr>
            <w:r w:rsidRPr="001060CE">
              <w:t>104,61</w:t>
            </w:r>
          </w:p>
        </w:tc>
      </w:tr>
      <w:tr w:rsidR="001060CE" w:rsidRPr="001060CE" w14:paraId="7195F098"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44E376C6" w14:textId="77777777"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Drážní úřad</w:t>
            </w:r>
          </w:p>
        </w:tc>
        <w:tc>
          <w:tcPr>
            <w:tcW w:w="782" w:type="pct"/>
            <w:tcBorders>
              <w:top w:val="single" w:sz="8" w:space="0" w:color="7F7F7F" w:themeColor="text1" w:themeTint="80"/>
            </w:tcBorders>
            <w:shd w:val="clear" w:color="auto" w:fill="auto"/>
            <w:vAlign w:val="center"/>
          </w:tcPr>
          <w:p w14:paraId="65505801" w14:textId="584D9DEF" w:rsidR="001060CE" w:rsidRPr="001060CE" w:rsidRDefault="001060CE" w:rsidP="001060CE">
            <w:pPr>
              <w:jc w:val="right"/>
              <w:rPr>
                <w:rFonts w:eastAsia="Times New Roman" w:cs="Times New Roman"/>
                <w:bCs/>
                <w:lang w:eastAsia="cs-CZ"/>
              </w:rPr>
            </w:pPr>
            <w:r w:rsidRPr="001060CE">
              <w:t>56 862</w:t>
            </w:r>
          </w:p>
        </w:tc>
        <w:tc>
          <w:tcPr>
            <w:tcW w:w="703" w:type="pct"/>
            <w:tcBorders>
              <w:top w:val="single" w:sz="8" w:space="0" w:color="7F7F7F" w:themeColor="text1" w:themeTint="80"/>
            </w:tcBorders>
            <w:shd w:val="clear" w:color="auto" w:fill="auto"/>
            <w:vAlign w:val="center"/>
          </w:tcPr>
          <w:p w14:paraId="564D028B" w14:textId="78BB8001" w:rsidR="001060CE" w:rsidRPr="001060CE" w:rsidRDefault="001060CE" w:rsidP="001060CE">
            <w:pPr>
              <w:spacing w:before="81"/>
              <w:jc w:val="right"/>
              <w:rPr>
                <w:rFonts w:eastAsia="Times New Roman" w:cs="Times New Roman"/>
                <w:lang w:eastAsia="cs-CZ"/>
              </w:rPr>
            </w:pPr>
            <w:r w:rsidRPr="001060CE">
              <w:t>52 152</w:t>
            </w:r>
          </w:p>
        </w:tc>
        <w:tc>
          <w:tcPr>
            <w:tcW w:w="625" w:type="pct"/>
            <w:tcBorders>
              <w:top w:val="single" w:sz="8" w:space="0" w:color="7F7F7F" w:themeColor="text1" w:themeTint="80"/>
            </w:tcBorders>
            <w:shd w:val="clear" w:color="auto" w:fill="auto"/>
            <w:vAlign w:val="center"/>
          </w:tcPr>
          <w:p w14:paraId="636762B7" w14:textId="1CCEA8A2" w:rsidR="001060CE" w:rsidRPr="001060CE" w:rsidRDefault="001060CE" w:rsidP="001060CE">
            <w:pPr>
              <w:spacing w:before="81"/>
              <w:jc w:val="right"/>
              <w:rPr>
                <w:rFonts w:eastAsia="Times New Roman" w:cs="Times New Roman"/>
                <w:lang w:eastAsia="cs-CZ"/>
              </w:rPr>
            </w:pPr>
            <w:r w:rsidRPr="001060CE">
              <w:t>54 754</w:t>
            </w:r>
          </w:p>
        </w:tc>
        <w:tc>
          <w:tcPr>
            <w:tcW w:w="513" w:type="pct"/>
            <w:tcBorders>
              <w:top w:val="single" w:sz="8" w:space="0" w:color="7F7F7F" w:themeColor="text1" w:themeTint="80"/>
            </w:tcBorders>
            <w:shd w:val="clear" w:color="auto" w:fill="auto"/>
            <w:vAlign w:val="center"/>
          </w:tcPr>
          <w:p w14:paraId="1042E69E" w14:textId="7E7DB035" w:rsidR="001060CE" w:rsidRPr="001060CE" w:rsidRDefault="001060CE" w:rsidP="001060CE">
            <w:pPr>
              <w:spacing w:before="81"/>
              <w:jc w:val="right"/>
              <w:rPr>
                <w:rFonts w:eastAsia="Times New Roman" w:cs="Times New Roman"/>
                <w:lang w:eastAsia="cs-CZ"/>
              </w:rPr>
            </w:pPr>
            <w:r w:rsidRPr="001060CE">
              <w:t>104,99</w:t>
            </w:r>
          </w:p>
        </w:tc>
      </w:tr>
      <w:tr w:rsidR="001060CE" w:rsidRPr="001060CE" w14:paraId="456B770B"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203BF613" w14:textId="77777777"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Drážní inspekce</w:t>
            </w:r>
          </w:p>
        </w:tc>
        <w:tc>
          <w:tcPr>
            <w:tcW w:w="782" w:type="pct"/>
            <w:tcBorders>
              <w:top w:val="single" w:sz="8" w:space="0" w:color="7F7F7F" w:themeColor="text1" w:themeTint="80"/>
            </w:tcBorders>
            <w:shd w:val="clear" w:color="auto" w:fill="auto"/>
            <w:vAlign w:val="center"/>
          </w:tcPr>
          <w:p w14:paraId="375BFE4F" w14:textId="7972736C" w:rsidR="001060CE" w:rsidRPr="001060CE" w:rsidRDefault="001060CE" w:rsidP="001060CE">
            <w:pPr>
              <w:jc w:val="right"/>
              <w:rPr>
                <w:rFonts w:eastAsia="Times New Roman" w:cs="Times New Roman"/>
                <w:bCs/>
                <w:lang w:eastAsia="cs-CZ"/>
              </w:rPr>
            </w:pPr>
            <w:r w:rsidRPr="001060CE">
              <w:t>23 465</w:t>
            </w:r>
          </w:p>
        </w:tc>
        <w:tc>
          <w:tcPr>
            <w:tcW w:w="703" w:type="pct"/>
            <w:tcBorders>
              <w:top w:val="single" w:sz="8" w:space="0" w:color="7F7F7F" w:themeColor="text1" w:themeTint="80"/>
            </w:tcBorders>
            <w:shd w:val="clear" w:color="auto" w:fill="auto"/>
            <w:vAlign w:val="center"/>
          </w:tcPr>
          <w:p w14:paraId="5F37FA82" w14:textId="6FBA20EA" w:rsidR="001060CE" w:rsidRPr="001060CE" w:rsidRDefault="001060CE" w:rsidP="001060CE">
            <w:pPr>
              <w:spacing w:before="81"/>
              <w:jc w:val="right"/>
              <w:rPr>
                <w:rFonts w:eastAsia="Times New Roman" w:cs="Times New Roman"/>
                <w:lang w:eastAsia="cs-CZ"/>
              </w:rPr>
            </w:pPr>
            <w:r w:rsidRPr="001060CE">
              <w:t>23 091</w:t>
            </w:r>
          </w:p>
        </w:tc>
        <w:tc>
          <w:tcPr>
            <w:tcW w:w="625" w:type="pct"/>
            <w:tcBorders>
              <w:top w:val="single" w:sz="8" w:space="0" w:color="7F7F7F" w:themeColor="text1" w:themeTint="80"/>
            </w:tcBorders>
            <w:shd w:val="clear" w:color="auto" w:fill="auto"/>
            <w:vAlign w:val="center"/>
          </w:tcPr>
          <w:p w14:paraId="019236F4" w14:textId="1D00028B" w:rsidR="001060CE" w:rsidRPr="001060CE" w:rsidRDefault="001060CE" w:rsidP="001060CE">
            <w:pPr>
              <w:spacing w:before="81"/>
              <w:jc w:val="right"/>
              <w:rPr>
                <w:rFonts w:eastAsia="Times New Roman" w:cs="Times New Roman"/>
                <w:lang w:eastAsia="cs-CZ"/>
              </w:rPr>
            </w:pPr>
            <w:r w:rsidRPr="001060CE">
              <w:t>24 244</w:t>
            </w:r>
          </w:p>
        </w:tc>
        <w:tc>
          <w:tcPr>
            <w:tcW w:w="513" w:type="pct"/>
            <w:tcBorders>
              <w:top w:val="single" w:sz="8" w:space="0" w:color="7F7F7F" w:themeColor="text1" w:themeTint="80"/>
            </w:tcBorders>
            <w:shd w:val="clear" w:color="auto" w:fill="auto"/>
            <w:vAlign w:val="center"/>
          </w:tcPr>
          <w:p w14:paraId="6152ED6E" w14:textId="34CBE04B" w:rsidR="001060CE" w:rsidRPr="001060CE" w:rsidRDefault="001060CE" w:rsidP="001060CE">
            <w:pPr>
              <w:spacing w:before="81"/>
              <w:jc w:val="right"/>
              <w:rPr>
                <w:rFonts w:eastAsia="Times New Roman" w:cs="Times New Roman"/>
                <w:lang w:eastAsia="cs-CZ"/>
              </w:rPr>
            </w:pPr>
            <w:r w:rsidRPr="001060CE">
              <w:t>104,99</w:t>
            </w:r>
          </w:p>
        </w:tc>
      </w:tr>
      <w:tr w:rsidR="001060CE" w:rsidRPr="001060CE" w14:paraId="51E0F7F1"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46C2BD62" w14:textId="77777777"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Ústav pro odborné zjišt. příčin letec. nehod</w:t>
            </w:r>
          </w:p>
        </w:tc>
        <w:tc>
          <w:tcPr>
            <w:tcW w:w="782" w:type="pct"/>
            <w:tcBorders>
              <w:top w:val="single" w:sz="8" w:space="0" w:color="7F7F7F" w:themeColor="text1" w:themeTint="80"/>
            </w:tcBorders>
            <w:shd w:val="clear" w:color="auto" w:fill="auto"/>
            <w:vAlign w:val="center"/>
          </w:tcPr>
          <w:p w14:paraId="37E83105" w14:textId="1E6B3BA4" w:rsidR="001060CE" w:rsidRPr="001060CE" w:rsidRDefault="001060CE" w:rsidP="001060CE">
            <w:pPr>
              <w:jc w:val="right"/>
              <w:rPr>
                <w:rFonts w:eastAsia="Times New Roman" w:cs="Times New Roman"/>
                <w:bCs/>
                <w:lang w:eastAsia="cs-CZ"/>
              </w:rPr>
            </w:pPr>
            <w:r w:rsidRPr="001060CE">
              <w:t>8 778</w:t>
            </w:r>
          </w:p>
        </w:tc>
        <w:tc>
          <w:tcPr>
            <w:tcW w:w="703" w:type="pct"/>
            <w:tcBorders>
              <w:top w:val="single" w:sz="8" w:space="0" w:color="7F7F7F" w:themeColor="text1" w:themeTint="80"/>
            </w:tcBorders>
            <w:shd w:val="clear" w:color="auto" w:fill="auto"/>
            <w:vAlign w:val="center"/>
          </w:tcPr>
          <w:p w14:paraId="61AD4D2E" w14:textId="14878A5F" w:rsidR="001060CE" w:rsidRPr="001060CE" w:rsidRDefault="001060CE" w:rsidP="001060CE">
            <w:pPr>
              <w:spacing w:before="81"/>
              <w:jc w:val="right"/>
              <w:rPr>
                <w:rFonts w:eastAsia="Times New Roman" w:cs="Times New Roman"/>
                <w:lang w:eastAsia="cs-CZ"/>
              </w:rPr>
            </w:pPr>
            <w:r w:rsidRPr="001060CE">
              <w:t>8 737</w:t>
            </w:r>
          </w:p>
        </w:tc>
        <w:tc>
          <w:tcPr>
            <w:tcW w:w="625" w:type="pct"/>
            <w:tcBorders>
              <w:top w:val="single" w:sz="8" w:space="0" w:color="7F7F7F" w:themeColor="text1" w:themeTint="80"/>
            </w:tcBorders>
            <w:shd w:val="clear" w:color="auto" w:fill="auto"/>
            <w:vAlign w:val="center"/>
          </w:tcPr>
          <w:p w14:paraId="5076B8AC" w14:textId="174A5987" w:rsidR="001060CE" w:rsidRPr="001060CE" w:rsidRDefault="001060CE" w:rsidP="001060CE">
            <w:pPr>
              <w:spacing w:before="81"/>
              <w:jc w:val="right"/>
              <w:rPr>
                <w:rFonts w:eastAsia="Times New Roman" w:cs="Times New Roman"/>
                <w:lang w:eastAsia="cs-CZ"/>
              </w:rPr>
            </w:pPr>
            <w:r w:rsidRPr="001060CE">
              <w:t>9 171</w:t>
            </w:r>
          </w:p>
        </w:tc>
        <w:tc>
          <w:tcPr>
            <w:tcW w:w="513" w:type="pct"/>
            <w:tcBorders>
              <w:top w:val="single" w:sz="8" w:space="0" w:color="7F7F7F" w:themeColor="text1" w:themeTint="80"/>
            </w:tcBorders>
            <w:shd w:val="clear" w:color="auto" w:fill="auto"/>
            <w:vAlign w:val="center"/>
          </w:tcPr>
          <w:p w14:paraId="75978BF4" w14:textId="6DD932FA" w:rsidR="001060CE" w:rsidRPr="001060CE" w:rsidRDefault="001060CE" w:rsidP="001060CE">
            <w:pPr>
              <w:spacing w:before="81"/>
              <w:jc w:val="right"/>
              <w:rPr>
                <w:rFonts w:eastAsia="Times New Roman" w:cs="Times New Roman"/>
                <w:lang w:eastAsia="cs-CZ"/>
              </w:rPr>
            </w:pPr>
            <w:r w:rsidRPr="001060CE">
              <w:t>104,97</w:t>
            </w:r>
          </w:p>
        </w:tc>
      </w:tr>
      <w:tr w:rsidR="001060CE" w:rsidRPr="001060CE" w14:paraId="0409A325"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E94AC65" w14:textId="77777777"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Dopravní a energetický stavební úřad</w:t>
            </w:r>
          </w:p>
        </w:tc>
        <w:tc>
          <w:tcPr>
            <w:tcW w:w="782" w:type="pct"/>
            <w:tcBorders>
              <w:top w:val="single" w:sz="8" w:space="0" w:color="7F7F7F" w:themeColor="text1" w:themeTint="80"/>
            </w:tcBorders>
            <w:shd w:val="clear" w:color="auto" w:fill="auto"/>
            <w:vAlign w:val="center"/>
          </w:tcPr>
          <w:p w14:paraId="68A68258" w14:textId="5F882B7B" w:rsidR="001060CE" w:rsidRPr="001060CE" w:rsidRDefault="001060CE" w:rsidP="001060CE">
            <w:pPr>
              <w:jc w:val="right"/>
              <w:rPr>
                <w:rFonts w:eastAsia="Times New Roman" w:cs="Times New Roman"/>
                <w:bCs/>
                <w:lang w:eastAsia="cs-CZ"/>
              </w:rPr>
            </w:pPr>
            <w:r w:rsidRPr="001060CE">
              <w:t>2 213</w:t>
            </w:r>
          </w:p>
        </w:tc>
        <w:tc>
          <w:tcPr>
            <w:tcW w:w="703" w:type="pct"/>
            <w:tcBorders>
              <w:top w:val="single" w:sz="8" w:space="0" w:color="7F7F7F" w:themeColor="text1" w:themeTint="80"/>
            </w:tcBorders>
            <w:shd w:val="clear" w:color="auto" w:fill="auto"/>
            <w:vAlign w:val="center"/>
          </w:tcPr>
          <w:p w14:paraId="56E35A23" w14:textId="3D5D3D3C" w:rsidR="001060CE" w:rsidRPr="001060CE" w:rsidRDefault="001060CE" w:rsidP="001060CE">
            <w:pPr>
              <w:spacing w:before="81"/>
              <w:jc w:val="right"/>
              <w:rPr>
                <w:rFonts w:eastAsia="Times New Roman" w:cs="Times New Roman"/>
                <w:lang w:eastAsia="cs-CZ"/>
              </w:rPr>
            </w:pPr>
            <w:r w:rsidRPr="001060CE">
              <w:t>41 996</w:t>
            </w:r>
          </w:p>
        </w:tc>
        <w:tc>
          <w:tcPr>
            <w:tcW w:w="625" w:type="pct"/>
            <w:tcBorders>
              <w:top w:val="single" w:sz="8" w:space="0" w:color="7F7F7F" w:themeColor="text1" w:themeTint="80"/>
            </w:tcBorders>
            <w:shd w:val="clear" w:color="auto" w:fill="auto"/>
            <w:vAlign w:val="center"/>
          </w:tcPr>
          <w:p w14:paraId="6B05C754" w14:textId="357EB2EF" w:rsidR="001060CE" w:rsidRPr="001060CE" w:rsidRDefault="001060CE" w:rsidP="001060CE">
            <w:pPr>
              <w:spacing w:before="81"/>
              <w:jc w:val="right"/>
              <w:rPr>
                <w:rFonts w:eastAsia="Times New Roman" w:cs="Times New Roman"/>
                <w:lang w:eastAsia="cs-CZ"/>
              </w:rPr>
            </w:pPr>
            <w:r w:rsidRPr="001060CE">
              <w:t>73 181</w:t>
            </w:r>
          </w:p>
        </w:tc>
        <w:tc>
          <w:tcPr>
            <w:tcW w:w="513" w:type="pct"/>
            <w:tcBorders>
              <w:top w:val="single" w:sz="8" w:space="0" w:color="7F7F7F" w:themeColor="text1" w:themeTint="80"/>
            </w:tcBorders>
            <w:shd w:val="clear" w:color="auto" w:fill="auto"/>
            <w:vAlign w:val="center"/>
          </w:tcPr>
          <w:p w14:paraId="57BCE0D1" w14:textId="0AE0075C" w:rsidR="001060CE" w:rsidRPr="001060CE" w:rsidRDefault="001060CE" w:rsidP="001060CE">
            <w:pPr>
              <w:spacing w:before="81"/>
              <w:jc w:val="right"/>
              <w:rPr>
                <w:rFonts w:eastAsia="Times New Roman" w:cs="Times New Roman"/>
                <w:lang w:eastAsia="cs-CZ"/>
              </w:rPr>
            </w:pPr>
            <w:r w:rsidRPr="001060CE">
              <w:t>174,26</w:t>
            </w:r>
          </w:p>
        </w:tc>
      </w:tr>
      <w:tr w:rsidR="001060CE" w:rsidRPr="001060CE" w14:paraId="3FA90CBB"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0C48788" w14:textId="77777777"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Ředitelství vodních cest ČR</w:t>
            </w:r>
          </w:p>
        </w:tc>
        <w:tc>
          <w:tcPr>
            <w:tcW w:w="782" w:type="pct"/>
            <w:tcBorders>
              <w:top w:val="single" w:sz="8" w:space="0" w:color="7F7F7F" w:themeColor="text1" w:themeTint="80"/>
            </w:tcBorders>
            <w:shd w:val="clear" w:color="auto" w:fill="auto"/>
            <w:vAlign w:val="center"/>
          </w:tcPr>
          <w:p w14:paraId="0E900BA8" w14:textId="097ABD6A" w:rsidR="001060CE" w:rsidRPr="001060CE" w:rsidRDefault="001060CE" w:rsidP="001060CE">
            <w:pPr>
              <w:jc w:val="right"/>
              <w:rPr>
                <w:rFonts w:eastAsia="Times New Roman" w:cs="Times New Roman"/>
                <w:bCs/>
                <w:lang w:eastAsia="cs-CZ"/>
              </w:rPr>
            </w:pPr>
            <w:r w:rsidRPr="001060CE">
              <w:t>7 211</w:t>
            </w:r>
          </w:p>
        </w:tc>
        <w:tc>
          <w:tcPr>
            <w:tcW w:w="703" w:type="pct"/>
            <w:tcBorders>
              <w:top w:val="single" w:sz="8" w:space="0" w:color="7F7F7F" w:themeColor="text1" w:themeTint="80"/>
            </w:tcBorders>
            <w:shd w:val="clear" w:color="auto" w:fill="auto"/>
            <w:vAlign w:val="center"/>
          </w:tcPr>
          <w:p w14:paraId="471BD5B1" w14:textId="4263D4B2" w:rsidR="001060CE" w:rsidRPr="001060CE" w:rsidRDefault="001060CE" w:rsidP="001060CE">
            <w:pPr>
              <w:spacing w:before="81"/>
              <w:jc w:val="right"/>
              <w:rPr>
                <w:rFonts w:eastAsia="Times New Roman" w:cs="Times New Roman"/>
                <w:lang w:eastAsia="cs-CZ"/>
              </w:rPr>
            </w:pPr>
            <w:r w:rsidRPr="001060CE">
              <w:t>7 068</w:t>
            </w:r>
          </w:p>
        </w:tc>
        <w:tc>
          <w:tcPr>
            <w:tcW w:w="625" w:type="pct"/>
            <w:tcBorders>
              <w:top w:val="single" w:sz="8" w:space="0" w:color="7F7F7F" w:themeColor="text1" w:themeTint="80"/>
            </w:tcBorders>
            <w:shd w:val="clear" w:color="auto" w:fill="auto"/>
            <w:vAlign w:val="center"/>
          </w:tcPr>
          <w:p w14:paraId="11E1CC58" w14:textId="57229E93" w:rsidR="001060CE" w:rsidRPr="001060CE" w:rsidRDefault="001060CE" w:rsidP="001060CE">
            <w:pPr>
              <w:spacing w:before="81"/>
              <w:jc w:val="right"/>
              <w:rPr>
                <w:rFonts w:eastAsia="Times New Roman" w:cs="Times New Roman"/>
                <w:lang w:eastAsia="cs-CZ"/>
              </w:rPr>
            </w:pPr>
            <w:r w:rsidRPr="001060CE">
              <w:t>7 420</w:t>
            </w:r>
          </w:p>
        </w:tc>
        <w:tc>
          <w:tcPr>
            <w:tcW w:w="513" w:type="pct"/>
            <w:tcBorders>
              <w:top w:val="single" w:sz="8" w:space="0" w:color="7F7F7F" w:themeColor="text1" w:themeTint="80"/>
            </w:tcBorders>
            <w:shd w:val="clear" w:color="auto" w:fill="auto"/>
            <w:vAlign w:val="center"/>
          </w:tcPr>
          <w:p w14:paraId="1E691075" w14:textId="031AD7BD" w:rsidR="001060CE" w:rsidRPr="001060CE" w:rsidRDefault="001060CE" w:rsidP="001060CE">
            <w:pPr>
              <w:spacing w:before="81"/>
              <w:jc w:val="right"/>
              <w:rPr>
                <w:rFonts w:eastAsia="Times New Roman" w:cs="Times New Roman"/>
                <w:lang w:eastAsia="cs-CZ"/>
              </w:rPr>
            </w:pPr>
            <w:r w:rsidRPr="001060CE">
              <w:t>104,98</w:t>
            </w:r>
          </w:p>
        </w:tc>
      </w:tr>
      <w:tr w:rsidR="001060CE" w:rsidRPr="001060CE" w14:paraId="4947A54D" w14:textId="77777777" w:rsidTr="00A60031">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535A2C90" w14:textId="77777777" w:rsidR="001060CE" w:rsidRPr="001060CE" w:rsidRDefault="001060CE" w:rsidP="001060CE">
            <w:pPr>
              <w:spacing w:before="60"/>
              <w:rPr>
                <w:rFonts w:eastAsia="Times New Roman" w:cs="Times New Roman"/>
                <w:lang w:eastAsia="cs-CZ"/>
              </w:rPr>
            </w:pPr>
            <w:r w:rsidRPr="001060CE">
              <w:rPr>
                <w:rFonts w:eastAsia="Times New Roman" w:cs="Times New Roman"/>
                <w:lang w:eastAsia="cs-CZ"/>
              </w:rPr>
              <w:t>Centrum služeb pro silniční dopravu</w:t>
            </w:r>
          </w:p>
        </w:tc>
        <w:tc>
          <w:tcPr>
            <w:tcW w:w="782" w:type="pct"/>
            <w:tcBorders>
              <w:top w:val="single" w:sz="8" w:space="0" w:color="7F7F7F" w:themeColor="text1" w:themeTint="80"/>
            </w:tcBorders>
            <w:shd w:val="clear" w:color="auto" w:fill="auto"/>
            <w:vAlign w:val="center"/>
          </w:tcPr>
          <w:p w14:paraId="456C66DB" w14:textId="372A0A3B" w:rsidR="001060CE" w:rsidRPr="001060CE" w:rsidRDefault="001060CE" w:rsidP="001060CE">
            <w:pPr>
              <w:jc w:val="right"/>
              <w:rPr>
                <w:rFonts w:eastAsia="Times New Roman" w:cs="Times New Roman"/>
                <w:bCs/>
                <w:lang w:eastAsia="cs-CZ"/>
              </w:rPr>
            </w:pPr>
            <w:r w:rsidRPr="001060CE">
              <w:t>40 847</w:t>
            </w:r>
          </w:p>
        </w:tc>
        <w:tc>
          <w:tcPr>
            <w:tcW w:w="703" w:type="pct"/>
            <w:tcBorders>
              <w:top w:val="single" w:sz="8" w:space="0" w:color="7F7F7F" w:themeColor="text1" w:themeTint="80"/>
            </w:tcBorders>
            <w:shd w:val="clear" w:color="auto" w:fill="auto"/>
            <w:vAlign w:val="center"/>
          </w:tcPr>
          <w:p w14:paraId="6AB2B187" w14:textId="7701D45C" w:rsidR="001060CE" w:rsidRPr="001060CE" w:rsidRDefault="001060CE" w:rsidP="001060CE">
            <w:pPr>
              <w:spacing w:before="81"/>
              <w:jc w:val="right"/>
              <w:rPr>
                <w:rFonts w:eastAsia="Times New Roman" w:cs="Times New Roman"/>
                <w:lang w:eastAsia="cs-CZ"/>
              </w:rPr>
            </w:pPr>
            <w:r w:rsidRPr="001060CE">
              <w:t>33 902</w:t>
            </w:r>
          </w:p>
        </w:tc>
        <w:tc>
          <w:tcPr>
            <w:tcW w:w="625" w:type="pct"/>
            <w:tcBorders>
              <w:top w:val="single" w:sz="8" w:space="0" w:color="7F7F7F" w:themeColor="text1" w:themeTint="80"/>
            </w:tcBorders>
            <w:shd w:val="clear" w:color="auto" w:fill="auto"/>
            <w:vAlign w:val="center"/>
          </w:tcPr>
          <w:p w14:paraId="64517D4E" w14:textId="64613C98" w:rsidR="001060CE" w:rsidRPr="001060CE" w:rsidRDefault="001060CE" w:rsidP="001060CE">
            <w:pPr>
              <w:spacing w:before="81"/>
              <w:jc w:val="right"/>
              <w:rPr>
                <w:rFonts w:eastAsia="Times New Roman" w:cs="Times New Roman"/>
                <w:lang w:eastAsia="cs-CZ"/>
              </w:rPr>
            </w:pPr>
            <w:r w:rsidRPr="001060CE">
              <w:t>35 526</w:t>
            </w:r>
          </w:p>
        </w:tc>
        <w:tc>
          <w:tcPr>
            <w:tcW w:w="513" w:type="pct"/>
            <w:tcBorders>
              <w:top w:val="single" w:sz="8" w:space="0" w:color="7F7F7F" w:themeColor="text1" w:themeTint="80"/>
            </w:tcBorders>
            <w:shd w:val="clear" w:color="auto" w:fill="auto"/>
            <w:vAlign w:val="center"/>
          </w:tcPr>
          <w:p w14:paraId="2540FD71" w14:textId="203CB698" w:rsidR="001060CE" w:rsidRPr="001060CE" w:rsidRDefault="001060CE" w:rsidP="001060CE">
            <w:pPr>
              <w:spacing w:before="81"/>
              <w:jc w:val="right"/>
              <w:rPr>
                <w:rFonts w:eastAsia="Times New Roman" w:cs="Times New Roman"/>
                <w:lang w:eastAsia="cs-CZ"/>
              </w:rPr>
            </w:pPr>
            <w:r w:rsidRPr="001060CE">
              <w:t>104,79</w:t>
            </w:r>
          </w:p>
        </w:tc>
      </w:tr>
    </w:tbl>
    <w:p w14:paraId="5C9D5F3A" w14:textId="5172D0BD" w:rsidR="002906D0" w:rsidRPr="001060CE" w:rsidRDefault="002906D0" w:rsidP="002906D0">
      <w:pPr>
        <w:pStyle w:val="obyctext"/>
        <w:spacing w:before="240" w:after="0"/>
        <w:ind w:firstLine="0"/>
        <w:rPr>
          <w:b/>
        </w:rPr>
      </w:pPr>
      <w:r w:rsidRPr="001060CE">
        <w:rPr>
          <w:b/>
        </w:rPr>
        <w:lastRenderedPageBreak/>
        <w:t>V oblasti platů a ostatních plateb za provedenou práci byly promítnuty na rok 202</w:t>
      </w:r>
      <w:r w:rsidR="001060CE" w:rsidRPr="001060CE">
        <w:rPr>
          <w:b/>
        </w:rPr>
        <w:t>5</w:t>
      </w:r>
      <w:r w:rsidRPr="001060CE">
        <w:rPr>
          <w:b/>
        </w:rPr>
        <w:t xml:space="preserve"> tyto změny oproti schválenému rozpočtu na rok 202</w:t>
      </w:r>
      <w:r w:rsidR="001060CE">
        <w:rPr>
          <w:b/>
        </w:rPr>
        <w:t>4</w:t>
      </w:r>
      <w:r w:rsidRPr="001060CE">
        <w:rPr>
          <w:b/>
        </w:rPr>
        <w:t>:</w:t>
      </w:r>
    </w:p>
    <w:p w14:paraId="1C5B0F43" w14:textId="0532C5E0" w:rsidR="002906D0" w:rsidRPr="001060CE" w:rsidRDefault="001060CE" w:rsidP="002906D0">
      <w:pPr>
        <w:pStyle w:val="obyctext"/>
        <w:numPr>
          <w:ilvl w:val="0"/>
          <w:numId w:val="19"/>
        </w:numPr>
        <w:tabs>
          <w:tab w:val="left" w:pos="567"/>
          <w:tab w:val="left" w:pos="851"/>
        </w:tabs>
        <w:spacing w:before="60" w:after="0"/>
        <w:ind w:left="567" w:hanging="283"/>
      </w:pPr>
      <w:r w:rsidRPr="001060CE">
        <w:t>přesuny prostředků na platy v souvislosti se schválenou změnou systemizace s účinností od 1. 1. 2024 – UV č. 875/2023</w:t>
      </w:r>
      <w:r w:rsidR="002906D0" w:rsidRPr="001060CE">
        <w:t>;</w:t>
      </w:r>
    </w:p>
    <w:p w14:paraId="18A156C7" w14:textId="6947F815" w:rsidR="001060CE" w:rsidRPr="001060CE" w:rsidRDefault="001060CE" w:rsidP="002906D0">
      <w:pPr>
        <w:pStyle w:val="obyctext"/>
        <w:numPr>
          <w:ilvl w:val="0"/>
          <w:numId w:val="19"/>
        </w:numPr>
        <w:tabs>
          <w:tab w:val="left" w:pos="567"/>
          <w:tab w:val="left" w:pos="851"/>
        </w:tabs>
        <w:spacing w:before="60" w:after="0"/>
        <w:ind w:left="567" w:hanging="283"/>
      </w:pPr>
      <w:r w:rsidRPr="001060CE">
        <w:t>zvýšení a přesun prostředků na platy v souvislosti s delimitací k 1. 1. 2024;</w:t>
      </w:r>
    </w:p>
    <w:p w14:paraId="70562090" w14:textId="77777777" w:rsidR="001060CE" w:rsidRPr="001060CE" w:rsidRDefault="001060CE" w:rsidP="001060CE">
      <w:pPr>
        <w:pStyle w:val="obyctext"/>
        <w:numPr>
          <w:ilvl w:val="0"/>
          <w:numId w:val="19"/>
        </w:numPr>
        <w:tabs>
          <w:tab w:val="left" w:pos="567"/>
        </w:tabs>
        <w:spacing w:before="60" w:after="0"/>
        <w:ind w:left="567" w:hanging="283"/>
      </w:pPr>
      <w:r w:rsidRPr="001060CE">
        <w:t>zvýšení objemu prostředků na platy v souvislosti se schválenou změnou systemizace s účinností od 1. 3. 2024 – UV č. 128/2024;</w:t>
      </w:r>
    </w:p>
    <w:p w14:paraId="332C290D" w14:textId="77777777" w:rsidR="001060CE" w:rsidRPr="001060CE" w:rsidRDefault="001060CE" w:rsidP="001060CE">
      <w:pPr>
        <w:pStyle w:val="obyctext"/>
        <w:numPr>
          <w:ilvl w:val="0"/>
          <w:numId w:val="19"/>
        </w:numPr>
        <w:tabs>
          <w:tab w:val="left" w:pos="567"/>
        </w:tabs>
        <w:spacing w:before="60" w:after="0"/>
        <w:ind w:left="567" w:hanging="283"/>
      </w:pPr>
      <w:r w:rsidRPr="001060CE">
        <w:t xml:space="preserve">valorizace platu ministra k 1. 1. 2025; </w:t>
      </w:r>
    </w:p>
    <w:p w14:paraId="402FB190" w14:textId="77777777" w:rsidR="001060CE" w:rsidRPr="001060CE" w:rsidRDefault="001060CE" w:rsidP="001060CE">
      <w:pPr>
        <w:pStyle w:val="obyctext"/>
        <w:numPr>
          <w:ilvl w:val="0"/>
          <w:numId w:val="19"/>
        </w:numPr>
        <w:tabs>
          <w:tab w:val="left" w:pos="567"/>
        </w:tabs>
        <w:spacing w:before="60" w:after="0"/>
        <w:ind w:left="567" w:hanging="283"/>
      </w:pPr>
      <w:r w:rsidRPr="001060CE">
        <w:t xml:space="preserve">zvýšení objemu prostředků na platy a ostatní platby za provedenou práci z fondů EU </w:t>
      </w:r>
      <w:r w:rsidRPr="001060CE">
        <w:br/>
        <w:t>a finančních mechanismů (SR a EU podíl);</w:t>
      </w:r>
    </w:p>
    <w:p w14:paraId="28784DAF" w14:textId="35D2DF48" w:rsidR="001060CE" w:rsidRPr="001060CE" w:rsidRDefault="001060CE" w:rsidP="001060CE">
      <w:pPr>
        <w:pStyle w:val="obyctext"/>
        <w:numPr>
          <w:ilvl w:val="0"/>
          <w:numId w:val="19"/>
        </w:numPr>
        <w:tabs>
          <w:tab w:val="left" w:pos="567"/>
          <w:tab w:val="left" w:pos="851"/>
        </w:tabs>
        <w:spacing w:before="60" w:after="0"/>
        <w:ind w:left="567" w:hanging="283"/>
      </w:pPr>
      <w:r w:rsidRPr="001060CE">
        <w:t>zvýšení objemu prostředků na platy o 5 % dle rozhodnutí vlády u OSS a PO s účinností od 1. 1. 2025.</w:t>
      </w:r>
    </w:p>
    <w:p w14:paraId="792826A7" w14:textId="7E99E8EB" w:rsidR="002906D0" w:rsidRPr="001060CE" w:rsidRDefault="002906D0" w:rsidP="002906D0">
      <w:pPr>
        <w:pStyle w:val="obyctext"/>
        <w:tabs>
          <w:tab w:val="left" w:pos="567"/>
        </w:tabs>
        <w:spacing w:before="240" w:after="0"/>
        <w:ind w:firstLine="0"/>
        <w:rPr>
          <w:b/>
        </w:rPr>
      </w:pPr>
      <w:r w:rsidRPr="001060CE">
        <w:rPr>
          <w:b/>
        </w:rPr>
        <w:t>U jednotlivých OSS a PO jsou na rok 202</w:t>
      </w:r>
      <w:r w:rsidR="001060CE" w:rsidRPr="001060CE">
        <w:rPr>
          <w:b/>
        </w:rPr>
        <w:t>5</w:t>
      </w:r>
      <w:r w:rsidRPr="001060CE">
        <w:rPr>
          <w:b/>
        </w:rPr>
        <w:t xml:space="preserve"> promítnuté tyto změny: </w:t>
      </w:r>
    </w:p>
    <w:p w14:paraId="145FD360" w14:textId="77777777" w:rsidR="002906D0" w:rsidRPr="001060CE" w:rsidRDefault="002906D0" w:rsidP="002906D0">
      <w:pPr>
        <w:pStyle w:val="Nadpis8"/>
      </w:pPr>
      <w:r w:rsidRPr="001060CE">
        <w:t>ÚO MD</w:t>
      </w:r>
    </w:p>
    <w:p w14:paraId="6B44C5DE" w14:textId="77777777" w:rsidR="001060CE" w:rsidRPr="001060CE" w:rsidRDefault="001060CE" w:rsidP="001060CE">
      <w:pPr>
        <w:pStyle w:val="obyctext"/>
        <w:numPr>
          <w:ilvl w:val="0"/>
          <w:numId w:val="18"/>
        </w:numPr>
        <w:tabs>
          <w:tab w:val="left" w:pos="426"/>
        </w:tabs>
        <w:spacing w:before="60" w:after="0"/>
        <w:ind w:left="425" w:hanging="425"/>
      </w:pPr>
      <w:r w:rsidRPr="001060CE">
        <w:t>snížení prostředků na platy ve výši 2 449 tis. Kč z důvodu delimitace na DESÚ, změna systemizace schválena UV č. 875/2023 s účinností od 1. 1 2024;</w:t>
      </w:r>
    </w:p>
    <w:p w14:paraId="4867CDA5" w14:textId="77777777" w:rsidR="001060CE" w:rsidRPr="001060CE" w:rsidRDefault="001060CE" w:rsidP="001060CE">
      <w:pPr>
        <w:pStyle w:val="obyctext"/>
        <w:numPr>
          <w:ilvl w:val="0"/>
          <w:numId w:val="18"/>
        </w:numPr>
        <w:tabs>
          <w:tab w:val="left" w:pos="426"/>
        </w:tabs>
        <w:spacing w:before="60" w:after="0"/>
        <w:ind w:left="425" w:hanging="425"/>
      </w:pPr>
      <w:r w:rsidRPr="001060CE">
        <w:t>přesun prostředků na platy ve výši 1 406 tis. Kč ze SFDI, změna systemizace schválena UV č. 128/2024 s účinností od 1. 3. 2024;</w:t>
      </w:r>
    </w:p>
    <w:p w14:paraId="51491C11" w14:textId="77777777" w:rsidR="001060CE" w:rsidRPr="001060CE" w:rsidRDefault="001060CE" w:rsidP="001060CE">
      <w:pPr>
        <w:pStyle w:val="obyctext"/>
        <w:numPr>
          <w:ilvl w:val="0"/>
          <w:numId w:val="18"/>
        </w:numPr>
        <w:tabs>
          <w:tab w:val="left" w:pos="426"/>
        </w:tabs>
        <w:spacing w:after="0"/>
        <w:ind w:left="425" w:hanging="425"/>
        <w:rPr>
          <w:b/>
        </w:rPr>
      </w:pPr>
      <w:r w:rsidRPr="001060CE">
        <w:t xml:space="preserve">navýšení prostředků na platy a ostatní platby za provedenou práci u projektů EU a finančních mechanismů ve výši 1 369 tis. Kč (SR podíl ve výši 111 tis. Kč a EU podíl ve výši 1 258 tis. Kč), jednalo se o kombinací následujících změn: </w:t>
      </w:r>
    </w:p>
    <w:p w14:paraId="7CC68BF1" w14:textId="77777777" w:rsidR="001060CE" w:rsidRPr="001060CE" w:rsidRDefault="001060CE" w:rsidP="001060CE">
      <w:pPr>
        <w:pStyle w:val="obyctext"/>
        <w:numPr>
          <w:ilvl w:val="0"/>
          <w:numId w:val="5"/>
        </w:numPr>
        <w:tabs>
          <w:tab w:val="left" w:pos="426"/>
        </w:tabs>
        <w:spacing w:after="0"/>
        <w:rPr>
          <w:b/>
          <w:i/>
        </w:rPr>
      </w:pPr>
      <w:r w:rsidRPr="001060CE">
        <w:rPr>
          <w:i/>
        </w:rPr>
        <w:t xml:space="preserve">navýšení prostředků na platy u Operačního programu Doprava 2021+ ve výši </w:t>
      </w:r>
      <w:r w:rsidRPr="001060CE">
        <w:rPr>
          <w:i/>
        </w:rPr>
        <w:br/>
        <w:t>3 535 tis. Kč (SR podíl ve výši 530 tis. Kč a EU podíl ve výši 3 004 tis. Kč);</w:t>
      </w:r>
    </w:p>
    <w:p w14:paraId="67F39F99" w14:textId="77777777" w:rsidR="001060CE" w:rsidRPr="001060CE" w:rsidRDefault="001060CE" w:rsidP="001060CE">
      <w:pPr>
        <w:pStyle w:val="obyctext"/>
        <w:numPr>
          <w:ilvl w:val="0"/>
          <w:numId w:val="5"/>
        </w:numPr>
        <w:tabs>
          <w:tab w:val="left" w:pos="426"/>
        </w:tabs>
        <w:spacing w:after="0"/>
        <w:rPr>
          <w:b/>
          <w:i/>
        </w:rPr>
      </w:pPr>
      <w:r w:rsidRPr="001060CE">
        <w:rPr>
          <w:i/>
        </w:rPr>
        <w:t xml:space="preserve">snížení prostředků na platy a ostatní platby za provedenou práci u Komunitárních programů 2014+ ve výši 844 tis. Kč (SR podíl ve výši 127 tis. Kč a EU podíl ve výši </w:t>
      </w:r>
      <w:r w:rsidRPr="001060CE">
        <w:rPr>
          <w:i/>
        </w:rPr>
        <w:br/>
        <w:t>717 tis. Kč);</w:t>
      </w:r>
    </w:p>
    <w:p w14:paraId="083EA4F3" w14:textId="77777777" w:rsidR="001060CE" w:rsidRPr="001060CE" w:rsidRDefault="001060CE" w:rsidP="001060CE">
      <w:pPr>
        <w:pStyle w:val="obyctext"/>
        <w:numPr>
          <w:ilvl w:val="0"/>
          <w:numId w:val="5"/>
        </w:numPr>
        <w:tabs>
          <w:tab w:val="left" w:pos="426"/>
        </w:tabs>
        <w:spacing w:after="0"/>
        <w:rPr>
          <w:b/>
          <w:i/>
        </w:rPr>
      </w:pPr>
      <w:r w:rsidRPr="001060CE">
        <w:rPr>
          <w:i/>
        </w:rPr>
        <w:t xml:space="preserve">snížení prostředků na platy a ostatní platby za provedenou práci u Komunitárních programů 2021+ ve výši 1 603 tis. Kč (SR podíl ve výši 293 tis. Kč a EU podíl ve výši </w:t>
      </w:r>
      <w:r w:rsidRPr="001060CE">
        <w:rPr>
          <w:i/>
        </w:rPr>
        <w:br/>
        <w:t>1 311 tis. Kč);</w:t>
      </w:r>
    </w:p>
    <w:p w14:paraId="664AB51F" w14:textId="77777777" w:rsidR="001060CE" w:rsidRPr="001060CE" w:rsidRDefault="001060CE" w:rsidP="001060CE">
      <w:pPr>
        <w:pStyle w:val="obyctext"/>
        <w:numPr>
          <w:ilvl w:val="0"/>
          <w:numId w:val="5"/>
        </w:numPr>
        <w:tabs>
          <w:tab w:val="left" w:pos="426"/>
        </w:tabs>
        <w:spacing w:after="0"/>
        <w:rPr>
          <w:b/>
          <w:i/>
        </w:rPr>
      </w:pPr>
      <w:r w:rsidRPr="001060CE">
        <w:rPr>
          <w:i/>
        </w:rPr>
        <w:t xml:space="preserve">navýšení prostředků na platy a ostatní platby za provedenou práci u Národního programu obnovy ve výši 282 tis. Kč (EU podíl). </w:t>
      </w:r>
    </w:p>
    <w:p w14:paraId="5B1364F7" w14:textId="5CD3BAE4" w:rsidR="001060CE" w:rsidRPr="001060CE" w:rsidRDefault="001060CE" w:rsidP="001060CE">
      <w:pPr>
        <w:pStyle w:val="obyctext"/>
        <w:numPr>
          <w:ilvl w:val="0"/>
          <w:numId w:val="18"/>
        </w:numPr>
        <w:tabs>
          <w:tab w:val="left" w:pos="426"/>
        </w:tabs>
        <w:spacing w:after="0"/>
        <w:ind w:left="425" w:hanging="425"/>
      </w:pPr>
      <w:r w:rsidRPr="001060CE">
        <w:t>valorizace platu ministra ve výši 320 tis. Kč s účinností od 1. 1. 2025;</w:t>
      </w:r>
    </w:p>
    <w:p w14:paraId="429F7FC5" w14:textId="3FE55AA8" w:rsidR="001060CE" w:rsidRPr="001060CE" w:rsidRDefault="001060CE" w:rsidP="001060CE">
      <w:pPr>
        <w:pStyle w:val="obyctext"/>
        <w:numPr>
          <w:ilvl w:val="0"/>
          <w:numId w:val="18"/>
        </w:numPr>
        <w:tabs>
          <w:tab w:val="left" w:pos="426"/>
        </w:tabs>
        <w:spacing w:after="0"/>
        <w:ind w:left="425" w:hanging="425"/>
        <w:rPr>
          <w:b/>
        </w:rPr>
      </w:pPr>
      <w:r w:rsidRPr="001060CE">
        <w:t>navýšení objemu prostředků na platy o 5 %, tj. ve výši 12 303 tis. Kč;</w:t>
      </w:r>
    </w:p>
    <w:p w14:paraId="5E620296" w14:textId="58FA5711" w:rsidR="002906D0" w:rsidRPr="001060CE" w:rsidRDefault="001060CE" w:rsidP="002906D0">
      <w:pPr>
        <w:pStyle w:val="Styl1"/>
        <w:rPr>
          <w:b/>
        </w:rPr>
      </w:pPr>
      <w:r w:rsidRPr="001060CE">
        <w:t xml:space="preserve">Prostředky na platy (328 193 tis. Kč) a ostatní platby za provedenou práci (10 747 tis. Kč) </w:t>
      </w:r>
      <w:r w:rsidRPr="001060CE">
        <w:br/>
        <w:t xml:space="preserve">u ÚO MD jsou stanovené pro rok 2025 v celkové výši 338 940 tis. Kč. Ve srovnání s rokem 2024 dochází ke zvýšení o 12 949 tis. Kč, tj. o 3,97 %. </w:t>
      </w:r>
    </w:p>
    <w:p w14:paraId="710A197E" w14:textId="77777777" w:rsidR="002906D0" w:rsidRPr="00C73DE2" w:rsidRDefault="002906D0" w:rsidP="002906D0">
      <w:pPr>
        <w:pStyle w:val="Nadpis8"/>
      </w:pPr>
      <w:r w:rsidRPr="00C73DE2">
        <w:t>ÚCL</w:t>
      </w:r>
    </w:p>
    <w:p w14:paraId="7E874115" w14:textId="4AD8D668" w:rsidR="00C73DE2" w:rsidRPr="00C73DE2" w:rsidRDefault="00C73DE2" w:rsidP="00C73DE2">
      <w:pPr>
        <w:pStyle w:val="obyctext"/>
        <w:numPr>
          <w:ilvl w:val="0"/>
          <w:numId w:val="18"/>
        </w:numPr>
        <w:tabs>
          <w:tab w:val="left" w:pos="426"/>
        </w:tabs>
        <w:spacing w:before="60" w:after="0"/>
        <w:ind w:left="425" w:hanging="425"/>
      </w:pPr>
      <w:r w:rsidRPr="00C73DE2">
        <w:t>přesun prostředků na platy ve výši 800 tis. Kč z platů státních zaměstnanců na platy zaměstnanců v pracovním poměru, vnitřní reorganizace s účinností od 1. 1. 2025;</w:t>
      </w:r>
    </w:p>
    <w:p w14:paraId="2B80F148" w14:textId="7BA6436C" w:rsidR="002906D0" w:rsidRPr="00C73DE2" w:rsidRDefault="00C73DE2" w:rsidP="00C73DE2">
      <w:pPr>
        <w:pStyle w:val="obyctext"/>
        <w:numPr>
          <w:ilvl w:val="0"/>
          <w:numId w:val="18"/>
        </w:numPr>
        <w:tabs>
          <w:tab w:val="left" w:pos="426"/>
        </w:tabs>
        <w:spacing w:after="0"/>
        <w:ind w:left="425" w:hanging="425"/>
        <w:rPr>
          <w:b/>
        </w:rPr>
      </w:pPr>
      <w:r w:rsidRPr="00C73DE2">
        <w:t>navýšení objemu prostředků na platy o 5 %, tj. ve výši 5 382 tis. Kč.</w:t>
      </w:r>
    </w:p>
    <w:p w14:paraId="1E0E7958" w14:textId="0C20533A" w:rsidR="002906D0" w:rsidRPr="00C73DE2" w:rsidRDefault="00C73DE2" w:rsidP="002906D0">
      <w:pPr>
        <w:pStyle w:val="Styl1"/>
        <w:rPr>
          <w:b/>
        </w:rPr>
      </w:pPr>
      <w:r w:rsidRPr="00C73DE2">
        <w:lastRenderedPageBreak/>
        <w:t>Prostředky na platy (113 030 tis. Kč) a ostatní platby za provedenou práci (524 tis. Kč) u ÚCL jsou stanovené pro rok 2025 v celkové výši 113 554 tis. Kč. Ve srovnání s rokem 2024 dochází ke zvýšení o 5 382 tis. Kč, tj. o 4,98 %.</w:t>
      </w:r>
    </w:p>
    <w:p w14:paraId="2C51F8F7" w14:textId="77777777" w:rsidR="002906D0" w:rsidRPr="00F51C03" w:rsidRDefault="002906D0" w:rsidP="002906D0">
      <w:pPr>
        <w:pStyle w:val="Nadpis8"/>
      </w:pPr>
      <w:r w:rsidRPr="00F51C03">
        <w:t>SPS</w:t>
      </w:r>
    </w:p>
    <w:p w14:paraId="1AB9FB7D" w14:textId="77777777" w:rsidR="00F51C03" w:rsidRPr="00F51C03" w:rsidRDefault="00F51C03" w:rsidP="00F51C03">
      <w:pPr>
        <w:pStyle w:val="obyctext"/>
        <w:numPr>
          <w:ilvl w:val="0"/>
          <w:numId w:val="18"/>
        </w:numPr>
        <w:tabs>
          <w:tab w:val="left" w:pos="426"/>
        </w:tabs>
        <w:spacing w:after="0"/>
        <w:ind w:left="425" w:hanging="425"/>
        <w:rPr>
          <w:b/>
        </w:rPr>
      </w:pPr>
      <w:r w:rsidRPr="00F51C03">
        <w:t>navýšení objemu prostředků na platy o 5 %, tj. ve výši 2 044 tis. Kč;</w:t>
      </w:r>
    </w:p>
    <w:p w14:paraId="7A357DD3" w14:textId="6BF1B7BC" w:rsidR="002906D0" w:rsidRPr="00F51C03" w:rsidRDefault="00F51C03" w:rsidP="00F51C03">
      <w:pPr>
        <w:pStyle w:val="obyctext"/>
        <w:numPr>
          <w:ilvl w:val="0"/>
          <w:numId w:val="18"/>
        </w:numPr>
        <w:tabs>
          <w:tab w:val="left" w:pos="426"/>
        </w:tabs>
        <w:spacing w:before="60" w:after="0"/>
        <w:ind w:left="425" w:hanging="425"/>
      </w:pPr>
      <w:r w:rsidRPr="00F51C03">
        <w:t xml:space="preserve">snížení prostředků na platy u projektu RIS COMEX II. o částku 120 tis. Kč (u SR podílu  </w:t>
      </w:r>
      <w:r w:rsidRPr="00F51C03">
        <w:br/>
        <w:t>o částku 60 tis. Kč a u EU podílu o částku 60 tis. Kč)</w:t>
      </w:r>
      <w:r w:rsidR="002906D0" w:rsidRPr="00F51C03">
        <w:t>.</w:t>
      </w:r>
    </w:p>
    <w:p w14:paraId="7128FFE9" w14:textId="601C87D6" w:rsidR="002906D0" w:rsidRPr="00F51C03" w:rsidRDefault="00F51C03" w:rsidP="002906D0">
      <w:pPr>
        <w:pStyle w:val="Styl1"/>
        <w:rPr>
          <w:b/>
        </w:rPr>
      </w:pPr>
      <w:r w:rsidRPr="00F51C03">
        <w:t xml:space="preserve">Prostředky na platy (43 514 tis. Kč) a ostatní platby za provedenou práci (163 tis. Kč) u SPS jsou stanovené pro rok 2025 v celkové výši 43 678 tis. Kč. Ve srovnání s rokem 2024 dochází </w:t>
      </w:r>
      <w:r w:rsidRPr="00F51C03">
        <w:br/>
        <w:t>ke zvýšení o 1 924 tis. Kč, tj. o 4,61 %.</w:t>
      </w:r>
    </w:p>
    <w:p w14:paraId="4CEE7C03" w14:textId="77777777" w:rsidR="002906D0" w:rsidRPr="00900843" w:rsidRDefault="002906D0" w:rsidP="002906D0">
      <w:pPr>
        <w:pStyle w:val="Nadpis8"/>
      </w:pPr>
      <w:r w:rsidRPr="00900843">
        <w:t>DÚ</w:t>
      </w:r>
    </w:p>
    <w:p w14:paraId="74186E5B" w14:textId="5FCE42F4" w:rsidR="002906D0" w:rsidRPr="00900843" w:rsidRDefault="00900843" w:rsidP="002906D0">
      <w:pPr>
        <w:pStyle w:val="obyctext"/>
        <w:numPr>
          <w:ilvl w:val="0"/>
          <w:numId w:val="18"/>
        </w:numPr>
        <w:tabs>
          <w:tab w:val="left" w:pos="426"/>
        </w:tabs>
        <w:spacing w:after="0"/>
        <w:ind w:left="425" w:hanging="425"/>
        <w:rPr>
          <w:b/>
        </w:rPr>
      </w:pPr>
      <w:r w:rsidRPr="00900843">
        <w:t>navýšení objemu prostředků na platy o 5 %, tj. ve výši 2 601 tis. Kč.</w:t>
      </w:r>
    </w:p>
    <w:p w14:paraId="28D66279" w14:textId="1786705F" w:rsidR="002906D0" w:rsidRPr="00900843" w:rsidRDefault="00900843" w:rsidP="002906D0">
      <w:pPr>
        <w:pStyle w:val="obyctext"/>
        <w:tabs>
          <w:tab w:val="left" w:pos="0"/>
        </w:tabs>
        <w:spacing w:before="180" w:after="0"/>
        <w:ind w:firstLine="0"/>
        <w:rPr>
          <w:b/>
        </w:rPr>
      </w:pPr>
      <w:r w:rsidRPr="00900843">
        <w:t>Prostředky na platy (54 630 tis. Kč) a ostatní platby za provedenou práci (124 tis. Kč) u DÚ jsou stanovené pro rok 2025 v celkové výši 54 754 tis. Kč. Ve srovnání s rokem 2024 dochází ke zvýšení o 2 601 tis. Kč, tj. o 4,99 %</w:t>
      </w:r>
      <w:r w:rsidR="000D699E" w:rsidRPr="00900843">
        <w:t>.</w:t>
      </w:r>
    </w:p>
    <w:p w14:paraId="438C823D" w14:textId="77777777" w:rsidR="002906D0" w:rsidRPr="00900843" w:rsidRDefault="002906D0" w:rsidP="002906D0">
      <w:pPr>
        <w:pStyle w:val="Nadpis8"/>
      </w:pPr>
      <w:r w:rsidRPr="00900843">
        <w:t>DI</w:t>
      </w:r>
    </w:p>
    <w:p w14:paraId="006D468A" w14:textId="7D6D1C7B" w:rsidR="002906D0" w:rsidRPr="00900843" w:rsidRDefault="00900843" w:rsidP="002906D0">
      <w:pPr>
        <w:pStyle w:val="obyctext"/>
        <w:numPr>
          <w:ilvl w:val="0"/>
          <w:numId w:val="18"/>
        </w:numPr>
        <w:tabs>
          <w:tab w:val="left" w:pos="426"/>
        </w:tabs>
        <w:spacing w:after="0"/>
        <w:ind w:left="425" w:hanging="425"/>
        <w:rPr>
          <w:b/>
        </w:rPr>
      </w:pPr>
      <w:r w:rsidRPr="00900843">
        <w:t>navýšení objemu prostředků na platy o 5 %, tj. ve výši 1 153 tis. Kč</w:t>
      </w:r>
      <w:r w:rsidR="002906D0" w:rsidRPr="00900843">
        <w:t>.</w:t>
      </w:r>
    </w:p>
    <w:p w14:paraId="7B37D094" w14:textId="5876B90E" w:rsidR="002906D0" w:rsidRPr="00900843" w:rsidRDefault="00900843" w:rsidP="002906D0">
      <w:pPr>
        <w:pStyle w:val="Styl1"/>
        <w:rPr>
          <w:b/>
        </w:rPr>
      </w:pPr>
      <w:r w:rsidRPr="00900843">
        <w:t>Prostředky na platy (24 215 tis. Kč) a ostatní platby za provedenou práci (30 tis. Kč) u DI jsou stanovené pro rok 2025 v celkové výši 24 244 tis. Kč. Ve srovnání s rokem 2024 dochází ke zvýšení o 1 153 tis. Kč, tj. o 4,99 %.</w:t>
      </w:r>
    </w:p>
    <w:p w14:paraId="2749C3AA" w14:textId="77777777" w:rsidR="002906D0" w:rsidRPr="00900843" w:rsidRDefault="002906D0" w:rsidP="002906D0">
      <w:pPr>
        <w:pStyle w:val="Nadpis8"/>
      </w:pPr>
      <w:r w:rsidRPr="00900843">
        <w:t>ÚZPLN</w:t>
      </w:r>
    </w:p>
    <w:p w14:paraId="53E4268D" w14:textId="16EB0460" w:rsidR="002906D0" w:rsidRPr="00900843" w:rsidRDefault="00900843" w:rsidP="002906D0">
      <w:pPr>
        <w:pStyle w:val="obyctext"/>
        <w:numPr>
          <w:ilvl w:val="0"/>
          <w:numId w:val="18"/>
        </w:numPr>
        <w:tabs>
          <w:tab w:val="left" w:pos="426"/>
        </w:tabs>
        <w:spacing w:after="0"/>
        <w:ind w:left="425" w:hanging="425"/>
        <w:rPr>
          <w:b/>
        </w:rPr>
      </w:pPr>
      <w:r w:rsidRPr="00900843">
        <w:t>navýšení objemu prostředků na platy o 5 %, tj. ve výši 434 tis. Kč</w:t>
      </w:r>
      <w:r w:rsidR="002906D0" w:rsidRPr="00900843">
        <w:t>.</w:t>
      </w:r>
    </w:p>
    <w:p w14:paraId="72A7C83C" w14:textId="6ECEEC91" w:rsidR="002906D0" w:rsidRPr="00900843" w:rsidRDefault="00900843" w:rsidP="002906D0">
      <w:pPr>
        <w:pStyle w:val="Styl1"/>
        <w:rPr>
          <w:u w:val="single"/>
        </w:rPr>
      </w:pPr>
      <w:r w:rsidRPr="00900843">
        <w:t>Prostředky na platy (9 120 tis. Kč) a ostatní platby za provedenou práci (51 tis. Kč) u ÚZPLN jsou stanovené pro rok 2025 v celkové výši 9 171 tis. Kč. Ve srovnání s rokem 2024 dochází ke zvýšení o 434 tis. Kč, tj. o 4,97 %</w:t>
      </w:r>
      <w:r w:rsidR="002906D0" w:rsidRPr="00900843">
        <w:t>.</w:t>
      </w:r>
    </w:p>
    <w:p w14:paraId="29B99DE9" w14:textId="77777777" w:rsidR="002906D0" w:rsidRPr="0089581C" w:rsidRDefault="002906D0" w:rsidP="002906D0">
      <w:pPr>
        <w:pStyle w:val="Nadpis8"/>
      </w:pPr>
      <w:r w:rsidRPr="0089581C">
        <w:t>DESÚ</w:t>
      </w:r>
    </w:p>
    <w:p w14:paraId="4B0C104F" w14:textId="77777777" w:rsidR="0089581C" w:rsidRPr="0089581C" w:rsidRDefault="0089581C" w:rsidP="0089581C">
      <w:pPr>
        <w:pStyle w:val="obyctext"/>
        <w:numPr>
          <w:ilvl w:val="0"/>
          <w:numId w:val="18"/>
        </w:numPr>
        <w:tabs>
          <w:tab w:val="left" w:pos="426"/>
        </w:tabs>
        <w:spacing w:after="0"/>
        <w:ind w:left="425" w:hanging="425"/>
      </w:pPr>
      <w:r w:rsidRPr="0089581C">
        <w:t xml:space="preserve">navýšení prostředků na platy ve výši 6 714 tis. Kč z důvodu delimitace z kapitoly </w:t>
      </w:r>
      <w:r w:rsidRPr="0089581C">
        <w:br/>
        <w:t>322-MPO, změna systemizace schválena UV č. 875/2023 s účinností od 1. 1. 2024;</w:t>
      </w:r>
    </w:p>
    <w:p w14:paraId="28DA7766" w14:textId="77777777" w:rsidR="0089581C" w:rsidRPr="0089581C" w:rsidRDefault="0089581C" w:rsidP="0089581C">
      <w:pPr>
        <w:pStyle w:val="obyctext"/>
        <w:numPr>
          <w:ilvl w:val="0"/>
          <w:numId w:val="18"/>
        </w:numPr>
        <w:tabs>
          <w:tab w:val="left" w:pos="426"/>
        </w:tabs>
        <w:spacing w:after="0"/>
        <w:ind w:left="425" w:hanging="425"/>
        <w:rPr>
          <w:b/>
        </w:rPr>
      </w:pPr>
      <w:r w:rsidRPr="0089581C">
        <w:t>navýšení prostředků ve výši 15 197 tis. Kč přesunem z OBV DESÚ;</w:t>
      </w:r>
    </w:p>
    <w:p w14:paraId="60234F95" w14:textId="77777777" w:rsidR="0089581C" w:rsidRPr="0089581C" w:rsidRDefault="0089581C" w:rsidP="0089581C">
      <w:pPr>
        <w:pStyle w:val="obyctext"/>
        <w:numPr>
          <w:ilvl w:val="0"/>
          <w:numId w:val="18"/>
        </w:numPr>
        <w:tabs>
          <w:tab w:val="left" w:pos="426"/>
        </w:tabs>
        <w:spacing w:after="0"/>
        <w:ind w:left="425" w:hanging="425"/>
        <w:rPr>
          <w:b/>
        </w:rPr>
      </w:pPr>
      <w:r w:rsidRPr="0089581C">
        <w:t>navýšení prostředků na platy ve výši 2 449 tis. Kč přesunem z ÚO MD;</w:t>
      </w:r>
    </w:p>
    <w:p w14:paraId="45B0E491" w14:textId="77777777" w:rsidR="0089581C" w:rsidRPr="0089581C" w:rsidRDefault="0089581C" w:rsidP="0089581C">
      <w:pPr>
        <w:pStyle w:val="obyctext"/>
        <w:numPr>
          <w:ilvl w:val="0"/>
          <w:numId w:val="18"/>
        </w:numPr>
        <w:tabs>
          <w:tab w:val="left" w:pos="426"/>
        </w:tabs>
        <w:spacing w:after="0"/>
        <w:ind w:left="425" w:hanging="425"/>
        <w:rPr>
          <w:b/>
        </w:rPr>
      </w:pPr>
      <w:r w:rsidRPr="0089581C">
        <w:t xml:space="preserve">navýšení prostředků na platy ve výši 3 354 tis. Kč z důvodu delimitace z kapitoly </w:t>
      </w:r>
      <w:r w:rsidRPr="0089581C">
        <w:br/>
        <w:t>335-MZdr;</w:t>
      </w:r>
    </w:p>
    <w:p w14:paraId="3F9B7CB5" w14:textId="55C321DD" w:rsidR="0089581C" w:rsidRPr="0089581C" w:rsidRDefault="0089581C" w:rsidP="0089581C">
      <w:pPr>
        <w:pStyle w:val="obyctext"/>
        <w:numPr>
          <w:ilvl w:val="0"/>
          <w:numId w:val="18"/>
        </w:numPr>
        <w:tabs>
          <w:tab w:val="left" w:pos="426"/>
        </w:tabs>
        <w:spacing w:after="0"/>
        <w:ind w:left="425" w:hanging="425"/>
      </w:pPr>
      <w:r w:rsidRPr="0089581C">
        <w:t>navýšení objemu prostředků na platy o 5 %, tj. ve výši 3 471 tis. Kč.</w:t>
      </w:r>
    </w:p>
    <w:p w14:paraId="1DBFDA5D" w14:textId="227FDA67" w:rsidR="002906D0" w:rsidRPr="0089581C" w:rsidRDefault="0089581C" w:rsidP="00682985">
      <w:pPr>
        <w:pStyle w:val="Styl1"/>
      </w:pPr>
      <w:r w:rsidRPr="0089581C">
        <w:t>Prostředky na platy (72 881 tis. Kč) a ostatní platby za provedenou práci (300 tis. Kč) u DESÚ jsou stanovené pro rok 2025 v celkové výši 73 181 tis. Kč. Ve srovnání s rokem 2024 dochází ke zvýšení o 31 185 tis. Kč, tj. o 74,26 %.</w:t>
      </w:r>
    </w:p>
    <w:p w14:paraId="6428E811" w14:textId="77777777" w:rsidR="002906D0" w:rsidRPr="00083426" w:rsidRDefault="002906D0" w:rsidP="002906D0">
      <w:pPr>
        <w:pStyle w:val="Nadpis8"/>
      </w:pPr>
      <w:r w:rsidRPr="00083426">
        <w:lastRenderedPageBreak/>
        <w:t>ŘVC ČR</w:t>
      </w:r>
    </w:p>
    <w:p w14:paraId="105BBC8E" w14:textId="227AFDA9" w:rsidR="002906D0" w:rsidRPr="00083426" w:rsidRDefault="00083426" w:rsidP="002906D0">
      <w:pPr>
        <w:pStyle w:val="obyctext"/>
        <w:numPr>
          <w:ilvl w:val="0"/>
          <w:numId w:val="18"/>
        </w:numPr>
        <w:tabs>
          <w:tab w:val="left" w:pos="426"/>
        </w:tabs>
        <w:spacing w:after="0"/>
        <w:ind w:left="425" w:hanging="425"/>
        <w:rPr>
          <w:b/>
        </w:rPr>
      </w:pPr>
      <w:bookmarkStart w:id="159" w:name="_Hlk178241314"/>
      <w:r w:rsidRPr="00083426">
        <w:t>navýšení objemu prostředků na platy o 5 %, tj. ve výši 352 tis. Kč</w:t>
      </w:r>
      <w:bookmarkEnd w:id="159"/>
      <w:r w:rsidR="002906D0" w:rsidRPr="00083426">
        <w:t>.</w:t>
      </w:r>
    </w:p>
    <w:p w14:paraId="2A5D480A" w14:textId="5908529C" w:rsidR="002906D0" w:rsidRPr="00083426" w:rsidRDefault="00083426" w:rsidP="00682985">
      <w:pPr>
        <w:pStyle w:val="Styl1"/>
        <w:rPr>
          <w:u w:val="single"/>
        </w:rPr>
      </w:pPr>
      <w:r w:rsidRPr="00083426">
        <w:t>Prostředky na platy (7 390 tis. Kč) a ostatní platby za provedenou práci (30 tis. Kč) u ŘVC ČR jsou stanovené pro rok 2024 v celkové výši 7 420 tis. Kč. Ve srovnání s rokem 2024 dochází ke zvýšení o 352 tis. Kč, tj. o 4,98 %</w:t>
      </w:r>
      <w:r w:rsidR="002906D0" w:rsidRPr="00083426">
        <w:t>.</w:t>
      </w:r>
    </w:p>
    <w:p w14:paraId="57A160CD" w14:textId="77777777" w:rsidR="002906D0" w:rsidRPr="00083426" w:rsidRDefault="002906D0" w:rsidP="002906D0">
      <w:pPr>
        <w:pStyle w:val="Nadpis8"/>
      </w:pPr>
      <w:r w:rsidRPr="00083426">
        <w:t>CSPSD</w:t>
      </w:r>
    </w:p>
    <w:p w14:paraId="650B8903" w14:textId="0CD259B6" w:rsidR="002906D0" w:rsidRPr="00083426" w:rsidRDefault="00083426" w:rsidP="002906D0">
      <w:pPr>
        <w:pStyle w:val="obyctext"/>
        <w:numPr>
          <w:ilvl w:val="0"/>
          <w:numId w:val="18"/>
        </w:numPr>
        <w:tabs>
          <w:tab w:val="left" w:pos="426"/>
        </w:tabs>
        <w:spacing w:after="0"/>
        <w:ind w:left="425" w:hanging="425"/>
        <w:rPr>
          <w:b/>
        </w:rPr>
      </w:pPr>
      <w:r w:rsidRPr="00083426">
        <w:t>navýšení objemu prostředků na platy o 5 %, tj. ve výši 1 623 tis. Kč.</w:t>
      </w:r>
    </w:p>
    <w:p w14:paraId="7E3DB28E" w14:textId="2037429B" w:rsidR="002906D0" w:rsidRPr="00083426" w:rsidRDefault="00083426" w:rsidP="00682985">
      <w:pPr>
        <w:pStyle w:val="Styl1"/>
      </w:pPr>
      <w:r w:rsidRPr="00083426">
        <w:t xml:space="preserve">Prostředky na platy (34 093 tis. Kč) a ostatní osobní náklady (1 433 tis. Kč) u CSPSD jsou stanovené pro rok 2025 v celkové výši 35 526 tis. Kč. Ve srovnání s rokem 2024 dochází ke zvýšení o 1 623 tis. Kč, tj. o 4,79 %. </w:t>
      </w:r>
    </w:p>
    <w:p w14:paraId="1FF7E49A" w14:textId="77777777" w:rsidR="002906D0" w:rsidRPr="00083426" w:rsidRDefault="002906D0" w:rsidP="002906D0">
      <w:pPr>
        <w:pStyle w:val="Nadpis9"/>
      </w:pPr>
      <w:r w:rsidRPr="00083426">
        <w:t>B) Počty zaměstnanců</w:t>
      </w:r>
    </w:p>
    <w:p w14:paraId="0409BAE5" w14:textId="0E727022" w:rsidR="00F6076B" w:rsidRPr="00083426" w:rsidRDefault="00083426" w:rsidP="002906D0">
      <w:pPr>
        <w:pStyle w:val="Styl1"/>
      </w:pPr>
      <w:r w:rsidRPr="00083426">
        <w:t xml:space="preserve">Počet zaměstnanců pro rok 2025 ve výši 1 062 je oproti roku 2024 navýšen o 38, </w:t>
      </w:r>
      <w:r w:rsidRPr="00083426">
        <w:br/>
        <w:t>tj. o 3,71 %, kdy počet zaměstnanců byl schválen ve výši 1 024. Navýšení bylo způsobeno zejména u nové organizace DESÚ, která má pro rok 2025 stanoven počet zaměstnanců ve výši 108</w:t>
      </w:r>
      <w:r w:rsidR="002906D0" w:rsidRPr="00083426">
        <w:t xml:space="preserve">. </w:t>
      </w:r>
    </w:p>
    <w:p w14:paraId="04539998" w14:textId="49AFAD3C" w:rsidR="002906D0" w:rsidRPr="00083426" w:rsidRDefault="002906D0" w:rsidP="002906D0">
      <w:pPr>
        <w:pStyle w:val="Titulek"/>
      </w:pPr>
      <w:r w:rsidRPr="00083426">
        <w:t xml:space="preserve">Tabulka č. </w:t>
      </w:r>
      <w:r w:rsidRPr="00083426">
        <w:rPr>
          <w:noProof/>
        </w:rPr>
        <w:fldChar w:fldCharType="begin"/>
      </w:r>
      <w:r w:rsidRPr="00083426">
        <w:rPr>
          <w:noProof/>
        </w:rPr>
        <w:instrText xml:space="preserve"> SEQ Tabulka \* ARABIC </w:instrText>
      </w:r>
      <w:r w:rsidRPr="00083426">
        <w:rPr>
          <w:noProof/>
        </w:rPr>
        <w:fldChar w:fldCharType="separate"/>
      </w:r>
      <w:r w:rsidR="003B0B01" w:rsidRPr="00083426">
        <w:rPr>
          <w:noProof/>
        </w:rPr>
        <w:t>10</w:t>
      </w:r>
      <w:r w:rsidRPr="00083426">
        <w:rPr>
          <w:noProof/>
        </w:rPr>
        <w:fldChar w:fldCharType="end"/>
      </w:r>
      <w:r w:rsidRPr="00083426">
        <w:t xml:space="preserve"> Přehled počtu zaměstnanců </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083426" w:rsidRPr="00083426" w14:paraId="20EA0A2A" w14:textId="77777777" w:rsidTr="001E02BC">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6380AC1" w14:textId="77777777"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0139DE" w14:textId="77777777"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Skutečnost</w:t>
            </w:r>
          </w:p>
          <w:p w14:paraId="6D15FCD8" w14:textId="17A670F4"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202</w:t>
            </w:r>
            <w:r w:rsidR="00083426" w:rsidRPr="00083426">
              <w:rPr>
                <w:rFonts w:eastAsia="Times New Roman" w:cs="Times New Roman"/>
                <w:b/>
                <w:lang w:eastAsia="cs-CZ"/>
              </w:rPr>
              <w:t>3</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91ECC4" w14:textId="77777777"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Schválený</w:t>
            </w:r>
          </w:p>
          <w:p w14:paraId="1C35169D" w14:textId="77777777"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rozpočet</w:t>
            </w:r>
          </w:p>
          <w:p w14:paraId="3BB13ECE" w14:textId="4DC91BF1"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202</w:t>
            </w:r>
            <w:r w:rsidR="00083426" w:rsidRPr="00083426">
              <w:rPr>
                <w:rFonts w:eastAsia="Times New Roman" w:cs="Times New Roman"/>
                <w:b/>
                <w:lang w:eastAsia="cs-CZ"/>
              </w:rPr>
              <w:t>4</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9C34067" w14:textId="77777777"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Návrh</w:t>
            </w:r>
          </w:p>
          <w:p w14:paraId="728A618B" w14:textId="77777777"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rozpočtu</w:t>
            </w:r>
          </w:p>
          <w:p w14:paraId="41CCFF31" w14:textId="720894A0"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202</w:t>
            </w:r>
            <w:r w:rsidR="00083426" w:rsidRPr="00083426">
              <w:rPr>
                <w:rFonts w:eastAsia="Times New Roman" w:cs="Times New Roman"/>
                <w:b/>
                <w:lang w:eastAsia="cs-CZ"/>
              </w:rPr>
              <w:t>5</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066D1A4" w14:textId="77777777"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Index</w:t>
            </w:r>
          </w:p>
          <w:p w14:paraId="33856E6D" w14:textId="0A3BC909" w:rsidR="002906D0" w:rsidRPr="00083426" w:rsidRDefault="002906D0" w:rsidP="001E02BC">
            <w:pPr>
              <w:jc w:val="center"/>
              <w:rPr>
                <w:rFonts w:eastAsia="Times New Roman" w:cs="Times New Roman"/>
                <w:b/>
                <w:lang w:eastAsia="cs-CZ"/>
              </w:rPr>
            </w:pPr>
            <w:r w:rsidRPr="00083426">
              <w:rPr>
                <w:rFonts w:eastAsia="Times New Roman" w:cs="Times New Roman"/>
                <w:b/>
                <w:lang w:eastAsia="cs-CZ"/>
              </w:rPr>
              <w:t>202</w:t>
            </w:r>
            <w:r w:rsidR="00083426" w:rsidRPr="00083426">
              <w:rPr>
                <w:rFonts w:eastAsia="Times New Roman" w:cs="Times New Roman"/>
                <w:b/>
                <w:lang w:eastAsia="cs-CZ"/>
              </w:rPr>
              <w:t>5</w:t>
            </w:r>
            <w:r w:rsidRPr="00083426">
              <w:rPr>
                <w:rFonts w:eastAsia="Times New Roman" w:cs="Times New Roman"/>
                <w:b/>
                <w:lang w:eastAsia="cs-CZ"/>
              </w:rPr>
              <w:t>/ 202</w:t>
            </w:r>
            <w:r w:rsidR="00083426" w:rsidRPr="00083426">
              <w:rPr>
                <w:rFonts w:eastAsia="Times New Roman" w:cs="Times New Roman"/>
                <w:b/>
                <w:lang w:eastAsia="cs-CZ"/>
              </w:rPr>
              <w:t>4</w:t>
            </w:r>
            <w:r w:rsidRPr="00083426">
              <w:rPr>
                <w:rFonts w:eastAsia="Times New Roman" w:cs="Times New Roman"/>
                <w:b/>
                <w:lang w:eastAsia="cs-CZ"/>
              </w:rPr>
              <w:t xml:space="preserve"> (v %)</w:t>
            </w:r>
          </w:p>
        </w:tc>
      </w:tr>
      <w:tr w:rsidR="00083426" w:rsidRPr="00083426" w14:paraId="52CA77F6" w14:textId="77777777" w:rsidTr="001E02BC">
        <w:trPr>
          <w:trHeight w:val="248"/>
        </w:trPr>
        <w:tc>
          <w:tcPr>
            <w:tcW w:w="2377" w:type="pct"/>
            <w:tcBorders>
              <w:top w:val="single" w:sz="4" w:space="0" w:color="7F7F7F" w:themeColor="text1" w:themeTint="80"/>
              <w:bottom w:val="single" w:sz="8" w:space="0" w:color="7F7F7F" w:themeColor="text1" w:themeTint="80"/>
            </w:tcBorders>
            <w:shd w:val="clear" w:color="auto" w:fill="auto"/>
          </w:tcPr>
          <w:p w14:paraId="4D94BA6F" w14:textId="77777777" w:rsidR="002906D0" w:rsidRPr="00083426" w:rsidRDefault="002906D0" w:rsidP="001E02BC">
            <w:pPr>
              <w:jc w:val="center"/>
              <w:rPr>
                <w:rFonts w:eastAsia="Times New Roman" w:cs="Times New Roman"/>
                <w:szCs w:val="24"/>
                <w:lang w:eastAsia="cs-CZ"/>
              </w:rPr>
            </w:pPr>
            <w:r w:rsidRPr="00083426">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14:paraId="5DC1119C" w14:textId="77777777" w:rsidR="002906D0" w:rsidRPr="00083426" w:rsidRDefault="002906D0" w:rsidP="001E02BC">
            <w:pPr>
              <w:jc w:val="center"/>
              <w:rPr>
                <w:rFonts w:eastAsia="Times New Roman" w:cs="Times New Roman"/>
                <w:szCs w:val="24"/>
                <w:lang w:eastAsia="cs-CZ"/>
              </w:rPr>
            </w:pPr>
            <w:r w:rsidRPr="00083426">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14:paraId="52CD6CFB" w14:textId="77777777" w:rsidR="002906D0" w:rsidRPr="00083426" w:rsidRDefault="002906D0" w:rsidP="001E02BC">
            <w:pPr>
              <w:jc w:val="center"/>
              <w:rPr>
                <w:rFonts w:eastAsia="Times New Roman" w:cs="Times New Roman"/>
                <w:szCs w:val="24"/>
                <w:lang w:eastAsia="cs-CZ"/>
              </w:rPr>
            </w:pPr>
            <w:r w:rsidRPr="00083426">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14:paraId="2DDAB4D3" w14:textId="77777777" w:rsidR="002906D0" w:rsidRPr="00083426" w:rsidRDefault="002906D0" w:rsidP="001E02BC">
            <w:pPr>
              <w:jc w:val="center"/>
              <w:rPr>
                <w:rFonts w:eastAsia="Times New Roman" w:cs="Times New Roman"/>
                <w:szCs w:val="24"/>
                <w:lang w:eastAsia="cs-CZ"/>
              </w:rPr>
            </w:pPr>
            <w:r w:rsidRPr="00083426">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14:paraId="3A57BBC0" w14:textId="77777777" w:rsidR="002906D0" w:rsidRPr="00083426" w:rsidRDefault="002906D0" w:rsidP="001E02BC">
            <w:pPr>
              <w:jc w:val="center"/>
              <w:rPr>
                <w:rFonts w:eastAsia="Times New Roman" w:cs="Times New Roman"/>
                <w:szCs w:val="24"/>
                <w:lang w:eastAsia="cs-CZ"/>
              </w:rPr>
            </w:pPr>
            <w:r w:rsidRPr="00083426">
              <w:rPr>
                <w:rFonts w:eastAsia="Times New Roman" w:cs="Times New Roman"/>
                <w:szCs w:val="24"/>
                <w:lang w:eastAsia="cs-CZ"/>
              </w:rPr>
              <w:t>4</w:t>
            </w:r>
          </w:p>
        </w:tc>
      </w:tr>
      <w:tr w:rsidR="00083426" w:rsidRPr="00083426" w14:paraId="0B6DF659" w14:textId="77777777" w:rsidTr="001E02BC">
        <w:trPr>
          <w:trHeight w:val="486"/>
        </w:trPr>
        <w:tc>
          <w:tcPr>
            <w:tcW w:w="2377" w:type="pct"/>
            <w:tcBorders>
              <w:top w:val="single" w:sz="8" w:space="0" w:color="7F7F7F" w:themeColor="text1" w:themeTint="80"/>
              <w:bottom w:val="single" w:sz="8" w:space="0" w:color="7F7F7F" w:themeColor="text1" w:themeTint="80"/>
            </w:tcBorders>
            <w:shd w:val="clear" w:color="auto" w:fill="auto"/>
          </w:tcPr>
          <w:p w14:paraId="3C68EF96" w14:textId="77777777" w:rsidR="00083426" w:rsidRPr="00083426" w:rsidRDefault="00083426" w:rsidP="00083426">
            <w:pPr>
              <w:spacing w:before="54"/>
              <w:rPr>
                <w:rFonts w:eastAsia="Times New Roman" w:cs="Times New Roman"/>
                <w:b/>
                <w:lang w:eastAsia="cs-CZ"/>
              </w:rPr>
            </w:pPr>
            <w:r w:rsidRPr="00083426">
              <w:rPr>
                <w:rFonts w:eastAsia="Times New Roman" w:cs="Times New Roman"/>
                <w:b/>
                <w:iCs/>
                <w:lang w:eastAsia="cs-CZ"/>
              </w:rPr>
              <w:t xml:space="preserve">Počet zaměstnanců </w:t>
            </w:r>
            <w:r w:rsidRPr="00083426">
              <w:rPr>
                <w:rFonts w:eastAsia="Times New Roman" w:cs="Times New Roman"/>
                <w:lang w:eastAsia="cs-CZ"/>
              </w:rPr>
              <w:t>v tom:</w:t>
            </w:r>
            <w:r w:rsidRPr="00083426">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14:paraId="20BC1174" w14:textId="53103D01" w:rsidR="00083426" w:rsidRPr="00083426" w:rsidRDefault="00083426" w:rsidP="00083426">
            <w:pPr>
              <w:jc w:val="right"/>
              <w:rPr>
                <w:rFonts w:eastAsia="Times New Roman" w:cs="Times New Roman"/>
                <w:b/>
                <w:bCs/>
                <w:lang w:eastAsia="cs-CZ"/>
              </w:rPr>
            </w:pPr>
            <w:r w:rsidRPr="00083426">
              <w:rPr>
                <w:b/>
                <w:bCs/>
              </w:rPr>
              <w:t>896</w:t>
            </w:r>
          </w:p>
        </w:tc>
        <w:tc>
          <w:tcPr>
            <w:tcW w:w="703" w:type="pct"/>
            <w:tcBorders>
              <w:top w:val="single" w:sz="8" w:space="0" w:color="7F7F7F" w:themeColor="text1" w:themeTint="80"/>
              <w:bottom w:val="single" w:sz="8" w:space="0" w:color="7F7F7F" w:themeColor="text1" w:themeTint="80"/>
            </w:tcBorders>
            <w:shd w:val="clear" w:color="auto" w:fill="auto"/>
            <w:vAlign w:val="center"/>
          </w:tcPr>
          <w:p w14:paraId="69F65F50" w14:textId="1420A6DE" w:rsidR="00083426" w:rsidRPr="00083426" w:rsidRDefault="00083426" w:rsidP="00083426">
            <w:pPr>
              <w:jc w:val="right"/>
              <w:rPr>
                <w:rFonts w:eastAsia="Times New Roman" w:cs="Times New Roman"/>
                <w:b/>
                <w:bCs/>
                <w:lang w:eastAsia="cs-CZ"/>
              </w:rPr>
            </w:pPr>
            <w:r w:rsidRPr="00083426">
              <w:rPr>
                <w:b/>
                <w:bCs/>
              </w:rPr>
              <w:t>1 024</w:t>
            </w:r>
          </w:p>
        </w:tc>
        <w:tc>
          <w:tcPr>
            <w:tcW w:w="625" w:type="pct"/>
            <w:tcBorders>
              <w:top w:val="single" w:sz="8" w:space="0" w:color="7F7F7F" w:themeColor="text1" w:themeTint="80"/>
              <w:bottom w:val="single" w:sz="8" w:space="0" w:color="7F7F7F" w:themeColor="text1" w:themeTint="80"/>
            </w:tcBorders>
            <w:shd w:val="clear" w:color="auto" w:fill="auto"/>
            <w:vAlign w:val="center"/>
          </w:tcPr>
          <w:p w14:paraId="2BB3678A" w14:textId="1206D14E" w:rsidR="00083426" w:rsidRPr="00083426" w:rsidRDefault="00083426" w:rsidP="00083426">
            <w:pPr>
              <w:jc w:val="right"/>
              <w:rPr>
                <w:rFonts w:eastAsia="Times New Roman" w:cs="Times New Roman"/>
                <w:b/>
                <w:bCs/>
                <w:lang w:eastAsia="cs-CZ"/>
              </w:rPr>
            </w:pPr>
            <w:r w:rsidRPr="00083426">
              <w:rPr>
                <w:b/>
                <w:bCs/>
              </w:rPr>
              <w:t>1 062</w:t>
            </w:r>
          </w:p>
        </w:tc>
        <w:tc>
          <w:tcPr>
            <w:tcW w:w="513" w:type="pct"/>
            <w:tcBorders>
              <w:top w:val="single" w:sz="8" w:space="0" w:color="7F7F7F" w:themeColor="text1" w:themeTint="80"/>
              <w:bottom w:val="single" w:sz="8" w:space="0" w:color="7F7F7F" w:themeColor="text1" w:themeTint="80"/>
            </w:tcBorders>
            <w:shd w:val="clear" w:color="auto" w:fill="auto"/>
          </w:tcPr>
          <w:p w14:paraId="1C97ED0E" w14:textId="32A892FB" w:rsidR="00083426" w:rsidRPr="00083426" w:rsidRDefault="00083426" w:rsidP="00083426">
            <w:pPr>
              <w:spacing w:before="120"/>
              <w:jc w:val="right"/>
              <w:rPr>
                <w:rFonts w:eastAsia="Times New Roman" w:cs="Times New Roman"/>
                <w:b/>
                <w:bCs/>
                <w:lang w:eastAsia="cs-CZ"/>
              </w:rPr>
            </w:pPr>
            <w:r w:rsidRPr="00083426">
              <w:rPr>
                <w:b/>
                <w:bCs/>
              </w:rPr>
              <w:t>103,71</w:t>
            </w:r>
          </w:p>
        </w:tc>
      </w:tr>
      <w:tr w:rsidR="00083426" w:rsidRPr="00083426" w14:paraId="4A0B960E"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14907A05" w14:textId="77777777" w:rsidR="00083426" w:rsidRPr="00083426" w:rsidRDefault="00083426" w:rsidP="00083426">
            <w:pPr>
              <w:spacing w:before="60"/>
              <w:rPr>
                <w:rFonts w:eastAsia="Times New Roman" w:cs="Times New Roman"/>
                <w:b/>
                <w:iCs/>
                <w:lang w:eastAsia="cs-CZ"/>
              </w:rPr>
            </w:pPr>
            <w:r w:rsidRPr="00083426">
              <w:rPr>
                <w:rFonts w:eastAsia="Times New Roman" w:cs="Times New Roman"/>
                <w:lang w:eastAsia="cs-CZ"/>
              </w:rPr>
              <w:t xml:space="preserve">Ústřední orgán MD </w:t>
            </w:r>
          </w:p>
        </w:tc>
        <w:tc>
          <w:tcPr>
            <w:tcW w:w="782" w:type="pct"/>
            <w:tcBorders>
              <w:top w:val="single" w:sz="8" w:space="0" w:color="7F7F7F" w:themeColor="text1" w:themeTint="80"/>
            </w:tcBorders>
            <w:shd w:val="clear" w:color="auto" w:fill="auto"/>
            <w:vAlign w:val="center"/>
          </w:tcPr>
          <w:p w14:paraId="05A5C273" w14:textId="233CE8D4" w:rsidR="00083426" w:rsidRPr="00083426" w:rsidRDefault="00083426" w:rsidP="00083426">
            <w:pPr>
              <w:jc w:val="right"/>
              <w:rPr>
                <w:rFonts w:eastAsia="Times New Roman" w:cs="Times New Roman"/>
                <w:bCs/>
                <w:lang w:eastAsia="cs-CZ"/>
              </w:rPr>
            </w:pPr>
            <w:r w:rsidRPr="00083426">
              <w:t>422</w:t>
            </w:r>
          </w:p>
        </w:tc>
        <w:tc>
          <w:tcPr>
            <w:tcW w:w="703" w:type="pct"/>
            <w:tcBorders>
              <w:top w:val="single" w:sz="8" w:space="0" w:color="7F7F7F" w:themeColor="text1" w:themeTint="80"/>
            </w:tcBorders>
            <w:shd w:val="clear" w:color="auto" w:fill="auto"/>
            <w:vAlign w:val="center"/>
          </w:tcPr>
          <w:p w14:paraId="432164D5" w14:textId="4E2E9393" w:rsidR="00083426" w:rsidRPr="00083426" w:rsidRDefault="00083426" w:rsidP="00083426">
            <w:pPr>
              <w:spacing w:before="81"/>
              <w:jc w:val="right"/>
              <w:rPr>
                <w:rFonts w:eastAsia="Times New Roman" w:cs="Times New Roman"/>
                <w:lang w:eastAsia="cs-CZ"/>
              </w:rPr>
            </w:pPr>
            <w:r w:rsidRPr="00083426">
              <w:t>464</w:t>
            </w:r>
          </w:p>
        </w:tc>
        <w:tc>
          <w:tcPr>
            <w:tcW w:w="625" w:type="pct"/>
            <w:tcBorders>
              <w:top w:val="single" w:sz="8" w:space="0" w:color="7F7F7F" w:themeColor="text1" w:themeTint="80"/>
            </w:tcBorders>
            <w:shd w:val="clear" w:color="auto" w:fill="auto"/>
            <w:vAlign w:val="center"/>
          </w:tcPr>
          <w:p w14:paraId="73261BEA" w14:textId="16CFFDBB" w:rsidR="00083426" w:rsidRPr="00083426" w:rsidRDefault="00083426" w:rsidP="00083426">
            <w:pPr>
              <w:spacing w:before="81"/>
              <w:jc w:val="right"/>
              <w:rPr>
                <w:rFonts w:eastAsia="Times New Roman" w:cs="Times New Roman"/>
                <w:lang w:eastAsia="cs-CZ"/>
              </w:rPr>
            </w:pPr>
            <w:r w:rsidRPr="00083426">
              <w:t>459</w:t>
            </w:r>
          </w:p>
        </w:tc>
        <w:tc>
          <w:tcPr>
            <w:tcW w:w="513" w:type="pct"/>
            <w:tcBorders>
              <w:top w:val="single" w:sz="8" w:space="0" w:color="7F7F7F" w:themeColor="text1" w:themeTint="80"/>
            </w:tcBorders>
            <w:shd w:val="clear" w:color="auto" w:fill="auto"/>
            <w:vAlign w:val="center"/>
          </w:tcPr>
          <w:p w14:paraId="1809C65D" w14:textId="4200BEF3" w:rsidR="00083426" w:rsidRPr="00083426" w:rsidRDefault="00083426" w:rsidP="00083426">
            <w:pPr>
              <w:spacing w:before="81"/>
              <w:jc w:val="right"/>
              <w:rPr>
                <w:rFonts w:eastAsia="Times New Roman" w:cs="Times New Roman"/>
                <w:lang w:eastAsia="cs-CZ"/>
              </w:rPr>
            </w:pPr>
            <w:r w:rsidRPr="00083426">
              <w:t>98,92</w:t>
            </w:r>
          </w:p>
        </w:tc>
      </w:tr>
      <w:tr w:rsidR="00083426" w:rsidRPr="00083426" w14:paraId="6DF9C8C0"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98880BC" w14:textId="213EC96F"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Úřad pro civilní letectví</w:t>
            </w:r>
          </w:p>
        </w:tc>
        <w:tc>
          <w:tcPr>
            <w:tcW w:w="782" w:type="pct"/>
            <w:tcBorders>
              <w:top w:val="single" w:sz="8" w:space="0" w:color="7F7F7F" w:themeColor="text1" w:themeTint="80"/>
            </w:tcBorders>
            <w:shd w:val="clear" w:color="auto" w:fill="auto"/>
            <w:vAlign w:val="center"/>
          </w:tcPr>
          <w:p w14:paraId="44BF8A7B" w14:textId="6D296FB9" w:rsidR="00083426" w:rsidRPr="00083426" w:rsidRDefault="00083426" w:rsidP="00083426">
            <w:pPr>
              <w:jc w:val="right"/>
              <w:rPr>
                <w:rFonts w:eastAsia="Times New Roman" w:cs="Times New Roman"/>
                <w:bCs/>
                <w:lang w:eastAsia="cs-CZ"/>
              </w:rPr>
            </w:pPr>
            <w:r w:rsidRPr="00083426">
              <w:t>146</w:t>
            </w:r>
          </w:p>
        </w:tc>
        <w:tc>
          <w:tcPr>
            <w:tcW w:w="703" w:type="pct"/>
            <w:tcBorders>
              <w:top w:val="single" w:sz="8" w:space="0" w:color="7F7F7F" w:themeColor="text1" w:themeTint="80"/>
            </w:tcBorders>
            <w:shd w:val="clear" w:color="auto" w:fill="auto"/>
            <w:vAlign w:val="center"/>
          </w:tcPr>
          <w:p w14:paraId="033076E4" w14:textId="1FB102B9" w:rsidR="00083426" w:rsidRPr="00083426" w:rsidRDefault="00083426" w:rsidP="00083426">
            <w:pPr>
              <w:spacing w:before="81"/>
              <w:jc w:val="right"/>
              <w:rPr>
                <w:rFonts w:eastAsia="Times New Roman" w:cs="Times New Roman"/>
                <w:lang w:eastAsia="cs-CZ"/>
              </w:rPr>
            </w:pPr>
            <w:r w:rsidRPr="00083426">
              <w:t>162</w:t>
            </w:r>
          </w:p>
        </w:tc>
        <w:tc>
          <w:tcPr>
            <w:tcW w:w="625" w:type="pct"/>
            <w:tcBorders>
              <w:top w:val="single" w:sz="8" w:space="0" w:color="7F7F7F" w:themeColor="text1" w:themeTint="80"/>
            </w:tcBorders>
            <w:shd w:val="clear" w:color="auto" w:fill="auto"/>
            <w:vAlign w:val="center"/>
          </w:tcPr>
          <w:p w14:paraId="754DB303" w14:textId="0BE4C49D" w:rsidR="00083426" w:rsidRPr="00083426" w:rsidRDefault="00083426" w:rsidP="00083426">
            <w:pPr>
              <w:spacing w:before="81"/>
              <w:jc w:val="right"/>
              <w:rPr>
                <w:rFonts w:eastAsia="Times New Roman" w:cs="Times New Roman"/>
                <w:lang w:eastAsia="cs-CZ"/>
              </w:rPr>
            </w:pPr>
            <w:r w:rsidRPr="00083426">
              <w:t>162</w:t>
            </w:r>
          </w:p>
        </w:tc>
        <w:tc>
          <w:tcPr>
            <w:tcW w:w="513" w:type="pct"/>
            <w:tcBorders>
              <w:top w:val="single" w:sz="8" w:space="0" w:color="7F7F7F" w:themeColor="text1" w:themeTint="80"/>
            </w:tcBorders>
            <w:shd w:val="clear" w:color="auto" w:fill="auto"/>
            <w:vAlign w:val="center"/>
          </w:tcPr>
          <w:p w14:paraId="40D95E0C" w14:textId="50C1378B" w:rsidR="00083426" w:rsidRPr="00083426" w:rsidRDefault="00083426" w:rsidP="00083426">
            <w:pPr>
              <w:spacing w:before="81"/>
              <w:jc w:val="right"/>
              <w:rPr>
                <w:rFonts w:eastAsia="Times New Roman" w:cs="Times New Roman"/>
                <w:lang w:eastAsia="cs-CZ"/>
              </w:rPr>
            </w:pPr>
            <w:r w:rsidRPr="00083426">
              <w:t>100,00</w:t>
            </w:r>
          </w:p>
        </w:tc>
      </w:tr>
      <w:tr w:rsidR="00083426" w:rsidRPr="00083426" w14:paraId="7BE5E21E"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22975826" w14:textId="77777777"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Statní plavební správa</w:t>
            </w:r>
          </w:p>
        </w:tc>
        <w:tc>
          <w:tcPr>
            <w:tcW w:w="782" w:type="pct"/>
            <w:tcBorders>
              <w:top w:val="single" w:sz="8" w:space="0" w:color="7F7F7F" w:themeColor="text1" w:themeTint="80"/>
            </w:tcBorders>
            <w:shd w:val="clear" w:color="auto" w:fill="auto"/>
            <w:vAlign w:val="center"/>
          </w:tcPr>
          <w:p w14:paraId="231D80F3" w14:textId="0E08A7F1" w:rsidR="00083426" w:rsidRPr="00083426" w:rsidRDefault="00083426" w:rsidP="00083426">
            <w:pPr>
              <w:jc w:val="right"/>
              <w:rPr>
                <w:rFonts w:eastAsia="Times New Roman" w:cs="Times New Roman"/>
                <w:bCs/>
                <w:lang w:eastAsia="cs-CZ"/>
              </w:rPr>
            </w:pPr>
            <w:r w:rsidRPr="00083426">
              <w:t>80</w:t>
            </w:r>
          </w:p>
        </w:tc>
        <w:tc>
          <w:tcPr>
            <w:tcW w:w="703" w:type="pct"/>
            <w:tcBorders>
              <w:top w:val="single" w:sz="8" w:space="0" w:color="7F7F7F" w:themeColor="text1" w:themeTint="80"/>
            </w:tcBorders>
            <w:shd w:val="clear" w:color="auto" w:fill="auto"/>
            <w:vAlign w:val="center"/>
          </w:tcPr>
          <w:p w14:paraId="3DE8A745" w14:textId="3C394677" w:rsidR="00083426" w:rsidRPr="00083426" w:rsidRDefault="00083426" w:rsidP="00083426">
            <w:pPr>
              <w:spacing w:before="81"/>
              <w:jc w:val="right"/>
              <w:rPr>
                <w:rFonts w:eastAsia="Times New Roman" w:cs="Times New Roman"/>
                <w:lang w:eastAsia="cs-CZ"/>
              </w:rPr>
            </w:pPr>
            <w:r w:rsidRPr="00083426">
              <w:t>84</w:t>
            </w:r>
          </w:p>
        </w:tc>
        <w:tc>
          <w:tcPr>
            <w:tcW w:w="625" w:type="pct"/>
            <w:tcBorders>
              <w:top w:val="single" w:sz="8" w:space="0" w:color="7F7F7F" w:themeColor="text1" w:themeTint="80"/>
            </w:tcBorders>
            <w:shd w:val="clear" w:color="auto" w:fill="auto"/>
            <w:vAlign w:val="center"/>
          </w:tcPr>
          <w:p w14:paraId="2165D65D" w14:textId="4E1D157D" w:rsidR="00083426" w:rsidRPr="00083426" w:rsidRDefault="00083426" w:rsidP="00083426">
            <w:pPr>
              <w:spacing w:before="81"/>
              <w:jc w:val="right"/>
              <w:rPr>
                <w:rFonts w:eastAsia="Times New Roman" w:cs="Times New Roman"/>
                <w:lang w:eastAsia="cs-CZ"/>
              </w:rPr>
            </w:pPr>
            <w:r w:rsidRPr="00083426">
              <w:t>84</w:t>
            </w:r>
          </w:p>
        </w:tc>
        <w:tc>
          <w:tcPr>
            <w:tcW w:w="513" w:type="pct"/>
            <w:tcBorders>
              <w:top w:val="single" w:sz="8" w:space="0" w:color="7F7F7F" w:themeColor="text1" w:themeTint="80"/>
            </w:tcBorders>
            <w:shd w:val="clear" w:color="auto" w:fill="auto"/>
            <w:vAlign w:val="center"/>
          </w:tcPr>
          <w:p w14:paraId="5ADD6E86" w14:textId="1D408FB8" w:rsidR="00083426" w:rsidRPr="00083426" w:rsidRDefault="00083426" w:rsidP="00083426">
            <w:pPr>
              <w:spacing w:before="81"/>
              <w:jc w:val="right"/>
              <w:rPr>
                <w:rFonts w:eastAsia="Times New Roman" w:cs="Times New Roman"/>
                <w:lang w:eastAsia="cs-CZ"/>
              </w:rPr>
            </w:pPr>
            <w:r w:rsidRPr="00083426">
              <w:t>100,00</w:t>
            </w:r>
          </w:p>
        </w:tc>
      </w:tr>
      <w:tr w:rsidR="00083426" w:rsidRPr="00083426" w14:paraId="6EB51307"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D209821" w14:textId="77777777"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Drážní úřad</w:t>
            </w:r>
          </w:p>
        </w:tc>
        <w:tc>
          <w:tcPr>
            <w:tcW w:w="782" w:type="pct"/>
            <w:tcBorders>
              <w:top w:val="single" w:sz="8" w:space="0" w:color="7F7F7F" w:themeColor="text1" w:themeTint="80"/>
            </w:tcBorders>
            <w:shd w:val="clear" w:color="auto" w:fill="auto"/>
            <w:vAlign w:val="center"/>
          </w:tcPr>
          <w:p w14:paraId="2678EDF3" w14:textId="4710FD10" w:rsidR="00083426" w:rsidRPr="00083426" w:rsidRDefault="00083426" w:rsidP="00083426">
            <w:pPr>
              <w:jc w:val="right"/>
              <w:rPr>
                <w:rFonts w:eastAsia="Times New Roman" w:cs="Times New Roman"/>
                <w:bCs/>
                <w:lang w:eastAsia="cs-CZ"/>
              </w:rPr>
            </w:pPr>
            <w:r w:rsidRPr="00083426">
              <w:t>104</w:t>
            </w:r>
          </w:p>
        </w:tc>
        <w:tc>
          <w:tcPr>
            <w:tcW w:w="703" w:type="pct"/>
            <w:tcBorders>
              <w:top w:val="single" w:sz="8" w:space="0" w:color="7F7F7F" w:themeColor="text1" w:themeTint="80"/>
            </w:tcBorders>
            <w:shd w:val="clear" w:color="auto" w:fill="auto"/>
            <w:vAlign w:val="center"/>
          </w:tcPr>
          <w:p w14:paraId="084D5374" w14:textId="4C71689E" w:rsidR="00083426" w:rsidRPr="00083426" w:rsidRDefault="00083426" w:rsidP="00083426">
            <w:pPr>
              <w:spacing w:before="81"/>
              <w:jc w:val="right"/>
              <w:rPr>
                <w:rFonts w:eastAsia="Times New Roman" w:cs="Times New Roman"/>
                <w:lang w:eastAsia="cs-CZ"/>
              </w:rPr>
            </w:pPr>
            <w:r w:rsidRPr="00083426">
              <w:t>102</w:t>
            </w:r>
          </w:p>
        </w:tc>
        <w:tc>
          <w:tcPr>
            <w:tcW w:w="625" w:type="pct"/>
            <w:tcBorders>
              <w:top w:val="single" w:sz="8" w:space="0" w:color="7F7F7F" w:themeColor="text1" w:themeTint="80"/>
            </w:tcBorders>
            <w:shd w:val="clear" w:color="auto" w:fill="auto"/>
            <w:vAlign w:val="center"/>
          </w:tcPr>
          <w:p w14:paraId="19874A42" w14:textId="397431A0" w:rsidR="00083426" w:rsidRPr="00083426" w:rsidRDefault="00083426" w:rsidP="00083426">
            <w:pPr>
              <w:spacing w:before="81"/>
              <w:jc w:val="right"/>
              <w:rPr>
                <w:rFonts w:eastAsia="Times New Roman" w:cs="Times New Roman"/>
                <w:lang w:eastAsia="cs-CZ"/>
              </w:rPr>
            </w:pPr>
            <w:r w:rsidRPr="00083426">
              <w:t>102</w:t>
            </w:r>
          </w:p>
        </w:tc>
        <w:tc>
          <w:tcPr>
            <w:tcW w:w="513" w:type="pct"/>
            <w:tcBorders>
              <w:top w:val="single" w:sz="8" w:space="0" w:color="7F7F7F" w:themeColor="text1" w:themeTint="80"/>
            </w:tcBorders>
            <w:shd w:val="clear" w:color="auto" w:fill="auto"/>
            <w:vAlign w:val="center"/>
          </w:tcPr>
          <w:p w14:paraId="76387388" w14:textId="63FB2200" w:rsidR="00083426" w:rsidRPr="00083426" w:rsidRDefault="00083426" w:rsidP="00083426">
            <w:pPr>
              <w:spacing w:before="81"/>
              <w:jc w:val="right"/>
              <w:rPr>
                <w:rFonts w:eastAsia="Times New Roman" w:cs="Times New Roman"/>
                <w:lang w:eastAsia="cs-CZ"/>
              </w:rPr>
            </w:pPr>
            <w:r w:rsidRPr="00083426">
              <w:t>100,00</w:t>
            </w:r>
          </w:p>
        </w:tc>
      </w:tr>
      <w:tr w:rsidR="00083426" w:rsidRPr="00083426" w14:paraId="6D3DAD45"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33A7DFAA" w14:textId="77777777"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Drážní inspekce</w:t>
            </w:r>
          </w:p>
        </w:tc>
        <w:tc>
          <w:tcPr>
            <w:tcW w:w="782" w:type="pct"/>
            <w:tcBorders>
              <w:top w:val="single" w:sz="8" w:space="0" w:color="7F7F7F" w:themeColor="text1" w:themeTint="80"/>
            </w:tcBorders>
            <w:shd w:val="clear" w:color="auto" w:fill="auto"/>
            <w:vAlign w:val="center"/>
          </w:tcPr>
          <w:p w14:paraId="4A3C5ACB" w14:textId="225D56D7" w:rsidR="00083426" w:rsidRPr="00083426" w:rsidRDefault="00083426" w:rsidP="00083426">
            <w:pPr>
              <w:jc w:val="right"/>
              <w:rPr>
                <w:rFonts w:eastAsia="Times New Roman" w:cs="Times New Roman"/>
                <w:bCs/>
                <w:lang w:eastAsia="cs-CZ"/>
              </w:rPr>
            </w:pPr>
            <w:r w:rsidRPr="00083426">
              <w:t>35</w:t>
            </w:r>
          </w:p>
        </w:tc>
        <w:tc>
          <w:tcPr>
            <w:tcW w:w="703" w:type="pct"/>
            <w:tcBorders>
              <w:top w:val="single" w:sz="8" w:space="0" w:color="7F7F7F" w:themeColor="text1" w:themeTint="80"/>
            </w:tcBorders>
            <w:shd w:val="clear" w:color="auto" w:fill="auto"/>
            <w:vAlign w:val="center"/>
          </w:tcPr>
          <w:p w14:paraId="0873F604" w14:textId="381391A4" w:rsidR="00083426" w:rsidRPr="00083426" w:rsidRDefault="00083426" w:rsidP="00083426">
            <w:pPr>
              <w:spacing w:before="81"/>
              <w:jc w:val="right"/>
              <w:rPr>
                <w:rFonts w:eastAsia="Times New Roman" w:cs="Times New Roman"/>
                <w:lang w:eastAsia="cs-CZ"/>
              </w:rPr>
            </w:pPr>
            <w:r w:rsidRPr="00083426">
              <w:t>38</w:t>
            </w:r>
          </w:p>
        </w:tc>
        <w:tc>
          <w:tcPr>
            <w:tcW w:w="625" w:type="pct"/>
            <w:tcBorders>
              <w:top w:val="single" w:sz="8" w:space="0" w:color="7F7F7F" w:themeColor="text1" w:themeTint="80"/>
            </w:tcBorders>
            <w:shd w:val="clear" w:color="auto" w:fill="auto"/>
            <w:vAlign w:val="center"/>
          </w:tcPr>
          <w:p w14:paraId="63B1A9E1" w14:textId="2B78ED22" w:rsidR="00083426" w:rsidRPr="00083426" w:rsidRDefault="00083426" w:rsidP="00083426">
            <w:pPr>
              <w:spacing w:before="81"/>
              <w:jc w:val="right"/>
              <w:rPr>
                <w:rFonts w:eastAsia="Times New Roman" w:cs="Times New Roman"/>
                <w:lang w:eastAsia="cs-CZ"/>
              </w:rPr>
            </w:pPr>
            <w:r w:rsidRPr="00083426">
              <w:t>38</w:t>
            </w:r>
          </w:p>
        </w:tc>
        <w:tc>
          <w:tcPr>
            <w:tcW w:w="513" w:type="pct"/>
            <w:tcBorders>
              <w:top w:val="single" w:sz="8" w:space="0" w:color="7F7F7F" w:themeColor="text1" w:themeTint="80"/>
            </w:tcBorders>
            <w:shd w:val="clear" w:color="auto" w:fill="auto"/>
            <w:vAlign w:val="center"/>
          </w:tcPr>
          <w:p w14:paraId="31CEFFF2" w14:textId="56C66497" w:rsidR="00083426" w:rsidRPr="00083426" w:rsidRDefault="00083426" w:rsidP="00083426">
            <w:pPr>
              <w:spacing w:before="81"/>
              <w:jc w:val="right"/>
              <w:rPr>
                <w:rFonts w:eastAsia="Times New Roman" w:cs="Times New Roman"/>
                <w:lang w:eastAsia="cs-CZ"/>
              </w:rPr>
            </w:pPr>
            <w:r w:rsidRPr="00083426">
              <w:t>100,00</w:t>
            </w:r>
          </w:p>
        </w:tc>
      </w:tr>
      <w:tr w:rsidR="00083426" w:rsidRPr="00083426" w14:paraId="033781E1"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722D1F68" w14:textId="77777777"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Ústav pro odborné zjišt. příčin letec. nehod</w:t>
            </w:r>
          </w:p>
        </w:tc>
        <w:tc>
          <w:tcPr>
            <w:tcW w:w="782" w:type="pct"/>
            <w:tcBorders>
              <w:top w:val="single" w:sz="8" w:space="0" w:color="7F7F7F" w:themeColor="text1" w:themeTint="80"/>
            </w:tcBorders>
            <w:shd w:val="clear" w:color="auto" w:fill="auto"/>
            <w:vAlign w:val="center"/>
          </w:tcPr>
          <w:p w14:paraId="481AD5FC" w14:textId="752621A3" w:rsidR="00083426" w:rsidRPr="00083426" w:rsidRDefault="00083426" w:rsidP="00083426">
            <w:pPr>
              <w:jc w:val="right"/>
              <w:rPr>
                <w:rFonts w:eastAsia="Times New Roman" w:cs="Times New Roman"/>
                <w:bCs/>
                <w:lang w:eastAsia="cs-CZ"/>
              </w:rPr>
            </w:pPr>
            <w:r w:rsidRPr="00083426">
              <w:t>13</w:t>
            </w:r>
          </w:p>
        </w:tc>
        <w:tc>
          <w:tcPr>
            <w:tcW w:w="703" w:type="pct"/>
            <w:tcBorders>
              <w:top w:val="single" w:sz="8" w:space="0" w:color="7F7F7F" w:themeColor="text1" w:themeTint="80"/>
            </w:tcBorders>
            <w:shd w:val="clear" w:color="auto" w:fill="auto"/>
            <w:vAlign w:val="center"/>
          </w:tcPr>
          <w:p w14:paraId="48901277" w14:textId="457E24A3" w:rsidR="00083426" w:rsidRPr="00083426" w:rsidRDefault="00083426" w:rsidP="00083426">
            <w:pPr>
              <w:spacing w:before="81"/>
              <w:jc w:val="right"/>
              <w:rPr>
                <w:rFonts w:eastAsia="Times New Roman" w:cs="Times New Roman"/>
                <w:lang w:eastAsia="cs-CZ"/>
              </w:rPr>
            </w:pPr>
            <w:r w:rsidRPr="00083426">
              <w:t>15</w:t>
            </w:r>
          </w:p>
        </w:tc>
        <w:tc>
          <w:tcPr>
            <w:tcW w:w="625" w:type="pct"/>
            <w:tcBorders>
              <w:top w:val="single" w:sz="8" w:space="0" w:color="7F7F7F" w:themeColor="text1" w:themeTint="80"/>
            </w:tcBorders>
            <w:shd w:val="clear" w:color="auto" w:fill="auto"/>
            <w:vAlign w:val="center"/>
          </w:tcPr>
          <w:p w14:paraId="5A214AFA" w14:textId="0BC7E503" w:rsidR="00083426" w:rsidRPr="00083426" w:rsidRDefault="00083426" w:rsidP="00083426">
            <w:pPr>
              <w:spacing w:before="81"/>
              <w:jc w:val="right"/>
              <w:rPr>
                <w:rFonts w:eastAsia="Times New Roman" w:cs="Times New Roman"/>
                <w:lang w:eastAsia="cs-CZ"/>
              </w:rPr>
            </w:pPr>
            <w:r w:rsidRPr="00083426">
              <w:t>14</w:t>
            </w:r>
          </w:p>
        </w:tc>
        <w:tc>
          <w:tcPr>
            <w:tcW w:w="513" w:type="pct"/>
            <w:tcBorders>
              <w:top w:val="single" w:sz="8" w:space="0" w:color="7F7F7F" w:themeColor="text1" w:themeTint="80"/>
            </w:tcBorders>
            <w:shd w:val="clear" w:color="auto" w:fill="auto"/>
            <w:vAlign w:val="center"/>
          </w:tcPr>
          <w:p w14:paraId="4A463A4D" w14:textId="137CB13C" w:rsidR="00083426" w:rsidRPr="00083426" w:rsidRDefault="00083426" w:rsidP="00083426">
            <w:pPr>
              <w:spacing w:before="81"/>
              <w:jc w:val="right"/>
              <w:rPr>
                <w:rFonts w:eastAsia="Times New Roman" w:cs="Times New Roman"/>
                <w:lang w:eastAsia="cs-CZ"/>
              </w:rPr>
            </w:pPr>
            <w:r w:rsidRPr="00083426">
              <w:t>93,33</w:t>
            </w:r>
          </w:p>
        </w:tc>
      </w:tr>
      <w:tr w:rsidR="00083426" w:rsidRPr="00083426" w14:paraId="1AF6D3ED"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37E496B" w14:textId="77777777"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Dopravní a energetický stavební úřad</w:t>
            </w:r>
          </w:p>
        </w:tc>
        <w:tc>
          <w:tcPr>
            <w:tcW w:w="782" w:type="pct"/>
            <w:tcBorders>
              <w:top w:val="single" w:sz="8" w:space="0" w:color="7F7F7F" w:themeColor="text1" w:themeTint="80"/>
            </w:tcBorders>
            <w:shd w:val="clear" w:color="auto" w:fill="auto"/>
            <w:vAlign w:val="center"/>
          </w:tcPr>
          <w:p w14:paraId="1ED33596" w14:textId="1861CC1C" w:rsidR="00083426" w:rsidRPr="00083426" w:rsidRDefault="00083426" w:rsidP="00083426">
            <w:pPr>
              <w:jc w:val="right"/>
              <w:rPr>
                <w:rFonts w:eastAsia="Times New Roman" w:cs="Times New Roman"/>
                <w:bCs/>
                <w:lang w:eastAsia="cs-CZ"/>
              </w:rPr>
            </w:pPr>
            <w:r w:rsidRPr="00083426">
              <w:t>3</w:t>
            </w:r>
          </w:p>
        </w:tc>
        <w:tc>
          <w:tcPr>
            <w:tcW w:w="703" w:type="pct"/>
            <w:tcBorders>
              <w:top w:val="single" w:sz="8" w:space="0" w:color="7F7F7F" w:themeColor="text1" w:themeTint="80"/>
            </w:tcBorders>
            <w:shd w:val="clear" w:color="auto" w:fill="auto"/>
            <w:vAlign w:val="center"/>
          </w:tcPr>
          <w:p w14:paraId="27BB904E" w14:textId="7E4D333E" w:rsidR="00083426" w:rsidRPr="00083426" w:rsidRDefault="00083426" w:rsidP="00083426">
            <w:pPr>
              <w:spacing w:before="81"/>
              <w:jc w:val="right"/>
              <w:rPr>
                <w:rFonts w:eastAsia="Times New Roman" w:cs="Times New Roman"/>
                <w:lang w:eastAsia="cs-CZ"/>
              </w:rPr>
            </w:pPr>
            <w:r w:rsidRPr="00083426">
              <w:t>64</w:t>
            </w:r>
          </w:p>
        </w:tc>
        <w:tc>
          <w:tcPr>
            <w:tcW w:w="625" w:type="pct"/>
            <w:tcBorders>
              <w:top w:val="single" w:sz="8" w:space="0" w:color="7F7F7F" w:themeColor="text1" w:themeTint="80"/>
            </w:tcBorders>
            <w:shd w:val="clear" w:color="auto" w:fill="auto"/>
            <w:vAlign w:val="center"/>
          </w:tcPr>
          <w:p w14:paraId="619BBC3D" w14:textId="74D57D18" w:rsidR="00083426" w:rsidRPr="00083426" w:rsidRDefault="00083426" w:rsidP="00083426">
            <w:pPr>
              <w:spacing w:before="81"/>
              <w:jc w:val="right"/>
              <w:rPr>
                <w:rFonts w:eastAsia="Times New Roman" w:cs="Times New Roman"/>
                <w:lang w:eastAsia="cs-CZ"/>
              </w:rPr>
            </w:pPr>
            <w:r w:rsidRPr="00083426">
              <w:t>108</w:t>
            </w:r>
          </w:p>
        </w:tc>
        <w:tc>
          <w:tcPr>
            <w:tcW w:w="513" w:type="pct"/>
            <w:tcBorders>
              <w:top w:val="single" w:sz="8" w:space="0" w:color="7F7F7F" w:themeColor="text1" w:themeTint="80"/>
            </w:tcBorders>
            <w:shd w:val="clear" w:color="auto" w:fill="auto"/>
            <w:vAlign w:val="center"/>
          </w:tcPr>
          <w:p w14:paraId="2E9165B0" w14:textId="012E5DD1" w:rsidR="00083426" w:rsidRPr="00083426" w:rsidRDefault="00083426" w:rsidP="00083426">
            <w:pPr>
              <w:spacing w:before="81"/>
              <w:jc w:val="right"/>
              <w:rPr>
                <w:rFonts w:eastAsia="Times New Roman" w:cs="Times New Roman"/>
                <w:lang w:eastAsia="cs-CZ"/>
              </w:rPr>
            </w:pPr>
            <w:r w:rsidRPr="00083426">
              <w:t>168,75</w:t>
            </w:r>
          </w:p>
        </w:tc>
      </w:tr>
      <w:tr w:rsidR="00083426" w:rsidRPr="00083426" w14:paraId="44A2209C"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0A2CED6A" w14:textId="77777777"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Ředitelství vodních cest ČR</w:t>
            </w:r>
          </w:p>
        </w:tc>
        <w:tc>
          <w:tcPr>
            <w:tcW w:w="782" w:type="pct"/>
            <w:tcBorders>
              <w:top w:val="single" w:sz="8" w:space="0" w:color="7F7F7F" w:themeColor="text1" w:themeTint="80"/>
            </w:tcBorders>
            <w:shd w:val="clear" w:color="auto" w:fill="auto"/>
            <w:vAlign w:val="center"/>
          </w:tcPr>
          <w:p w14:paraId="789CA577" w14:textId="0B6713EF" w:rsidR="00083426" w:rsidRPr="00083426" w:rsidRDefault="00083426" w:rsidP="00083426">
            <w:pPr>
              <w:jc w:val="right"/>
              <w:rPr>
                <w:rFonts w:eastAsia="Times New Roman" w:cs="Times New Roman"/>
                <w:bCs/>
                <w:lang w:eastAsia="cs-CZ"/>
              </w:rPr>
            </w:pPr>
            <w:r w:rsidRPr="00083426">
              <w:t>14</w:t>
            </w:r>
          </w:p>
        </w:tc>
        <w:tc>
          <w:tcPr>
            <w:tcW w:w="703" w:type="pct"/>
            <w:tcBorders>
              <w:top w:val="single" w:sz="8" w:space="0" w:color="7F7F7F" w:themeColor="text1" w:themeTint="80"/>
            </w:tcBorders>
            <w:shd w:val="clear" w:color="auto" w:fill="auto"/>
            <w:vAlign w:val="center"/>
          </w:tcPr>
          <w:p w14:paraId="2C84BBA5" w14:textId="6AAF6A59" w:rsidR="00083426" w:rsidRPr="00083426" w:rsidRDefault="00083426" w:rsidP="00083426">
            <w:pPr>
              <w:spacing w:before="81"/>
              <w:jc w:val="right"/>
              <w:rPr>
                <w:rFonts w:eastAsia="Times New Roman" w:cs="Times New Roman"/>
                <w:lang w:eastAsia="cs-CZ"/>
              </w:rPr>
            </w:pPr>
            <w:r w:rsidRPr="00083426">
              <w:t>15</w:t>
            </w:r>
          </w:p>
        </w:tc>
        <w:tc>
          <w:tcPr>
            <w:tcW w:w="625" w:type="pct"/>
            <w:tcBorders>
              <w:top w:val="single" w:sz="8" w:space="0" w:color="7F7F7F" w:themeColor="text1" w:themeTint="80"/>
            </w:tcBorders>
            <w:shd w:val="clear" w:color="auto" w:fill="auto"/>
            <w:vAlign w:val="center"/>
          </w:tcPr>
          <w:p w14:paraId="7B1F74B1" w14:textId="344DF5A7" w:rsidR="00083426" w:rsidRPr="00083426" w:rsidRDefault="00083426" w:rsidP="00083426">
            <w:pPr>
              <w:spacing w:before="81"/>
              <w:jc w:val="right"/>
              <w:rPr>
                <w:rFonts w:eastAsia="Times New Roman" w:cs="Times New Roman"/>
                <w:lang w:eastAsia="cs-CZ"/>
              </w:rPr>
            </w:pPr>
            <w:r w:rsidRPr="00083426">
              <w:t>15</w:t>
            </w:r>
          </w:p>
        </w:tc>
        <w:tc>
          <w:tcPr>
            <w:tcW w:w="513" w:type="pct"/>
            <w:tcBorders>
              <w:top w:val="single" w:sz="8" w:space="0" w:color="7F7F7F" w:themeColor="text1" w:themeTint="80"/>
            </w:tcBorders>
            <w:shd w:val="clear" w:color="auto" w:fill="auto"/>
            <w:vAlign w:val="center"/>
          </w:tcPr>
          <w:p w14:paraId="00CC9CA5" w14:textId="019AC581" w:rsidR="00083426" w:rsidRPr="00083426" w:rsidRDefault="00083426" w:rsidP="00083426">
            <w:pPr>
              <w:spacing w:before="81"/>
              <w:jc w:val="right"/>
              <w:rPr>
                <w:rFonts w:eastAsia="Times New Roman" w:cs="Times New Roman"/>
                <w:lang w:eastAsia="cs-CZ"/>
              </w:rPr>
            </w:pPr>
            <w:r w:rsidRPr="00083426">
              <w:t>100,00</w:t>
            </w:r>
          </w:p>
        </w:tc>
      </w:tr>
      <w:tr w:rsidR="00083426" w:rsidRPr="00083426" w14:paraId="2ACE39FB" w14:textId="77777777" w:rsidTr="005A7B18">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1AC9E322" w14:textId="77777777" w:rsidR="00083426" w:rsidRPr="00083426" w:rsidRDefault="00083426" w:rsidP="00083426">
            <w:pPr>
              <w:spacing w:before="60"/>
              <w:rPr>
                <w:rFonts w:eastAsia="Times New Roman" w:cs="Times New Roman"/>
                <w:lang w:eastAsia="cs-CZ"/>
              </w:rPr>
            </w:pPr>
            <w:r w:rsidRPr="00083426">
              <w:rPr>
                <w:rFonts w:eastAsia="Times New Roman" w:cs="Times New Roman"/>
                <w:lang w:eastAsia="cs-CZ"/>
              </w:rPr>
              <w:t>Centrum služeb pro silniční dopravu</w:t>
            </w:r>
          </w:p>
        </w:tc>
        <w:tc>
          <w:tcPr>
            <w:tcW w:w="782" w:type="pct"/>
            <w:tcBorders>
              <w:top w:val="single" w:sz="8" w:space="0" w:color="7F7F7F" w:themeColor="text1" w:themeTint="80"/>
            </w:tcBorders>
            <w:shd w:val="clear" w:color="auto" w:fill="auto"/>
            <w:vAlign w:val="center"/>
          </w:tcPr>
          <w:p w14:paraId="4E1B41DA" w14:textId="39D0DA09" w:rsidR="00083426" w:rsidRPr="00083426" w:rsidRDefault="00083426" w:rsidP="00083426">
            <w:pPr>
              <w:jc w:val="right"/>
              <w:rPr>
                <w:rFonts w:eastAsia="Times New Roman" w:cs="Times New Roman"/>
                <w:bCs/>
                <w:lang w:eastAsia="cs-CZ"/>
              </w:rPr>
            </w:pPr>
            <w:r w:rsidRPr="00083426">
              <w:t>77</w:t>
            </w:r>
          </w:p>
        </w:tc>
        <w:tc>
          <w:tcPr>
            <w:tcW w:w="703" w:type="pct"/>
            <w:tcBorders>
              <w:top w:val="single" w:sz="8" w:space="0" w:color="7F7F7F" w:themeColor="text1" w:themeTint="80"/>
            </w:tcBorders>
            <w:shd w:val="clear" w:color="auto" w:fill="auto"/>
            <w:vAlign w:val="center"/>
          </w:tcPr>
          <w:p w14:paraId="06BA325F" w14:textId="45A3515C" w:rsidR="00083426" w:rsidRPr="00083426" w:rsidRDefault="00083426" w:rsidP="00083426">
            <w:pPr>
              <w:spacing w:before="81"/>
              <w:jc w:val="right"/>
              <w:rPr>
                <w:rFonts w:eastAsia="Times New Roman" w:cs="Times New Roman"/>
                <w:lang w:eastAsia="cs-CZ"/>
              </w:rPr>
            </w:pPr>
            <w:r w:rsidRPr="00083426">
              <w:t>80</w:t>
            </w:r>
          </w:p>
        </w:tc>
        <w:tc>
          <w:tcPr>
            <w:tcW w:w="625" w:type="pct"/>
            <w:tcBorders>
              <w:top w:val="single" w:sz="8" w:space="0" w:color="7F7F7F" w:themeColor="text1" w:themeTint="80"/>
            </w:tcBorders>
            <w:shd w:val="clear" w:color="auto" w:fill="auto"/>
            <w:vAlign w:val="center"/>
          </w:tcPr>
          <w:p w14:paraId="302B28C0" w14:textId="198D0E87" w:rsidR="00083426" w:rsidRPr="00083426" w:rsidRDefault="00083426" w:rsidP="00083426">
            <w:pPr>
              <w:spacing w:before="81"/>
              <w:jc w:val="right"/>
              <w:rPr>
                <w:rFonts w:eastAsia="Times New Roman" w:cs="Times New Roman"/>
                <w:lang w:eastAsia="cs-CZ"/>
              </w:rPr>
            </w:pPr>
            <w:r w:rsidRPr="00083426">
              <w:t>80</w:t>
            </w:r>
          </w:p>
        </w:tc>
        <w:tc>
          <w:tcPr>
            <w:tcW w:w="513" w:type="pct"/>
            <w:tcBorders>
              <w:top w:val="single" w:sz="8" w:space="0" w:color="7F7F7F" w:themeColor="text1" w:themeTint="80"/>
            </w:tcBorders>
            <w:shd w:val="clear" w:color="auto" w:fill="auto"/>
            <w:vAlign w:val="center"/>
          </w:tcPr>
          <w:p w14:paraId="02C7171C" w14:textId="015B5325" w:rsidR="00083426" w:rsidRPr="00083426" w:rsidRDefault="00083426" w:rsidP="00083426">
            <w:pPr>
              <w:spacing w:before="81"/>
              <w:jc w:val="right"/>
              <w:rPr>
                <w:rFonts w:eastAsia="Times New Roman" w:cs="Times New Roman"/>
                <w:lang w:eastAsia="cs-CZ"/>
              </w:rPr>
            </w:pPr>
            <w:r w:rsidRPr="00083426">
              <w:t>100,00</w:t>
            </w:r>
          </w:p>
        </w:tc>
      </w:tr>
    </w:tbl>
    <w:p w14:paraId="44931D7D" w14:textId="4BBDA8CB" w:rsidR="002906D0" w:rsidRPr="000A189F" w:rsidRDefault="002906D0" w:rsidP="002906D0">
      <w:pPr>
        <w:pStyle w:val="obyctext"/>
        <w:spacing w:before="240" w:after="0"/>
        <w:ind w:firstLine="0"/>
        <w:rPr>
          <w:b/>
        </w:rPr>
      </w:pPr>
      <w:r w:rsidRPr="000A189F">
        <w:rPr>
          <w:b/>
        </w:rPr>
        <w:t>V oblasti počtu zaměstnanců byly promítnuty na rok 202</w:t>
      </w:r>
      <w:r w:rsidR="00C3053E" w:rsidRPr="000A189F">
        <w:rPr>
          <w:b/>
        </w:rPr>
        <w:t>5</w:t>
      </w:r>
      <w:r w:rsidRPr="000A189F">
        <w:rPr>
          <w:b/>
        </w:rPr>
        <w:t xml:space="preserve"> tyto změny oproti schválenému rozpočtu na rok 202</w:t>
      </w:r>
      <w:r w:rsidR="00C3053E" w:rsidRPr="000A189F">
        <w:rPr>
          <w:b/>
        </w:rPr>
        <w:t>4</w:t>
      </w:r>
      <w:r w:rsidRPr="000A189F">
        <w:rPr>
          <w:b/>
        </w:rPr>
        <w:t xml:space="preserve">: </w:t>
      </w:r>
    </w:p>
    <w:p w14:paraId="1DEBB62E" w14:textId="77777777" w:rsidR="00C3053E" w:rsidRPr="000A189F" w:rsidRDefault="00C3053E" w:rsidP="00C3053E">
      <w:pPr>
        <w:pStyle w:val="obyctext"/>
        <w:numPr>
          <w:ilvl w:val="0"/>
          <w:numId w:val="19"/>
        </w:numPr>
        <w:tabs>
          <w:tab w:val="left" w:pos="567"/>
          <w:tab w:val="left" w:pos="851"/>
        </w:tabs>
        <w:spacing w:before="60" w:after="0"/>
        <w:ind w:left="567" w:hanging="283"/>
      </w:pPr>
      <w:r w:rsidRPr="000A189F">
        <w:t>přesun zaměstnanců pro organizaci DESÚ;</w:t>
      </w:r>
    </w:p>
    <w:p w14:paraId="76B8D68D" w14:textId="77777777" w:rsidR="00C3053E" w:rsidRPr="000A189F" w:rsidRDefault="00C3053E" w:rsidP="00C3053E">
      <w:pPr>
        <w:pStyle w:val="obyctext"/>
        <w:numPr>
          <w:ilvl w:val="0"/>
          <w:numId w:val="19"/>
        </w:numPr>
        <w:tabs>
          <w:tab w:val="left" w:pos="567"/>
          <w:tab w:val="left" w:pos="851"/>
        </w:tabs>
        <w:spacing w:before="60" w:after="0"/>
        <w:ind w:left="567" w:hanging="283"/>
      </w:pPr>
      <w:r w:rsidRPr="000A189F">
        <w:t>snížení počtu zaměstnanců a přesuny zaměstnanců v souvislosti se schválenou změnou systemizace s účinností od 1. 1. 2024 – UV č. 875/2023;</w:t>
      </w:r>
    </w:p>
    <w:p w14:paraId="2C0BE93E" w14:textId="77777777" w:rsidR="00C3053E" w:rsidRPr="000A189F" w:rsidRDefault="00C3053E" w:rsidP="00C3053E">
      <w:pPr>
        <w:pStyle w:val="obyctext"/>
        <w:numPr>
          <w:ilvl w:val="0"/>
          <w:numId w:val="19"/>
        </w:numPr>
        <w:tabs>
          <w:tab w:val="left" w:pos="567"/>
          <w:tab w:val="left" w:pos="851"/>
        </w:tabs>
        <w:spacing w:before="60" w:after="0"/>
        <w:ind w:left="567" w:hanging="283"/>
      </w:pPr>
      <w:r w:rsidRPr="000A189F">
        <w:lastRenderedPageBreak/>
        <w:t>snížení a navýšení počtu zaměstnanců v souvislosti se schválenou změnou systemizace s účinností od 1. 3. 2024 – UV č. 128/2024;</w:t>
      </w:r>
    </w:p>
    <w:p w14:paraId="7CB74555" w14:textId="19C61313" w:rsidR="00C3053E" w:rsidRPr="000A189F" w:rsidRDefault="00C3053E" w:rsidP="00C3053E">
      <w:pPr>
        <w:pStyle w:val="obyctext"/>
        <w:numPr>
          <w:ilvl w:val="0"/>
          <w:numId w:val="19"/>
        </w:numPr>
        <w:tabs>
          <w:tab w:val="left" w:pos="567"/>
          <w:tab w:val="left" w:pos="851"/>
        </w:tabs>
        <w:spacing w:before="60" w:after="0"/>
        <w:ind w:left="567" w:hanging="283"/>
      </w:pPr>
      <w:r w:rsidRPr="000A189F">
        <w:t xml:space="preserve">snížení počtu zaměstnanců v souvislosti se schválenou změnou systemizace s účinností </w:t>
      </w:r>
      <w:r w:rsidRPr="000A189F">
        <w:br/>
        <w:t>od 1. 7. 2024 – UV č. 420/2024.</w:t>
      </w:r>
    </w:p>
    <w:p w14:paraId="51407E8D" w14:textId="69200985" w:rsidR="002906D0" w:rsidRPr="00D070B8" w:rsidRDefault="002906D0" w:rsidP="00C3053E">
      <w:pPr>
        <w:pStyle w:val="obyctext"/>
        <w:tabs>
          <w:tab w:val="left" w:pos="567"/>
          <w:tab w:val="left" w:pos="851"/>
        </w:tabs>
        <w:spacing w:before="60" w:after="0"/>
        <w:ind w:left="567" w:firstLine="0"/>
        <w:rPr>
          <w:highlight w:val="yellow"/>
        </w:rPr>
      </w:pPr>
    </w:p>
    <w:p w14:paraId="3243D717" w14:textId="68615744" w:rsidR="002906D0" w:rsidRPr="000A189F" w:rsidRDefault="002906D0" w:rsidP="002906D0">
      <w:pPr>
        <w:pStyle w:val="obyctext"/>
        <w:tabs>
          <w:tab w:val="left" w:pos="567"/>
        </w:tabs>
        <w:spacing w:before="240" w:after="0"/>
        <w:ind w:firstLine="0"/>
        <w:rPr>
          <w:b/>
        </w:rPr>
      </w:pPr>
      <w:r w:rsidRPr="000A189F">
        <w:rPr>
          <w:b/>
        </w:rPr>
        <w:t>U jednotlivých OSS a PO jsou v rámci počtu zaměstnanců promítnuté na rok 202</w:t>
      </w:r>
      <w:r w:rsidR="000A189F" w:rsidRPr="000A189F">
        <w:rPr>
          <w:b/>
        </w:rPr>
        <w:t>5</w:t>
      </w:r>
      <w:r w:rsidRPr="000A189F">
        <w:rPr>
          <w:b/>
        </w:rPr>
        <w:t xml:space="preserve"> tyto změny: </w:t>
      </w:r>
    </w:p>
    <w:p w14:paraId="6F9F6E76" w14:textId="77777777" w:rsidR="002906D0" w:rsidRPr="000A189F" w:rsidRDefault="002906D0" w:rsidP="002906D0">
      <w:pPr>
        <w:pStyle w:val="Nadpis8"/>
      </w:pPr>
      <w:r w:rsidRPr="000A189F">
        <w:t>ÚO MD</w:t>
      </w:r>
    </w:p>
    <w:p w14:paraId="660DE265" w14:textId="77777777" w:rsidR="000A189F" w:rsidRPr="000A189F" w:rsidRDefault="000A189F" w:rsidP="000A189F">
      <w:pPr>
        <w:pStyle w:val="obyctext"/>
        <w:numPr>
          <w:ilvl w:val="0"/>
          <w:numId w:val="18"/>
        </w:numPr>
        <w:tabs>
          <w:tab w:val="left" w:pos="426"/>
        </w:tabs>
        <w:spacing w:before="60" w:after="0"/>
        <w:ind w:left="425" w:hanging="425"/>
      </w:pPr>
      <w:r w:rsidRPr="000A189F">
        <w:t>přesun 1 zaměstnance v pracovním poměru na zaměstnance ve služebním poměru, změna systemizace schválena UV č. 875/2023 s účinností od 1. 1. 2024;</w:t>
      </w:r>
    </w:p>
    <w:p w14:paraId="3DB32238" w14:textId="77777777" w:rsidR="000A189F" w:rsidRPr="000A189F" w:rsidRDefault="000A189F" w:rsidP="000A189F">
      <w:pPr>
        <w:pStyle w:val="obyctext"/>
        <w:numPr>
          <w:ilvl w:val="0"/>
          <w:numId w:val="18"/>
        </w:numPr>
        <w:tabs>
          <w:tab w:val="left" w:pos="426"/>
        </w:tabs>
        <w:spacing w:before="60" w:after="0"/>
        <w:ind w:left="425" w:hanging="425"/>
      </w:pPr>
      <w:r w:rsidRPr="000A189F">
        <w:t>snížení 4 státních zaměstnanců z důvodu přesunu na DESÚ; změna systemizace schválena UV č. 875/2023 s účinností od 1. 1. 2024;</w:t>
      </w:r>
    </w:p>
    <w:p w14:paraId="1C349CE8" w14:textId="77777777" w:rsidR="000A189F" w:rsidRPr="000A189F" w:rsidRDefault="000A189F" w:rsidP="000A189F">
      <w:pPr>
        <w:pStyle w:val="obyctext"/>
        <w:numPr>
          <w:ilvl w:val="0"/>
          <w:numId w:val="18"/>
        </w:numPr>
        <w:tabs>
          <w:tab w:val="left" w:pos="426"/>
        </w:tabs>
        <w:spacing w:before="60" w:after="0"/>
        <w:ind w:left="425" w:hanging="425"/>
      </w:pPr>
      <w:r w:rsidRPr="000A189F">
        <w:t>snížení 2 státních zaměstnanců u Národního programu obnova; změna systemizace schválena UV č. 128/2024 s účinností od 1. 3. 2024;</w:t>
      </w:r>
    </w:p>
    <w:p w14:paraId="29742C9A" w14:textId="77777777" w:rsidR="000A189F" w:rsidRPr="000A189F" w:rsidRDefault="000A189F" w:rsidP="000A189F">
      <w:pPr>
        <w:pStyle w:val="obyctext"/>
        <w:numPr>
          <w:ilvl w:val="0"/>
          <w:numId w:val="18"/>
        </w:numPr>
        <w:tabs>
          <w:tab w:val="left" w:pos="426"/>
        </w:tabs>
        <w:spacing w:before="60" w:after="0"/>
        <w:ind w:left="425" w:hanging="425"/>
      </w:pPr>
      <w:r w:rsidRPr="000A189F">
        <w:t>navýšení 2 státních zaměstnanců; změna systemizace schválena UV č. 128/2024 s účinností od 1. 3. 2024;</w:t>
      </w:r>
    </w:p>
    <w:p w14:paraId="7E6E3C57" w14:textId="68DFCBE3" w:rsidR="000A189F" w:rsidRPr="000A189F" w:rsidRDefault="000A189F" w:rsidP="000A189F">
      <w:pPr>
        <w:pStyle w:val="obyctext"/>
        <w:numPr>
          <w:ilvl w:val="0"/>
          <w:numId w:val="18"/>
        </w:numPr>
        <w:tabs>
          <w:tab w:val="left" w:pos="426"/>
        </w:tabs>
        <w:spacing w:before="60" w:after="0"/>
        <w:ind w:left="425" w:hanging="425"/>
      </w:pPr>
      <w:r w:rsidRPr="000A189F">
        <w:t>snížení 1 státního zaměstnance, změna systemizace schválena UV č. 420/2024 s účinností od 1. 7. 2024</w:t>
      </w:r>
    </w:p>
    <w:p w14:paraId="2C378F21" w14:textId="467ED9F5" w:rsidR="002906D0" w:rsidRPr="000A189F" w:rsidRDefault="000A189F" w:rsidP="002906D0">
      <w:pPr>
        <w:pStyle w:val="Styl1"/>
        <w:rPr>
          <w:b/>
        </w:rPr>
      </w:pPr>
      <w:r w:rsidRPr="000A189F">
        <w:t xml:space="preserve">Počet zaměstnanců ÚO MD je pro rok 2025 stanoven ve výši 459 (69 zaměstnanců v pracovním poměru a 390 státních zaměstnanců). Ve srovnání s rokem 2024 dochází ke snížení o 5, </w:t>
      </w:r>
      <w:r w:rsidRPr="000A189F">
        <w:br/>
        <w:t>tj. o 1,08 %.</w:t>
      </w:r>
      <w:r w:rsidR="002906D0" w:rsidRPr="000A189F">
        <w:t xml:space="preserve"> </w:t>
      </w:r>
    </w:p>
    <w:p w14:paraId="6A7AB3BC" w14:textId="77777777" w:rsidR="002906D0" w:rsidRPr="00FA1639" w:rsidRDefault="002906D0" w:rsidP="002906D0">
      <w:pPr>
        <w:pStyle w:val="Nadpis8"/>
      </w:pPr>
      <w:r w:rsidRPr="00FA1639">
        <w:t>ÚCL</w:t>
      </w:r>
    </w:p>
    <w:p w14:paraId="528DAD82" w14:textId="56067885" w:rsidR="002906D0" w:rsidRPr="00FA1639" w:rsidRDefault="00FA1639" w:rsidP="00F6076B">
      <w:pPr>
        <w:pStyle w:val="Styl1"/>
        <w:rPr>
          <w:b/>
        </w:rPr>
      </w:pPr>
      <w:r w:rsidRPr="00FA1639">
        <w:t>Počet zaměstnanců ÚCL je pro rok 2025 stanoven ve výši 162 (17 zaměstnanců v pracovním poměru a 145 státních zaměstnanců). Ve srovnání s rokem 2024 nedochází ke změně</w:t>
      </w:r>
      <w:r w:rsidR="002906D0" w:rsidRPr="00FA1639">
        <w:t>.</w:t>
      </w:r>
    </w:p>
    <w:p w14:paraId="204637BC" w14:textId="77777777" w:rsidR="002906D0" w:rsidRPr="00FA1639" w:rsidRDefault="002906D0" w:rsidP="002906D0">
      <w:pPr>
        <w:pStyle w:val="Nadpis8"/>
      </w:pPr>
      <w:r w:rsidRPr="00FA1639">
        <w:t>SPS</w:t>
      </w:r>
    </w:p>
    <w:p w14:paraId="6DD03F18" w14:textId="49DC69D3" w:rsidR="002906D0" w:rsidRPr="00FA1639" w:rsidRDefault="00FA1639" w:rsidP="002906D0">
      <w:pPr>
        <w:pStyle w:val="Styl1"/>
        <w:rPr>
          <w:b/>
        </w:rPr>
      </w:pPr>
      <w:r w:rsidRPr="00FA1639">
        <w:t>Počet zaměstnanců SPS je pro rok 2025 stanoven ve výši 84 (17 zaměstnanců v pracovním poměru a 67 státních zaměstnanců). Ve srovnání s rokem 2024 nedochází ke změně</w:t>
      </w:r>
      <w:r w:rsidR="002906D0" w:rsidRPr="00FA1639">
        <w:t>.</w:t>
      </w:r>
    </w:p>
    <w:p w14:paraId="69116F1B" w14:textId="77777777" w:rsidR="002906D0" w:rsidRPr="00FA1639" w:rsidRDefault="002906D0" w:rsidP="002906D0">
      <w:pPr>
        <w:pStyle w:val="Nadpis8"/>
      </w:pPr>
      <w:r w:rsidRPr="00FA1639">
        <w:t>DÚ</w:t>
      </w:r>
    </w:p>
    <w:p w14:paraId="251759DF" w14:textId="5D2CD0CA" w:rsidR="002906D0" w:rsidRPr="00FA1639" w:rsidRDefault="00FA1639" w:rsidP="002906D0">
      <w:pPr>
        <w:pStyle w:val="Styl1"/>
        <w:rPr>
          <w:b/>
        </w:rPr>
      </w:pPr>
      <w:r w:rsidRPr="00FA1639">
        <w:t>Počet zaměstnanců DÚ je pro rok 2025 stanoven ve výši 102 (11 zaměstnanců v pracovním poměru a 91 státních zaměstnanců). Ve srovnání s rokem 2024 nedochází ke změně</w:t>
      </w:r>
      <w:r w:rsidR="002906D0" w:rsidRPr="00FA1639">
        <w:t xml:space="preserve">. </w:t>
      </w:r>
    </w:p>
    <w:p w14:paraId="0BDF748A" w14:textId="77777777" w:rsidR="002906D0" w:rsidRPr="00FA1639" w:rsidRDefault="002906D0" w:rsidP="002906D0">
      <w:pPr>
        <w:pStyle w:val="Nadpis8"/>
      </w:pPr>
      <w:r w:rsidRPr="00FA1639">
        <w:t>DI</w:t>
      </w:r>
    </w:p>
    <w:p w14:paraId="16869246" w14:textId="0E51908E" w:rsidR="002906D0" w:rsidRPr="00FA1639" w:rsidRDefault="00FA1639" w:rsidP="002906D0">
      <w:pPr>
        <w:pStyle w:val="obyctext"/>
        <w:tabs>
          <w:tab w:val="left" w:pos="567"/>
        </w:tabs>
        <w:spacing w:after="0"/>
        <w:ind w:firstLine="0"/>
        <w:rPr>
          <w:b/>
        </w:rPr>
      </w:pPr>
      <w:r w:rsidRPr="00FA1639">
        <w:t>Počet zaměstnanců DI je pro rok 2025 stanoven ve výši 38 (státní zaměstnanci). Ve srovnání s rokem 2024 nedochází ke změně</w:t>
      </w:r>
      <w:r w:rsidR="002906D0" w:rsidRPr="00FA1639">
        <w:t>.</w:t>
      </w:r>
    </w:p>
    <w:p w14:paraId="43A64D7D" w14:textId="77777777" w:rsidR="002906D0" w:rsidRPr="00FA1639" w:rsidRDefault="002906D0" w:rsidP="002906D0">
      <w:pPr>
        <w:pStyle w:val="Nadpis8"/>
      </w:pPr>
      <w:r w:rsidRPr="00FA1639">
        <w:t xml:space="preserve">ÚZPLN </w:t>
      </w:r>
    </w:p>
    <w:p w14:paraId="43A60904" w14:textId="1CDAE03F" w:rsidR="00FA1639" w:rsidRPr="00FA1639" w:rsidRDefault="00FA1639" w:rsidP="00FA1639">
      <w:pPr>
        <w:pStyle w:val="obyctext"/>
        <w:numPr>
          <w:ilvl w:val="0"/>
          <w:numId w:val="18"/>
        </w:numPr>
        <w:tabs>
          <w:tab w:val="left" w:pos="426"/>
        </w:tabs>
        <w:spacing w:before="60" w:after="0"/>
        <w:ind w:left="425" w:hanging="425"/>
      </w:pPr>
      <w:r w:rsidRPr="00FA1639">
        <w:t>snížení 1 zaměstnance v pracovním poměru, změna systemizace schválená UV č. 875/2023 s účinností od 1. 1. 2024.</w:t>
      </w:r>
    </w:p>
    <w:p w14:paraId="5DF787E1" w14:textId="364F11DA" w:rsidR="002906D0" w:rsidRPr="00FA1639" w:rsidRDefault="00FA1639" w:rsidP="002906D0">
      <w:pPr>
        <w:pStyle w:val="obyctext"/>
        <w:tabs>
          <w:tab w:val="left" w:pos="567"/>
        </w:tabs>
        <w:spacing w:after="0"/>
        <w:ind w:firstLine="0"/>
      </w:pPr>
      <w:r w:rsidRPr="00FA1639">
        <w:lastRenderedPageBreak/>
        <w:t>Počet zaměstnanců ÚZPLN je pro rok 2025 stanoven ve výši 14 (zaměstnanci v pracovním poměru). Ve srovnání s rokem 2024 dochází k snížení o 1, tj. o 6,67 %</w:t>
      </w:r>
      <w:r w:rsidR="002906D0" w:rsidRPr="00FA1639">
        <w:t>.</w:t>
      </w:r>
    </w:p>
    <w:p w14:paraId="7C24A9E9" w14:textId="77777777" w:rsidR="002906D0" w:rsidRPr="00FA1639" w:rsidRDefault="002906D0" w:rsidP="002906D0">
      <w:pPr>
        <w:pStyle w:val="Nadpis8"/>
      </w:pPr>
      <w:r w:rsidRPr="00FA1639">
        <w:t>DESÚ</w:t>
      </w:r>
    </w:p>
    <w:p w14:paraId="54D4A192" w14:textId="77777777" w:rsidR="00FA1639" w:rsidRPr="00FA1639" w:rsidRDefault="00FA1639" w:rsidP="00FA1639">
      <w:pPr>
        <w:pStyle w:val="obyctext"/>
        <w:numPr>
          <w:ilvl w:val="0"/>
          <w:numId w:val="18"/>
        </w:numPr>
        <w:tabs>
          <w:tab w:val="left" w:pos="426"/>
        </w:tabs>
        <w:spacing w:before="60" w:after="0"/>
        <w:ind w:left="425" w:hanging="425"/>
      </w:pPr>
      <w:r w:rsidRPr="00FA1639">
        <w:t xml:space="preserve">navýšení 9 státních zaměstnanců a 1 zaměstnance v pracovním poměru z důvodu delimitace z kapitoly 322-MPO, změna systemizace schválena UV č. 875/2023 s účinností od 1. 1. 2024; </w:t>
      </w:r>
    </w:p>
    <w:p w14:paraId="7C47328E" w14:textId="77777777" w:rsidR="00FA1639" w:rsidRPr="00FA1639" w:rsidRDefault="00FA1639" w:rsidP="00FA1639">
      <w:pPr>
        <w:pStyle w:val="obyctext"/>
        <w:numPr>
          <w:ilvl w:val="0"/>
          <w:numId w:val="18"/>
        </w:numPr>
        <w:tabs>
          <w:tab w:val="left" w:pos="426"/>
        </w:tabs>
        <w:spacing w:before="60" w:after="0"/>
        <w:ind w:left="425" w:hanging="425"/>
      </w:pPr>
      <w:r w:rsidRPr="00FA1639">
        <w:t>navýšení 4 státních zaměstnanců z důvodu delimitace z ÚO MD, změna systemizace schválena UV č. 875/2023 s účinností od 1. 1. 2024;</w:t>
      </w:r>
    </w:p>
    <w:p w14:paraId="526B6D97" w14:textId="77777777" w:rsidR="00FA1639" w:rsidRPr="00FA1639" w:rsidRDefault="00FA1639" w:rsidP="00FA1639">
      <w:pPr>
        <w:pStyle w:val="obyctext"/>
        <w:numPr>
          <w:ilvl w:val="0"/>
          <w:numId w:val="18"/>
        </w:numPr>
        <w:tabs>
          <w:tab w:val="left" w:pos="426"/>
        </w:tabs>
        <w:spacing w:before="60" w:after="0"/>
        <w:ind w:left="425" w:hanging="425"/>
      </w:pPr>
      <w:r w:rsidRPr="00FA1639">
        <w:t>navýšení 19 státních zaměstnanců a 4 zaměstnanců v pracovním poměru z OBV, změna systemizace schválena UV č. 875/2023 s účinností od 1. 1. 2024;</w:t>
      </w:r>
    </w:p>
    <w:p w14:paraId="28335871" w14:textId="7E582B5E" w:rsidR="00FA1639" w:rsidRPr="00FA1639" w:rsidRDefault="00FA1639" w:rsidP="00FA1639">
      <w:pPr>
        <w:pStyle w:val="obyctext"/>
        <w:numPr>
          <w:ilvl w:val="0"/>
          <w:numId w:val="18"/>
        </w:numPr>
        <w:tabs>
          <w:tab w:val="left" w:pos="426"/>
        </w:tabs>
        <w:spacing w:before="60" w:after="0"/>
        <w:ind w:left="425" w:hanging="425"/>
      </w:pPr>
      <w:r w:rsidRPr="00FA1639">
        <w:t>navýšení 7 státních zaměstnanců z kapitoly 335-MZ</w:t>
      </w:r>
    </w:p>
    <w:p w14:paraId="67F02E31" w14:textId="1F4D9CC6" w:rsidR="002906D0" w:rsidRPr="00FA1639" w:rsidRDefault="00FA1639" w:rsidP="002906D0">
      <w:pPr>
        <w:pStyle w:val="Styl1"/>
        <w:rPr>
          <w:b/>
        </w:rPr>
      </w:pPr>
      <w:r w:rsidRPr="00FA1639">
        <w:t xml:space="preserve">Počet zaměstnanců DESÚ je pro rok 2025 stanoven ve výši 108 (12 zaměstnanců v pracovním poměru a 96 státních zaměstnanců). Ve srovnání s rokem 2024 dochází k navýšení o 44, </w:t>
      </w:r>
      <w:r w:rsidRPr="00FA1639">
        <w:br/>
        <w:t>tj. o 68,75 %</w:t>
      </w:r>
      <w:r w:rsidR="002906D0" w:rsidRPr="00FA1639">
        <w:t xml:space="preserve">. </w:t>
      </w:r>
    </w:p>
    <w:p w14:paraId="0428EDDD" w14:textId="77777777" w:rsidR="002906D0" w:rsidRPr="00FA1639" w:rsidRDefault="002906D0" w:rsidP="002906D0">
      <w:pPr>
        <w:pStyle w:val="Nadpis8"/>
      </w:pPr>
      <w:r w:rsidRPr="00FA1639">
        <w:t xml:space="preserve">ŘVC ČR </w:t>
      </w:r>
    </w:p>
    <w:p w14:paraId="3139E584" w14:textId="37FFAEE3" w:rsidR="002906D0" w:rsidRPr="00FA1639" w:rsidRDefault="00FA1639" w:rsidP="002906D0">
      <w:pPr>
        <w:pStyle w:val="obyctext"/>
        <w:tabs>
          <w:tab w:val="left" w:pos="0"/>
        </w:tabs>
        <w:spacing w:before="180" w:after="0"/>
        <w:ind w:firstLine="0"/>
        <w:rPr>
          <w:b/>
        </w:rPr>
      </w:pPr>
      <w:r w:rsidRPr="00FA1639">
        <w:t>Počet zaměstnanců ŘVC ČR je pro rok 2025 stanoven ve výši 15 (zaměstnanci v pracovním poměru). Ve srovnání s rokem 2024 nedochází ke změně</w:t>
      </w:r>
      <w:r w:rsidR="002906D0" w:rsidRPr="00FA1639">
        <w:t>.</w:t>
      </w:r>
    </w:p>
    <w:p w14:paraId="1526D591" w14:textId="77777777" w:rsidR="002906D0" w:rsidRPr="00FA1639" w:rsidRDefault="002906D0" w:rsidP="002906D0">
      <w:pPr>
        <w:pStyle w:val="Nadpis8"/>
      </w:pPr>
      <w:r w:rsidRPr="00FA1639">
        <w:t>CSPSD</w:t>
      </w:r>
    </w:p>
    <w:p w14:paraId="47923B37" w14:textId="244BE8D6" w:rsidR="002906D0" w:rsidRPr="00FA1639" w:rsidRDefault="00FA1639" w:rsidP="002906D0">
      <w:pPr>
        <w:pStyle w:val="obyctext"/>
        <w:tabs>
          <w:tab w:val="left" w:pos="0"/>
        </w:tabs>
        <w:spacing w:before="180" w:after="0"/>
        <w:ind w:firstLine="0"/>
      </w:pPr>
      <w:r w:rsidRPr="00FA1639">
        <w:t>Počet zaměstnanců CSPSD je pro rok 2025 stanoven ve výši 80 (zaměstnanci v pracovním poměru). Ve srovnání s rokem 2024 nedochází ke změně</w:t>
      </w:r>
      <w:r w:rsidR="002906D0" w:rsidRPr="00FA1639">
        <w:t>.</w:t>
      </w:r>
    </w:p>
    <w:p w14:paraId="4FF68911" w14:textId="77777777" w:rsidR="002906D0" w:rsidRPr="00394013" w:rsidRDefault="002906D0" w:rsidP="002906D0">
      <w:pPr>
        <w:pStyle w:val="Nadpis9"/>
      </w:pPr>
      <w:r w:rsidRPr="00394013">
        <w:t>C) Průměrný plat</w:t>
      </w:r>
    </w:p>
    <w:p w14:paraId="3FF53415" w14:textId="10017A07" w:rsidR="002906D0" w:rsidRPr="00394013" w:rsidRDefault="00394013" w:rsidP="002906D0">
      <w:pPr>
        <w:pStyle w:val="Styl1"/>
      </w:pPr>
      <w:r w:rsidRPr="00394013">
        <w:t xml:space="preserve">Průměrný plat v kapitole Ministerstvo dopravy je pro rok 2025 navržen ve výši </w:t>
      </w:r>
      <w:r w:rsidRPr="00394013">
        <w:br/>
        <w:t>53 913</w:t>
      </w:r>
      <w:r w:rsidRPr="00394013">
        <w:rPr>
          <w:sz w:val="22"/>
          <w:szCs w:val="22"/>
        </w:rPr>
        <w:t xml:space="preserve"> </w:t>
      </w:r>
      <w:r w:rsidRPr="00394013">
        <w:t>Kč. Ve srovnání s předchozím rokem, kdy byl průměrný plat u schváleného rozpočtu ve výši 51 165 Kč, dochází k jeho zvýšení o 2 748 Kč, tj. o 5,37 %</w:t>
      </w:r>
      <w:r w:rsidR="002906D0" w:rsidRPr="00394013">
        <w:t>.</w:t>
      </w:r>
    </w:p>
    <w:p w14:paraId="3CDBDA7A" w14:textId="150AF3E0" w:rsidR="002906D0" w:rsidRPr="00394013" w:rsidRDefault="002906D0" w:rsidP="002906D0">
      <w:pPr>
        <w:pStyle w:val="Titulek"/>
      </w:pPr>
      <w:r w:rsidRPr="00394013">
        <w:t xml:space="preserve">Tabulka č. </w:t>
      </w:r>
      <w:r w:rsidRPr="00394013">
        <w:rPr>
          <w:noProof/>
        </w:rPr>
        <w:fldChar w:fldCharType="begin"/>
      </w:r>
      <w:r w:rsidRPr="00394013">
        <w:rPr>
          <w:noProof/>
        </w:rPr>
        <w:instrText xml:space="preserve"> SEQ Tabulka \* ARABIC </w:instrText>
      </w:r>
      <w:r w:rsidRPr="00394013">
        <w:rPr>
          <w:noProof/>
        </w:rPr>
        <w:fldChar w:fldCharType="separate"/>
      </w:r>
      <w:r w:rsidR="003B0B01" w:rsidRPr="00394013">
        <w:rPr>
          <w:noProof/>
        </w:rPr>
        <w:t>11</w:t>
      </w:r>
      <w:r w:rsidRPr="00394013">
        <w:rPr>
          <w:noProof/>
        </w:rPr>
        <w:fldChar w:fldCharType="end"/>
      </w:r>
      <w:r w:rsidRPr="00394013">
        <w:t xml:space="preserve"> Vývoj průměrného platu v rámci kapitoly 327-MD </w:t>
      </w:r>
    </w:p>
    <w:tbl>
      <w:tblPr>
        <w:tblStyle w:val="Svtltabulkasmkou1"/>
        <w:tblW w:w="9063"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266"/>
        <w:gridCol w:w="1276"/>
        <w:gridCol w:w="1276"/>
        <w:gridCol w:w="1275"/>
        <w:gridCol w:w="1276"/>
        <w:gridCol w:w="1347"/>
        <w:gridCol w:w="1347"/>
      </w:tblGrid>
      <w:tr w:rsidR="00394013" w:rsidRPr="00394013" w14:paraId="6D6E5B27" w14:textId="77777777" w:rsidTr="001E02BC">
        <w:tc>
          <w:tcPr>
            <w:tcW w:w="1266" w:type="dxa"/>
            <w:vMerge w:val="restart"/>
            <w:tcBorders>
              <w:top w:val="single" w:sz="8" w:space="0" w:color="7F7F7F" w:themeColor="text1" w:themeTint="80"/>
            </w:tcBorders>
            <w:shd w:val="thinReverseDiagStripe" w:color="D9D9D9" w:themeColor="background1" w:themeShade="D9" w:fill="FFFFFF" w:themeFill="background1"/>
            <w:vAlign w:val="center"/>
          </w:tcPr>
          <w:p w14:paraId="595953C9" w14:textId="77777777" w:rsidR="002906D0" w:rsidRPr="00394013" w:rsidRDefault="002906D0" w:rsidP="001E02BC">
            <w:pPr>
              <w:pStyle w:val="Zkladntext"/>
              <w:jc w:val="center"/>
              <w:rPr>
                <w:b/>
                <w:sz w:val="22"/>
                <w:szCs w:val="22"/>
              </w:rPr>
            </w:pPr>
            <w:r w:rsidRPr="00394013">
              <w:rPr>
                <w:b/>
                <w:sz w:val="22"/>
                <w:szCs w:val="22"/>
              </w:rPr>
              <w:t>Průměrný plat</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2F01B36" w14:textId="56DC299C" w:rsidR="002906D0" w:rsidRPr="00394013" w:rsidRDefault="002906D0" w:rsidP="001E02BC">
            <w:pPr>
              <w:jc w:val="center"/>
              <w:rPr>
                <w:rFonts w:cs="Times New Roman"/>
                <w:b/>
                <w:sz w:val="22"/>
              </w:rPr>
            </w:pPr>
            <w:r w:rsidRPr="00394013">
              <w:rPr>
                <w:rFonts w:cs="Times New Roman"/>
                <w:b/>
                <w:sz w:val="22"/>
              </w:rPr>
              <w:t>Skutečnost 20</w:t>
            </w:r>
            <w:r w:rsidR="00394013" w:rsidRPr="00394013">
              <w:rPr>
                <w:rFonts w:cs="Times New Roman"/>
                <w:b/>
                <w:sz w:val="22"/>
              </w:rPr>
              <w:t>20</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6050D49C" w14:textId="2BA7DA88" w:rsidR="002906D0" w:rsidRPr="00394013" w:rsidRDefault="002906D0" w:rsidP="001E02BC">
            <w:pPr>
              <w:jc w:val="center"/>
              <w:rPr>
                <w:rFonts w:cs="Times New Roman"/>
                <w:b/>
                <w:sz w:val="22"/>
              </w:rPr>
            </w:pPr>
            <w:r w:rsidRPr="00394013">
              <w:rPr>
                <w:rFonts w:cs="Times New Roman"/>
                <w:b/>
                <w:sz w:val="22"/>
              </w:rPr>
              <w:t>Skutečnost 202</w:t>
            </w:r>
            <w:r w:rsidR="00394013" w:rsidRPr="00394013">
              <w:rPr>
                <w:rFonts w:cs="Times New Roman"/>
                <w:b/>
                <w:sz w:val="22"/>
              </w:rPr>
              <w:t>1</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17F95764" w14:textId="3AF7DA78" w:rsidR="002906D0" w:rsidRPr="00394013" w:rsidRDefault="002906D0" w:rsidP="001E02BC">
            <w:pPr>
              <w:jc w:val="center"/>
              <w:rPr>
                <w:rFonts w:cs="Times New Roman"/>
                <w:b/>
                <w:sz w:val="22"/>
              </w:rPr>
            </w:pPr>
            <w:r w:rsidRPr="00394013">
              <w:rPr>
                <w:rFonts w:cs="Times New Roman"/>
                <w:b/>
                <w:sz w:val="22"/>
              </w:rPr>
              <w:t>Skutečnost 202</w:t>
            </w:r>
            <w:r w:rsidR="00394013" w:rsidRPr="00394013">
              <w:rPr>
                <w:rFonts w:cs="Times New Roman"/>
                <w:b/>
                <w:sz w:val="22"/>
              </w:rPr>
              <w:t>2</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39A4E53" w14:textId="7589B55E" w:rsidR="002906D0" w:rsidRPr="00394013" w:rsidRDefault="002906D0" w:rsidP="001E02BC">
            <w:pPr>
              <w:jc w:val="center"/>
              <w:rPr>
                <w:rFonts w:cs="Times New Roman"/>
                <w:b/>
                <w:sz w:val="22"/>
              </w:rPr>
            </w:pPr>
            <w:r w:rsidRPr="00394013">
              <w:rPr>
                <w:rFonts w:cs="Times New Roman"/>
                <w:b/>
                <w:sz w:val="22"/>
              </w:rPr>
              <w:t>Skutečnost 202</w:t>
            </w:r>
            <w:r w:rsidR="00394013" w:rsidRPr="00394013">
              <w:rPr>
                <w:rFonts w:cs="Times New Roman"/>
                <w:b/>
                <w:sz w:val="22"/>
              </w:rPr>
              <w:t>3</w:t>
            </w:r>
          </w:p>
        </w:tc>
        <w:tc>
          <w:tcPr>
            <w:tcW w:w="134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61BBAC6D" w14:textId="757FE5B0" w:rsidR="002906D0" w:rsidRPr="00394013" w:rsidRDefault="002906D0" w:rsidP="001E02BC">
            <w:pPr>
              <w:jc w:val="center"/>
              <w:rPr>
                <w:rFonts w:cs="Times New Roman"/>
                <w:b/>
                <w:sz w:val="22"/>
              </w:rPr>
            </w:pPr>
            <w:r w:rsidRPr="00394013">
              <w:rPr>
                <w:rFonts w:cs="Times New Roman"/>
                <w:b/>
                <w:sz w:val="22"/>
              </w:rPr>
              <w:t>Schválený rozpočet 202</w:t>
            </w:r>
            <w:r w:rsidR="00394013" w:rsidRPr="00394013">
              <w:rPr>
                <w:rFonts w:cs="Times New Roman"/>
                <w:b/>
                <w:sz w:val="22"/>
              </w:rPr>
              <w:t>4</w:t>
            </w:r>
          </w:p>
        </w:tc>
        <w:tc>
          <w:tcPr>
            <w:tcW w:w="134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77D2CF79" w14:textId="5650241A" w:rsidR="002906D0" w:rsidRPr="00394013" w:rsidRDefault="002906D0" w:rsidP="001E02BC">
            <w:pPr>
              <w:jc w:val="center"/>
              <w:rPr>
                <w:rFonts w:cs="Times New Roman"/>
                <w:b/>
                <w:sz w:val="22"/>
              </w:rPr>
            </w:pPr>
            <w:r w:rsidRPr="00394013">
              <w:rPr>
                <w:rFonts w:cs="Times New Roman"/>
                <w:b/>
                <w:sz w:val="22"/>
              </w:rPr>
              <w:t>Návrh rozpočtu 202</w:t>
            </w:r>
            <w:r w:rsidR="00394013" w:rsidRPr="00394013">
              <w:rPr>
                <w:rFonts w:cs="Times New Roman"/>
                <w:b/>
                <w:sz w:val="22"/>
              </w:rPr>
              <w:t>5</w:t>
            </w:r>
          </w:p>
        </w:tc>
      </w:tr>
      <w:tr w:rsidR="00394013" w:rsidRPr="00394013" w14:paraId="3080C041" w14:textId="77777777" w:rsidTr="00443D57">
        <w:tc>
          <w:tcPr>
            <w:tcW w:w="1266" w:type="dxa"/>
            <w:vMerge/>
            <w:tcBorders>
              <w:bottom w:val="single" w:sz="8" w:space="0" w:color="7F7F7F" w:themeColor="text1" w:themeTint="80"/>
            </w:tcBorders>
          </w:tcPr>
          <w:p w14:paraId="3DABCD4C" w14:textId="77777777" w:rsidR="00394013" w:rsidRPr="00394013" w:rsidRDefault="00394013" w:rsidP="00394013">
            <w:pPr>
              <w:rPr>
                <w:rFonts w:cs="Times New Roman"/>
                <w:b/>
                <w:szCs w:val="24"/>
              </w:rPr>
            </w:pPr>
          </w:p>
        </w:tc>
        <w:tc>
          <w:tcPr>
            <w:tcW w:w="1276" w:type="dxa"/>
            <w:tcBorders>
              <w:top w:val="single" w:sz="8" w:space="0" w:color="7F7F7F" w:themeColor="text1" w:themeTint="80"/>
              <w:bottom w:val="single" w:sz="8" w:space="0" w:color="7F7F7F" w:themeColor="text1" w:themeTint="80"/>
            </w:tcBorders>
            <w:vAlign w:val="center"/>
          </w:tcPr>
          <w:p w14:paraId="02EFA645" w14:textId="56DF474B" w:rsidR="00394013" w:rsidRPr="00394013" w:rsidRDefault="00394013" w:rsidP="00394013">
            <w:pPr>
              <w:pStyle w:val="Zkladntext"/>
              <w:spacing w:before="81"/>
              <w:jc w:val="right"/>
              <w:rPr>
                <w:bCs w:val="0"/>
                <w:sz w:val="22"/>
                <w:szCs w:val="22"/>
              </w:rPr>
            </w:pPr>
            <w:r w:rsidRPr="00394013">
              <w:rPr>
                <w:sz w:val="22"/>
                <w:szCs w:val="22"/>
              </w:rPr>
              <w:t>52 445</w:t>
            </w:r>
          </w:p>
        </w:tc>
        <w:tc>
          <w:tcPr>
            <w:tcW w:w="1276" w:type="dxa"/>
            <w:tcBorders>
              <w:top w:val="single" w:sz="8" w:space="0" w:color="7F7F7F" w:themeColor="text1" w:themeTint="80"/>
              <w:bottom w:val="single" w:sz="8" w:space="0" w:color="7F7F7F" w:themeColor="text1" w:themeTint="80"/>
            </w:tcBorders>
            <w:vAlign w:val="center"/>
          </w:tcPr>
          <w:p w14:paraId="3ECA4762" w14:textId="0DE8612A" w:rsidR="00394013" w:rsidRPr="00394013" w:rsidRDefault="00394013" w:rsidP="00394013">
            <w:pPr>
              <w:pStyle w:val="Zkladntext"/>
              <w:spacing w:before="81"/>
              <w:jc w:val="right"/>
              <w:rPr>
                <w:bCs w:val="0"/>
                <w:sz w:val="22"/>
                <w:szCs w:val="22"/>
              </w:rPr>
            </w:pPr>
            <w:r w:rsidRPr="00394013">
              <w:rPr>
                <w:sz w:val="22"/>
                <w:szCs w:val="22"/>
              </w:rPr>
              <w:t>52 199</w:t>
            </w:r>
          </w:p>
        </w:tc>
        <w:tc>
          <w:tcPr>
            <w:tcW w:w="1275" w:type="dxa"/>
            <w:tcBorders>
              <w:top w:val="single" w:sz="8" w:space="0" w:color="7F7F7F" w:themeColor="text1" w:themeTint="80"/>
              <w:bottom w:val="single" w:sz="8" w:space="0" w:color="7F7F7F" w:themeColor="text1" w:themeTint="80"/>
            </w:tcBorders>
            <w:vAlign w:val="center"/>
          </w:tcPr>
          <w:p w14:paraId="71215BC9" w14:textId="1E895950" w:rsidR="00394013" w:rsidRPr="00394013" w:rsidRDefault="00394013" w:rsidP="00394013">
            <w:pPr>
              <w:pStyle w:val="Zkladntext"/>
              <w:spacing w:before="81"/>
              <w:jc w:val="right"/>
              <w:rPr>
                <w:bCs w:val="0"/>
                <w:sz w:val="22"/>
                <w:szCs w:val="22"/>
              </w:rPr>
            </w:pPr>
            <w:r w:rsidRPr="00394013">
              <w:rPr>
                <w:sz w:val="22"/>
                <w:szCs w:val="22"/>
              </w:rPr>
              <w:t>54 201</w:t>
            </w:r>
          </w:p>
        </w:tc>
        <w:tc>
          <w:tcPr>
            <w:tcW w:w="1276" w:type="dxa"/>
            <w:tcBorders>
              <w:top w:val="single" w:sz="8" w:space="0" w:color="7F7F7F" w:themeColor="text1" w:themeTint="80"/>
              <w:bottom w:val="single" w:sz="8" w:space="0" w:color="7F7F7F" w:themeColor="text1" w:themeTint="80"/>
            </w:tcBorders>
            <w:vAlign w:val="center"/>
          </w:tcPr>
          <w:p w14:paraId="27CB0F0E" w14:textId="6890E517" w:rsidR="00394013" w:rsidRPr="00394013" w:rsidRDefault="00394013" w:rsidP="00394013">
            <w:pPr>
              <w:pStyle w:val="Zkladntext"/>
              <w:spacing w:before="81"/>
              <w:jc w:val="right"/>
              <w:rPr>
                <w:bCs w:val="0"/>
                <w:sz w:val="22"/>
                <w:szCs w:val="22"/>
              </w:rPr>
            </w:pPr>
            <w:r w:rsidRPr="00394013">
              <w:rPr>
                <w:sz w:val="22"/>
                <w:szCs w:val="22"/>
              </w:rPr>
              <w:t>56 782</w:t>
            </w:r>
          </w:p>
        </w:tc>
        <w:tc>
          <w:tcPr>
            <w:tcW w:w="1347" w:type="dxa"/>
            <w:tcBorders>
              <w:top w:val="single" w:sz="8" w:space="0" w:color="7F7F7F" w:themeColor="text1" w:themeTint="80"/>
              <w:bottom w:val="single" w:sz="8" w:space="0" w:color="7F7F7F" w:themeColor="text1" w:themeTint="80"/>
            </w:tcBorders>
            <w:vAlign w:val="center"/>
          </w:tcPr>
          <w:p w14:paraId="340D4841" w14:textId="4D050BD4" w:rsidR="00394013" w:rsidRPr="00394013" w:rsidRDefault="00394013" w:rsidP="00394013">
            <w:pPr>
              <w:pStyle w:val="Zkladntext"/>
              <w:spacing w:before="81"/>
              <w:jc w:val="right"/>
              <w:rPr>
                <w:bCs w:val="0"/>
                <w:sz w:val="22"/>
                <w:szCs w:val="22"/>
              </w:rPr>
            </w:pPr>
            <w:r w:rsidRPr="00394013">
              <w:rPr>
                <w:sz w:val="22"/>
                <w:szCs w:val="22"/>
              </w:rPr>
              <w:t>51 165</w:t>
            </w:r>
          </w:p>
        </w:tc>
        <w:tc>
          <w:tcPr>
            <w:tcW w:w="1347" w:type="dxa"/>
            <w:tcBorders>
              <w:top w:val="single" w:sz="8" w:space="0" w:color="7F7F7F" w:themeColor="text1" w:themeTint="80"/>
              <w:bottom w:val="single" w:sz="8" w:space="0" w:color="7F7F7F" w:themeColor="text1" w:themeTint="80"/>
            </w:tcBorders>
            <w:vAlign w:val="center"/>
          </w:tcPr>
          <w:p w14:paraId="7C99B9FB" w14:textId="0466C425" w:rsidR="00394013" w:rsidRPr="00394013" w:rsidRDefault="00394013" w:rsidP="00394013">
            <w:pPr>
              <w:pStyle w:val="Zkladntext"/>
              <w:spacing w:before="81"/>
              <w:jc w:val="right"/>
              <w:rPr>
                <w:bCs w:val="0"/>
                <w:sz w:val="22"/>
                <w:szCs w:val="22"/>
              </w:rPr>
            </w:pPr>
            <w:r w:rsidRPr="00394013">
              <w:rPr>
                <w:sz w:val="22"/>
                <w:szCs w:val="22"/>
              </w:rPr>
              <w:t>53 913</w:t>
            </w:r>
          </w:p>
        </w:tc>
      </w:tr>
    </w:tbl>
    <w:p w14:paraId="565C5102" w14:textId="77777777" w:rsidR="002906D0" w:rsidRPr="00394013" w:rsidRDefault="002906D0" w:rsidP="00346050">
      <w:pPr>
        <w:pStyle w:val="Nadpis9"/>
        <w:spacing w:before="200"/>
      </w:pPr>
      <w:r w:rsidRPr="00394013">
        <w:t>D) Prostředky z rozpočtu EU a finančních mechanismů</w:t>
      </w:r>
    </w:p>
    <w:p w14:paraId="2E9C99F0" w14:textId="3FFA9505" w:rsidR="002906D0" w:rsidRDefault="00394013" w:rsidP="00F6076B">
      <w:pPr>
        <w:pStyle w:val="Styl1"/>
      </w:pPr>
      <w:r w:rsidRPr="00394013">
        <w:t>Prostředky na platy a ostatní platby za provedenou práci z rozpočtu EU a finančních mechanismů jsou pro rok 2025 rozpočtovány v celkové výši 74 336 tis. Kč (podíl SR ve výši 9 661 tis. Kč a podíl EU ve výši 64 675 tis. Kč). Prostředky z rozpočtu EU a finančních mechanismů jsou rozpočtované u ústředního orgánu MD a Státní plavební správy</w:t>
      </w:r>
      <w:r w:rsidR="002906D0" w:rsidRPr="00394013">
        <w:t xml:space="preserve">. </w:t>
      </w:r>
    </w:p>
    <w:p w14:paraId="361BD8D1" w14:textId="77777777" w:rsidR="00FF64C1" w:rsidRPr="00394013" w:rsidRDefault="00FF64C1" w:rsidP="00F6076B">
      <w:pPr>
        <w:pStyle w:val="Styl1"/>
      </w:pPr>
    </w:p>
    <w:p w14:paraId="48CA485B" w14:textId="10FCF913" w:rsidR="002906D0" w:rsidRPr="00394013" w:rsidRDefault="002906D0" w:rsidP="002906D0">
      <w:pPr>
        <w:pStyle w:val="Titulek"/>
        <w:spacing w:before="240"/>
      </w:pPr>
      <w:r w:rsidRPr="00394013">
        <w:lastRenderedPageBreak/>
        <w:t xml:space="preserve">Tabulka č. </w:t>
      </w:r>
      <w:r w:rsidRPr="00394013">
        <w:rPr>
          <w:noProof/>
        </w:rPr>
        <w:fldChar w:fldCharType="begin"/>
      </w:r>
      <w:r w:rsidRPr="00394013">
        <w:rPr>
          <w:noProof/>
        </w:rPr>
        <w:instrText xml:space="preserve"> SEQ Tabulka \* ARABIC </w:instrText>
      </w:r>
      <w:r w:rsidRPr="00394013">
        <w:rPr>
          <w:noProof/>
        </w:rPr>
        <w:fldChar w:fldCharType="separate"/>
      </w:r>
      <w:r w:rsidR="003B0B01" w:rsidRPr="00394013">
        <w:rPr>
          <w:noProof/>
        </w:rPr>
        <w:t>12</w:t>
      </w:r>
      <w:r w:rsidRPr="00394013">
        <w:rPr>
          <w:noProof/>
        </w:rPr>
        <w:fldChar w:fldCharType="end"/>
      </w:r>
      <w:r w:rsidRPr="00394013">
        <w:t xml:space="preserve"> Přehled prostředků na platy a ostatní platby za provedenou práci z rozpočtu EU a finančních mechanismů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394013" w:rsidRPr="00394013" w14:paraId="053C0E8A" w14:textId="77777777" w:rsidTr="001E02B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3469F6E" w14:textId="77777777" w:rsidR="002906D0" w:rsidRPr="00394013" w:rsidRDefault="002906D0" w:rsidP="001E02BC">
            <w:pPr>
              <w:spacing w:before="27" w:after="27"/>
              <w:rPr>
                <w:rFonts w:eastAsia="Times New Roman" w:cs="Times New Roman"/>
                <w:b/>
                <w:lang w:eastAsia="cs-CZ"/>
              </w:rPr>
            </w:pPr>
            <w:r w:rsidRPr="00394013">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75F06AC" w14:textId="77777777" w:rsidR="002906D0" w:rsidRPr="00394013" w:rsidRDefault="002906D0" w:rsidP="001E02BC">
            <w:pPr>
              <w:spacing w:before="27" w:after="27"/>
              <w:ind w:firstLine="366"/>
              <w:rPr>
                <w:rFonts w:eastAsia="Times New Roman" w:cs="Times New Roman"/>
                <w:b/>
                <w:lang w:eastAsia="cs-CZ"/>
              </w:rPr>
            </w:pPr>
            <w:r w:rsidRPr="00394013">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38FA171" w14:textId="77777777" w:rsidR="002906D0" w:rsidRPr="00394013" w:rsidRDefault="002906D0" w:rsidP="001E02BC">
            <w:pPr>
              <w:spacing w:before="27" w:after="27"/>
              <w:ind w:firstLine="366"/>
              <w:rPr>
                <w:rFonts w:eastAsia="Times New Roman" w:cs="Times New Roman"/>
                <w:b/>
                <w:lang w:eastAsia="cs-CZ"/>
              </w:rPr>
            </w:pPr>
            <w:r w:rsidRPr="00394013">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831454B" w14:textId="77777777" w:rsidR="002906D0" w:rsidRPr="00394013" w:rsidRDefault="002906D0" w:rsidP="001E02BC">
            <w:pPr>
              <w:spacing w:before="27" w:after="27"/>
              <w:jc w:val="center"/>
              <w:rPr>
                <w:rFonts w:eastAsia="Times New Roman" w:cs="Times New Roman"/>
                <w:b/>
                <w:lang w:eastAsia="cs-CZ"/>
              </w:rPr>
            </w:pPr>
            <w:r w:rsidRPr="00394013">
              <w:rPr>
                <w:rFonts w:eastAsia="Times New Roman" w:cs="Times New Roman"/>
                <w:b/>
                <w:lang w:eastAsia="cs-CZ"/>
              </w:rPr>
              <w:t>Celkem</w:t>
            </w:r>
          </w:p>
        </w:tc>
      </w:tr>
      <w:tr w:rsidR="00394013" w:rsidRPr="00394013" w14:paraId="483A1A46"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6C0671C3" w14:textId="1F0B28B5" w:rsidR="00394013" w:rsidRPr="00394013" w:rsidRDefault="00394013" w:rsidP="00394013">
            <w:pPr>
              <w:spacing w:before="60" w:after="60" w:line="240" w:lineRule="auto"/>
              <w:rPr>
                <w:rFonts w:eastAsia="Times New Roman" w:cs="Times New Roman"/>
                <w:lang w:eastAsia="cs-CZ"/>
              </w:rPr>
            </w:pPr>
            <w:r w:rsidRPr="00394013">
              <w:rPr>
                <w:rFonts w:eastAsia="Times New Roman" w:cs="Times New Roman"/>
                <w:lang w:eastAsia="cs-CZ"/>
              </w:rPr>
              <w:t>Program Doprava 2021+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E47376E" w14:textId="6DB99BE0" w:rsidR="00394013" w:rsidRPr="00394013" w:rsidRDefault="00394013" w:rsidP="00394013">
            <w:pPr>
              <w:spacing w:before="27" w:after="27"/>
              <w:jc w:val="right"/>
              <w:rPr>
                <w:rFonts w:eastAsia="Times New Roman" w:cs="Times New Roman"/>
                <w:lang w:eastAsia="cs-CZ"/>
              </w:rPr>
            </w:pPr>
            <w:r w:rsidRPr="00394013">
              <w:t>52 314</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D265EE4" w14:textId="338A4FE2" w:rsidR="00394013" w:rsidRPr="00394013" w:rsidRDefault="00394013" w:rsidP="00394013">
            <w:pPr>
              <w:spacing w:before="27" w:after="27"/>
              <w:jc w:val="right"/>
              <w:rPr>
                <w:rFonts w:eastAsia="Times New Roman" w:cs="Times New Roman"/>
                <w:lang w:eastAsia="cs-CZ"/>
              </w:rPr>
            </w:pPr>
            <w:r w:rsidRPr="00394013">
              <w:t>9 232</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641301D4" w14:textId="6B7B7C8B" w:rsidR="00394013" w:rsidRPr="00394013" w:rsidRDefault="00394013" w:rsidP="00394013">
            <w:pPr>
              <w:spacing w:before="27" w:after="27"/>
              <w:jc w:val="right"/>
              <w:rPr>
                <w:rFonts w:eastAsia="Times New Roman" w:cs="Times New Roman"/>
                <w:b/>
                <w:lang w:eastAsia="cs-CZ"/>
              </w:rPr>
            </w:pPr>
            <w:r w:rsidRPr="00394013">
              <w:rPr>
                <w:b/>
                <w:bCs/>
              </w:rPr>
              <w:t>61 546</w:t>
            </w:r>
          </w:p>
        </w:tc>
      </w:tr>
      <w:tr w:rsidR="00394013" w:rsidRPr="00394013" w14:paraId="5A505887"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780EDDB9" w14:textId="77777777" w:rsidR="00394013" w:rsidRPr="00394013" w:rsidRDefault="00394013" w:rsidP="00394013">
            <w:pPr>
              <w:spacing w:before="60" w:after="60" w:line="240" w:lineRule="auto"/>
              <w:rPr>
                <w:rFonts w:eastAsia="Times New Roman" w:cs="Times New Roman"/>
                <w:lang w:eastAsia="cs-CZ"/>
              </w:rPr>
            </w:pPr>
            <w:r w:rsidRPr="00394013">
              <w:rPr>
                <w:rFonts w:eastAsia="Times New Roman" w:cs="Times New Roman"/>
                <w:lang w:eastAsia="cs-CZ"/>
              </w:rPr>
              <w:t>Národní plán obnovy</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D5CEA6E" w14:textId="0E44A689" w:rsidR="00394013" w:rsidRPr="00394013" w:rsidRDefault="00394013" w:rsidP="00394013">
            <w:pPr>
              <w:spacing w:before="27" w:after="27"/>
              <w:jc w:val="right"/>
              <w:rPr>
                <w:rFonts w:eastAsia="Times New Roman" w:cs="Times New Roman"/>
                <w:lang w:eastAsia="cs-CZ"/>
              </w:rPr>
            </w:pPr>
            <w:r w:rsidRPr="00394013">
              <w:t>5 738</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09A7147" w14:textId="1FEF181D" w:rsidR="00394013" w:rsidRPr="00394013" w:rsidRDefault="00394013" w:rsidP="00394013">
            <w:pPr>
              <w:spacing w:before="27" w:after="27"/>
              <w:jc w:val="right"/>
              <w:rPr>
                <w:rFonts w:eastAsia="Times New Roman" w:cs="Times New Roman"/>
                <w:lang w:eastAsia="cs-CZ"/>
              </w:rPr>
            </w:pPr>
            <w:r w:rsidRPr="00394013">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5FF8793F" w14:textId="7BBCC79D" w:rsidR="00394013" w:rsidRPr="00394013" w:rsidRDefault="00394013" w:rsidP="00394013">
            <w:pPr>
              <w:spacing w:before="27" w:after="27"/>
              <w:jc w:val="right"/>
              <w:rPr>
                <w:rFonts w:eastAsia="Times New Roman" w:cs="Times New Roman"/>
                <w:b/>
                <w:lang w:eastAsia="cs-CZ"/>
              </w:rPr>
            </w:pPr>
            <w:r w:rsidRPr="00394013">
              <w:rPr>
                <w:b/>
                <w:bCs/>
              </w:rPr>
              <w:t>5 738</w:t>
            </w:r>
          </w:p>
        </w:tc>
      </w:tr>
      <w:tr w:rsidR="00394013" w:rsidRPr="00394013" w14:paraId="167FE888"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28E6D49D" w14:textId="77777777" w:rsidR="00394013" w:rsidRPr="00394013" w:rsidRDefault="00394013" w:rsidP="00394013">
            <w:pPr>
              <w:spacing w:before="60" w:after="60" w:line="240" w:lineRule="auto"/>
              <w:rPr>
                <w:rFonts w:eastAsia="Times New Roman" w:cs="Times New Roman"/>
                <w:lang w:eastAsia="cs-CZ"/>
              </w:rPr>
            </w:pPr>
            <w:r w:rsidRPr="00394013">
              <w:rPr>
                <w:rFonts w:eastAsia="Times New Roman" w:cs="Times New Roman"/>
                <w:lang w:eastAsia="cs-CZ"/>
              </w:rPr>
              <w:t>Komunitární programy EU 2021+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A774315" w14:textId="637F74C8" w:rsidR="00394013" w:rsidRPr="00394013" w:rsidRDefault="00394013" w:rsidP="00394013">
            <w:pPr>
              <w:spacing w:before="27" w:after="27"/>
              <w:jc w:val="right"/>
              <w:rPr>
                <w:rFonts w:eastAsia="Times New Roman" w:cs="Times New Roman"/>
                <w:lang w:eastAsia="cs-CZ"/>
              </w:rPr>
            </w:pPr>
            <w:r w:rsidRPr="00394013">
              <w:t>6 623</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C555160" w14:textId="1DEB5A1F" w:rsidR="00394013" w:rsidRPr="00394013" w:rsidRDefault="00394013" w:rsidP="00394013">
            <w:pPr>
              <w:spacing w:before="27" w:after="27"/>
              <w:jc w:val="right"/>
              <w:rPr>
                <w:rFonts w:eastAsia="Times New Roman" w:cs="Times New Roman"/>
                <w:lang w:eastAsia="cs-CZ"/>
              </w:rPr>
            </w:pPr>
            <w:r w:rsidRPr="00394013">
              <w:t>430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401F940F" w14:textId="6D0EB4CC" w:rsidR="00394013" w:rsidRPr="00394013" w:rsidRDefault="00394013" w:rsidP="00394013">
            <w:pPr>
              <w:spacing w:before="27" w:after="27"/>
              <w:jc w:val="right"/>
              <w:rPr>
                <w:rFonts w:eastAsia="Times New Roman" w:cs="Times New Roman"/>
                <w:b/>
                <w:lang w:eastAsia="cs-CZ"/>
              </w:rPr>
            </w:pPr>
            <w:r w:rsidRPr="00394013">
              <w:rPr>
                <w:b/>
                <w:bCs/>
              </w:rPr>
              <w:t>7 053</w:t>
            </w:r>
          </w:p>
        </w:tc>
      </w:tr>
      <w:tr w:rsidR="00394013" w:rsidRPr="00394013" w14:paraId="36755E8E" w14:textId="77777777" w:rsidTr="001E02B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4085E28" w14:textId="77777777" w:rsidR="00394013" w:rsidRPr="00394013" w:rsidRDefault="00394013" w:rsidP="00394013">
            <w:pPr>
              <w:spacing w:before="60" w:after="60" w:line="240" w:lineRule="auto"/>
              <w:rPr>
                <w:rFonts w:eastAsia="Times New Roman" w:cs="Times New Roman"/>
                <w:b/>
                <w:lang w:eastAsia="cs-CZ"/>
              </w:rPr>
            </w:pPr>
            <w:r w:rsidRPr="00394013">
              <w:rPr>
                <w:rFonts w:eastAsia="Times New Roman" w:cs="Times New Roman"/>
                <w:b/>
                <w:lang w:eastAsia="cs-CZ"/>
              </w:rPr>
              <w:t>Celkem</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010F994" w14:textId="382516F4" w:rsidR="00394013" w:rsidRPr="00394013" w:rsidRDefault="00394013" w:rsidP="00394013">
            <w:pPr>
              <w:spacing w:before="27" w:after="27"/>
              <w:jc w:val="right"/>
              <w:rPr>
                <w:rFonts w:eastAsia="Times New Roman" w:cs="Times New Roman"/>
                <w:b/>
                <w:lang w:eastAsia="cs-CZ"/>
              </w:rPr>
            </w:pPr>
            <w:r w:rsidRPr="00394013">
              <w:rPr>
                <w:b/>
                <w:bCs/>
              </w:rPr>
              <w:t>64 675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6435C75" w14:textId="2F25CB25" w:rsidR="00394013" w:rsidRPr="00394013" w:rsidRDefault="00394013" w:rsidP="00394013">
            <w:pPr>
              <w:spacing w:before="27" w:after="27"/>
              <w:jc w:val="right"/>
              <w:rPr>
                <w:rFonts w:eastAsia="Times New Roman" w:cs="Times New Roman"/>
                <w:b/>
                <w:lang w:eastAsia="cs-CZ"/>
              </w:rPr>
            </w:pPr>
            <w:r w:rsidRPr="00394013">
              <w:rPr>
                <w:b/>
                <w:bCs/>
              </w:rPr>
              <w:t>9 661</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113EEF77" w14:textId="0BA62E77" w:rsidR="00394013" w:rsidRPr="00394013" w:rsidRDefault="00394013" w:rsidP="00394013">
            <w:pPr>
              <w:spacing w:before="27" w:after="27"/>
              <w:jc w:val="right"/>
              <w:rPr>
                <w:rFonts w:eastAsia="Times New Roman" w:cs="Times New Roman"/>
                <w:b/>
                <w:lang w:eastAsia="cs-CZ"/>
              </w:rPr>
            </w:pPr>
            <w:r w:rsidRPr="00394013">
              <w:rPr>
                <w:b/>
                <w:bCs/>
              </w:rPr>
              <w:t>74 336</w:t>
            </w:r>
          </w:p>
        </w:tc>
      </w:tr>
    </w:tbl>
    <w:p w14:paraId="4FB93B83" w14:textId="79F606BD" w:rsidR="002906D0" w:rsidRPr="00394013" w:rsidRDefault="00EE1FEE" w:rsidP="002906D0">
      <w:pPr>
        <w:pStyle w:val="Nadpis8"/>
      </w:pPr>
      <w:r w:rsidRPr="00394013">
        <w:t>P</w:t>
      </w:r>
      <w:r w:rsidR="002906D0" w:rsidRPr="00394013">
        <w:t xml:space="preserve">rogram Doprava 2021+ (týká se jen ÚO MD; podíl SR 15 %, podíl EU 85 %)  </w:t>
      </w:r>
    </w:p>
    <w:p w14:paraId="33226926" w14:textId="77777777" w:rsidR="00394013" w:rsidRPr="00394013" w:rsidRDefault="00394013" w:rsidP="00394013">
      <w:pPr>
        <w:pStyle w:val="Styl1"/>
        <w:numPr>
          <w:ilvl w:val="0"/>
          <w:numId w:val="14"/>
        </w:numPr>
        <w:spacing w:before="60" w:after="0"/>
        <w:ind w:left="567" w:hanging="283"/>
      </w:pPr>
      <w:r w:rsidRPr="00394013">
        <w:t>prostředky na platy ve výši 8 932 tis. Kč ze státního rozpočtu a 50 614 tis. Kč z rozpočtu EU, celkem ve výši 59 546 tis. Kč;</w:t>
      </w:r>
    </w:p>
    <w:p w14:paraId="4A2899F1" w14:textId="77777777" w:rsidR="00394013" w:rsidRPr="00394013" w:rsidRDefault="00394013" w:rsidP="00394013">
      <w:pPr>
        <w:pStyle w:val="Styl1"/>
        <w:numPr>
          <w:ilvl w:val="0"/>
          <w:numId w:val="14"/>
        </w:numPr>
        <w:spacing w:before="60" w:after="0"/>
        <w:ind w:left="567" w:hanging="283"/>
      </w:pPr>
      <w:r w:rsidRPr="00394013">
        <w:t>ostatní platby za provedenou práci ve výši 300 tis. Kč ze státního rozpočtu a 1 700 tis. Kč z rozpočtu EU, celkem ve výši 2 000 tis. Kč;</w:t>
      </w:r>
    </w:p>
    <w:p w14:paraId="14FFC482" w14:textId="4A478AF6" w:rsidR="00394013" w:rsidRPr="00394013" w:rsidRDefault="00394013" w:rsidP="00394013">
      <w:pPr>
        <w:pStyle w:val="Styl1"/>
        <w:numPr>
          <w:ilvl w:val="0"/>
          <w:numId w:val="14"/>
        </w:numPr>
        <w:spacing w:before="60" w:after="0"/>
        <w:ind w:left="567" w:hanging="283"/>
      </w:pPr>
      <w:r w:rsidRPr="00394013">
        <w:t xml:space="preserve">počet 78 zaměstnanců přepočtených plně zapojených do implementace OPD </w:t>
      </w:r>
      <w:r w:rsidRPr="00394013">
        <w:br/>
        <w:t>(v tom: 43 kmenoví zaměstnanci a 41 jednorázové navýšení, 40 motivace)</w:t>
      </w:r>
      <w:r>
        <w:t>.</w:t>
      </w:r>
    </w:p>
    <w:p w14:paraId="008EB605" w14:textId="77777777" w:rsidR="002906D0" w:rsidRPr="00394013" w:rsidRDefault="002906D0" w:rsidP="002906D0">
      <w:pPr>
        <w:pStyle w:val="Nadpis8"/>
      </w:pPr>
      <w:r w:rsidRPr="00394013">
        <w:t xml:space="preserve">Národní plán obnovy (týká se jen ÚO MD; podíl EU 100 %)  </w:t>
      </w:r>
    </w:p>
    <w:p w14:paraId="3DEE9736" w14:textId="77777777" w:rsidR="00394013" w:rsidRPr="00394013" w:rsidRDefault="00394013" w:rsidP="00394013">
      <w:pPr>
        <w:pStyle w:val="Styl1"/>
        <w:numPr>
          <w:ilvl w:val="0"/>
          <w:numId w:val="14"/>
        </w:numPr>
        <w:spacing w:before="60" w:after="0"/>
        <w:ind w:left="567" w:hanging="283"/>
      </w:pPr>
      <w:r w:rsidRPr="00394013">
        <w:t>prostředky na platy ve výši 3 968 tis. Kč z rozpočtu EU;</w:t>
      </w:r>
    </w:p>
    <w:p w14:paraId="052BC4F8" w14:textId="77777777" w:rsidR="00394013" w:rsidRPr="00394013" w:rsidRDefault="00394013" w:rsidP="00394013">
      <w:pPr>
        <w:pStyle w:val="Styl1"/>
        <w:numPr>
          <w:ilvl w:val="0"/>
          <w:numId w:val="14"/>
        </w:numPr>
        <w:spacing w:before="60" w:after="0"/>
        <w:ind w:left="567" w:hanging="283"/>
      </w:pPr>
      <w:r w:rsidRPr="00394013">
        <w:t>ostatní platby za provedenou práci ve výši 1 770 tis. Kč z rozpočtu EU;</w:t>
      </w:r>
    </w:p>
    <w:p w14:paraId="7629D573" w14:textId="7B30031B" w:rsidR="00394013" w:rsidRPr="00394013" w:rsidRDefault="00394013" w:rsidP="00394013">
      <w:pPr>
        <w:pStyle w:val="Styl1"/>
        <w:numPr>
          <w:ilvl w:val="0"/>
          <w:numId w:val="14"/>
        </w:numPr>
        <w:spacing w:before="60" w:after="0"/>
        <w:ind w:left="567" w:hanging="283"/>
      </w:pPr>
      <w:r w:rsidRPr="00394013">
        <w:t>počet zaměstnanců 6 (jednorázové navýšení)</w:t>
      </w:r>
    </w:p>
    <w:p w14:paraId="3A56F856" w14:textId="77777777" w:rsidR="002906D0" w:rsidRPr="006070FC" w:rsidRDefault="002906D0" w:rsidP="002906D0">
      <w:pPr>
        <w:pStyle w:val="Nadpis8"/>
      </w:pPr>
      <w:r w:rsidRPr="006070FC">
        <w:t xml:space="preserve">Komunitární programy EU 2021+ </w:t>
      </w:r>
    </w:p>
    <w:p w14:paraId="3581CDF7" w14:textId="1558CA20" w:rsidR="002906D0" w:rsidRPr="006070FC" w:rsidRDefault="002906D0" w:rsidP="002906D0">
      <w:pPr>
        <w:pStyle w:val="Odstavecseseznamem"/>
        <w:numPr>
          <w:ilvl w:val="0"/>
          <w:numId w:val="10"/>
        </w:numPr>
        <w:tabs>
          <w:tab w:val="left" w:pos="2410"/>
        </w:tabs>
        <w:spacing w:before="240"/>
        <w:ind w:left="284" w:hanging="284"/>
      </w:pPr>
      <w:r w:rsidRPr="006070FC">
        <w:t>Ho</w:t>
      </w:r>
      <w:r w:rsidR="006070FC" w:rsidRPr="006070FC">
        <w:t>r</w:t>
      </w:r>
      <w:r w:rsidRPr="006070FC">
        <w:t>izont Evropa (týká se ÚO MD, podíl EU 100 %)</w:t>
      </w:r>
    </w:p>
    <w:p w14:paraId="4FC74496" w14:textId="2FD4D82F" w:rsidR="002906D0" w:rsidRPr="006070FC" w:rsidRDefault="002906D0" w:rsidP="002906D0">
      <w:pPr>
        <w:pStyle w:val="obyctext"/>
        <w:numPr>
          <w:ilvl w:val="0"/>
          <w:numId w:val="15"/>
        </w:numPr>
        <w:tabs>
          <w:tab w:val="left" w:pos="2410"/>
        </w:tabs>
        <w:spacing w:before="60" w:after="0"/>
        <w:ind w:left="567" w:hanging="283"/>
      </w:pPr>
      <w:r w:rsidRPr="006070FC">
        <w:t>prostředky na platy ve výši 1</w:t>
      </w:r>
      <w:r w:rsidR="006070FC" w:rsidRPr="006070FC">
        <w:t>46</w:t>
      </w:r>
      <w:r w:rsidRPr="006070FC">
        <w:t xml:space="preserve"> tis. Kč z rozpočtu EU;</w:t>
      </w:r>
    </w:p>
    <w:p w14:paraId="2A9F0FC0" w14:textId="6AE52901" w:rsidR="002906D0" w:rsidRPr="006070FC" w:rsidRDefault="002906D0" w:rsidP="002906D0">
      <w:pPr>
        <w:pStyle w:val="obyctext"/>
        <w:numPr>
          <w:ilvl w:val="0"/>
          <w:numId w:val="15"/>
        </w:numPr>
        <w:tabs>
          <w:tab w:val="left" w:pos="2410"/>
        </w:tabs>
        <w:spacing w:before="60" w:after="0"/>
        <w:ind w:left="567" w:hanging="283"/>
      </w:pPr>
      <w:r w:rsidRPr="006070FC">
        <w:t xml:space="preserve">ostatní platby za provedenou práci ve výši </w:t>
      </w:r>
      <w:r w:rsidR="006070FC" w:rsidRPr="006070FC">
        <w:t>42</w:t>
      </w:r>
      <w:r w:rsidRPr="006070FC">
        <w:t xml:space="preserve"> tis. Kč z rozpočtu EU;</w:t>
      </w:r>
    </w:p>
    <w:p w14:paraId="332C09C0" w14:textId="77777777" w:rsidR="002906D0" w:rsidRPr="006070FC" w:rsidRDefault="002906D0" w:rsidP="002906D0">
      <w:pPr>
        <w:pStyle w:val="obyctext"/>
        <w:numPr>
          <w:ilvl w:val="0"/>
          <w:numId w:val="15"/>
        </w:numPr>
        <w:tabs>
          <w:tab w:val="left" w:pos="2410"/>
        </w:tabs>
        <w:spacing w:before="60" w:after="0"/>
        <w:ind w:left="567" w:hanging="283"/>
      </w:pPr>
      <w:r w:rsidRPr="006070FC">
        <w:t>počet zaměstnanců 4 (motivace).</w:t>
      </w:r>
    </w:p>
    <w:p w14:paraId="3B7ECBCA" w14:textId="77777777" w:rsidR="002906D0" w:rsidRPr="006070FC" w:rsidRDefault="002906D0" w:rsidP="002906D0">
      <w:pPr>
        <w:pStyle w:val="Odstavecseseznamem"/>
        <w:numPr>
          <w:ilvl w:val="0"/>
          <w:numId w:val="10"/>
        </w:numPr>
        <w:tabs>
          <w:tab w:val="left" w:pos="2410"/>
        </w:tabs>
        <w:spacing w:before="240"/>
        <w:ind w:left="284" w:hanging="284"/>
      </w:pPr>
      <w:r w:rsidRPr="006070FC">
        <w:t>TP CEF (týká se ÚO MD, podíl EU 100 %)</w:t>
      </w:r>
    </w:p>
    <w:p w14:paraId="0A5CD156" w14:textId="0377A1E6" w:rsidR="002906D0" w:rsidRPr="006070FC" w:rsidRDefault="002906D0" w:rsidP="002906D0">
      <w:pPr>
        <w:pStyle w:val="obyctext"/>
        <w:numPr>
          <w:ilvl w:val="0"/>
          <w:numId w:val="15"/>
        </w:numPr>
        <w:tabs>
          <w:tab w:val="left" w:pos="2410"/>
        </w:tabs>
        <w:spacing w:before="60" w:after="0"/>
        <w:ind w:left="567" w:hanging="283"/>
      </w:pPr>
      <w:r w:rsidRPr="006070FC">
        <w:t xml:space="preserve">prostředky na platy ve výši </w:t>
      </w:r>
      <w:r w:rsidR="006070FC" w:rsidRPr="006070FC">
        <w:t>4 892</w:t>
      </w:r>
      <w:r w:rsidRPr="006070FC">
        <w:t xml:space="preserve"> tis. Kč z rozpočtu EU;</w:t>
      </w:r>
    </w:p>
    <w:p w14:paraId="5B06F76F" w14:textId="77777777" w:rsidR="002906D0" w:rsidRPr="006070FC" w:rsidRDefault="002906D0" w:rsidP="002906D0">
      <w:pPr>
        <w:pStyle w:val="obyctext"/>
        <w:numPr>
          <w:ilvl w:val="0"/>
          <w:numId w:val="15"/>
        </w:numPr>
        <w:tabs>
          <w:tab w:val="left" w:pos="2410"/>
        </w:tabs>
        <w:spacing w:before="60" w:after="0"/>
        <w:ind w:left="567" w:hanging="283"/>
      </w:pPr>
      <w:r w:rsidRPr="006070FC">
        <w:t>počet zaměstnanců 2,6 (kmenoví zam.), 1 (jednorázové navýšení) a 23 (motivace).</w:t>
      </w:r>
    </w:p>
    <w:p w14:paraId="354F37D7" w14:textId="30A2356C" w:rsidR="002906D0" w:rsidRPr="006070FC" w:rsidRDefault="006070FC" w:rsidP="002906D0">
      <w:pPr>
        <w:pStyle w:val="Odstavecseseznamem"/>
        <w:numPr>
          <w:ilvl w:val="0"/>
          <w:numId w:val="10"/>
        </w:numPr>
        <w:tabs>
          <w:tab w:val="left" w:pos="2410"/>
        </w:tabs>
        <w:spacing w:before="240"/>
        <w:ind w:left="284" w:hanging="284"/>
      </w:pPr>
      <w:r w:rsidRPr="006070FC">
        <w:t>CEF 2 CROADS-Extended (týká se ÚO MD, podíl SR 50 %, podíl EU 50 %</w:t>
      </w:r>
      <w:r w:rsidR="002906D0" w:rsidRPr="006070FC">
        <w:t>)</w:t>
      </w:r>
    </w:p>
    <w:p w14:paraId="36535CC7" w14:textId="77777777" w:rsidR="006070FC" w:rsidRPr="006070FC" w:rsidRDefault="006070FC" w:rsidP="006070FC">
      <w:pPr>
        <w:pStyle w:val="obyctext"/>
        <w:numPr>
          <w:ilvl w:val="0"/>
          <w:numId w:val="15"/>
        </w:numPr>
        <w:tabs>
          <w:tab w:val="left" w:pos="2410"/>
        </w:tabs>
        <w:spacing w:before="60" w:after="0"/>
        <w:ind w:left="567" w:hanging="283"/>
      </w:pPr>
      <w:r w:rsidRPr="006070FC">
        <w:t>prostředky na platy ve výši 86 tis. Kč ze státního rozpočtu a 86 tis. Kč z rozpočtu EU, celkem ve výši 172 tis. Kč;</w:t>
      </w:r>
    </w:p>
    <w:p w14:paraId="371B1E94" w14:textId="77777777" w:rsidR="006070FC" w:rsidRPr="006070FC" w:rsidRDefault="006070FC" w:rsidP="006070FC">
      <w:pPr>
        <w:pStyle w:val="obyctext"/>
        <w:numPr>
          <w:ilvl w:val="0"/>
          <w:numId w:val="15"/>
        </w:numPr>
        <w:tabs>
          <w:tab w:val="left" w:pos="2410"/>
        </w:tabs>
        <w:spacing w:before="60" w:after="0"/>
        <w:ind w:left="567" w:hanging="283"/>
      </w:pPr>
      <w:r w:rsidRPr="006070FC">
        <w:t>ostatní platby za provedenou práci ve výši 43 tis. Kč ze státního rozpočtu a 43 tis. Kč z rozpočtu EU, celkem ve výši 87 tis. Kč;</w:t>
      </w:r>
    </w:p>
    <w:p w14:paraId="276705B9" w14:textId="64B851CC" w:rsidR="006070FC" w:rsidRPr="006070FC" w:rsidRDefault="006070FC" w:rsidP="006070FC">
      <w:pPr>
        <w:pStyle w:val="obyctext"/>
        <w:numPr>
          <w:ilvl w:val="0"/>
          <w:numId w:val="15"/>
        </w:numPr>
        <w:tabs>
          <w:tab w:val="left" w:pos="2410"/>
        </w:tabs>
        <w:spacing w:before="60" w:after="0"/>
        <w:ind w:left="567" w:hanging="283"/>
      </w:pPr>
      <w:r w:rsidRPr="006070FC">
        <w:t>počet zaměstnanců 5 (motivace).</w:t>
      </w:r>
    </w:p>
    <w:p w14:paraId="2B19D04F" w14:textId="77777777" w:rsidR="002906D0" w:rsidRPr="006070FC" w:rsidRDefault="002906D0" w:rsidP="002906D0">
      <w:pPr>
        <w:pStyle w:val="Odstavecseseznamem"/>
        <w:numPr>
          <w:ilvl w:val="0"/>
          <w:numId w:val="10"/>
        </w:numPr>
        <w:tabs>
          <w:tab w:val="left" w:pos="2410"/>
        </w:tabs>
        <w:spacing w:before="240"/>
        <w:ind w:left="284" w:hanging="284"/>
      </w:pPr>
      <w:r w:rsidRPr="006070FC">
        <w:t>Kosmický program Unie (týká se ÚO MD, podíl EU 100 %)</w:t>
      </w:r>
    </w:p>
    <w:p w14:paraId="1859390C" w14:textId="3BF55A02" w:rsidR="002906D0" w:rsidRPr="006070FC" w:rsidRDefault="002906D0" w:rsidP="002906D0">
      <w:pPr>
        <w:pStyle w:val="obyctext"/>
        <w:numPr>
          <w:ilvl w:val="0"/>
          <w:numId w:val="15"/>
        </w:numPr>
        <w:tabs>
          <w:tab w:val="left" w:pos="2410"/>
        </w:tabs>
        <w:spacing w:before="60" w:after="0"/>
        <w:ind w:left="567" w:hanging="283"/>
      </w:pPr>
      <w:r w:rsidRPr="006070FC">
        <w:t xml:space="preserve">prostředky na platy ve výši </w:t>
      </w:r>
      <w:r w:rsidR="006070FC" w:rsidRPr="006070FC">
        <w:t>1 114</w:t>
      </w:r>
      <w:r w:rsidRPr="006070FC">
        <w:t xml:space="preserve"> tis. Kč z roz</w:t>
      </w:r>
      <w:r w:rsidR="000D699E" w:rsidRPr="006070FC">
        <w:t>p</w:t>
      </w:r>
      <w:r w:rsidRPr="006070FC">
        <w:t>očtu EU;</w:t>
      </w:r>
    </w:p>
    <w:p w14:paraId="31EE4CBD" w14:textId="77777777" w:rsidR="002906D0" w:rsidRPr="006070FC" w:rsidRDefault="002906D0" w:rsidP="002906D0">
      <w:pPr>
        <w:pStyle w:val="obyctext"/>
        <w:numPr>
          <w:ilvl w:val="0"/>
          <w:numId w:val="15"/>
        </w:numPr>
        <w:tabs>
          <w:tab w:val="left" w:pos="2410"/>
        </w:tabs>
        <w:spacing w:before="60" w:after="0"/>
        <w:ind w:left="567" w:hanging="283"/>
      </w:pPr>
      <w:r w:rsidRPr="006070FC">
        <w:t>počet zaměstnanců 1 (jednorázové navýšení) a 4 (motivace).</w:t>
      </w:r>
    </w:p>
    <w:p w14:paraId="1E02BE29" w14:textId="77777777" w:rsidR="002906D0" w:rsidRPr="006070FC" w:rsidRDefault="002906D0" w:rsidP="002906D0">
      <w:pPr>
        <w:pStyle w:val="Odstavecseseznamem"/>
        <w:numPr>
          <w:ilvl w:val="0"/>
          <w:numId w:val="10"/>
        </w:numPr>
        <w:tabs>
          <w:tab w:val="left" w:pos="284"/>
        </w:tabs>
        <w:spacing w:before="240"/>
        <w:ind w:left="0" w:firstLine="0"/>
      </w:pPr>
      <w:r w:rsidRPr="006070FC">
        <w:lastRenderedPageBreak/>
        <w:t>RIS COMEX II. (týká se SPS, podíl SR 50 %, podíl EU 50 %)</w:t>
      </w:r>
    </w:p>
    <w:p w14:paraId="6A45FA04" w14:textId="333426BD" w:rsidR="002906D0" w:rsidRPr="006070FC" w:rsidRDefault="002906D0" w:rsidP="002906D0">
      <w:pPr>
        <w:pStyle w:val="obyctext"/>
        <w:numPr>
          <w:ilvl w:val="0"/>
          <w:numId w:val="16"/>
        </w:numPr>
        <w:tabs>
          <w:tab w:val="left" w:pos="567"/>
        </w:tabs>
        <w:spacing w:before="60" w:after="0"/>
        <w:ind w:left="567" w:hanging="283"/>
      </w:pPr>
      <w:r w:rsidRPr="006070FC">
        <w:t>prostředky na platy ve výši 3</w:t>
      </w:r>
      <w:r w:rsidR="006070FC" w:rsidRPr="006070FC">
        <w:t>0</w:t>
      </w:r>
      <w:r w:rsidRPr="006070FC">
        <w:t>0 tis. Kč ze státního rozpočtu a 3</w:t>
      </w:r>
      <w:r w:rsidR="006070FC" w:rsidRPr="006070FC">
        <w:t>0</w:t>
      </w:r>
      <w:r w:rsidRPr="006070FC">
        <w:t xml:space="preserve">0 tis. Kč z rozpočtu EU, celkem ve výši </w:t>
      </w:r>
      <w:r w:rsidR="006070FC" w:rsidRPr="006070FC">
        <w:t>60</w:t>
      </w:r>
      <w:r w:rsidRPr="006070FC">
        <w:t>0 tis. Kč;</w:t>
      </w:r>
    </w:p>
    <w:p w14:paraId="19956477" w14:textId="77777777" w:rsidR="002906D0" w:rsidRPr="006070FC" w:rsidRDefault="002906D0" w:rsidP="002906D0">
      <w:pPr>
        <w:pStyle w:val="obyctext"/>
        <w:numPr>
          <w:ilvl w:val="0"/>
          <w:numId w:val="16"/>
        </w:numPr>
        <w:tabs>
          <w:tab w:val="left" w:pos="567"/>
        </w:tabs>
        <w:spacing w:before="60" w:after="0"/>
        <w:ind w:left="567" w:hanging="283"/>
      </w:pPr>
      <w:r w:rsidRPr="006070FC">
        <w:t>počet zaměstnanců 6 (motivace).</w:t>
      </w:r>
    </w:p>
    <w:p w14:paraId="133BEA1F" w14:textId="77777777" w:rsidR="002906D0" w:rsidRPr="006070FC" w:rsidRDefault="002906D0" w:rsidP="002906D0">
      <w:pPr>
        <w:pStyle w:val="Styl1"/>
      </w:pPr>
      <w:r w:rsidRPr="006070FC">
        <w:t>Podrobné informace k jednotlivým programům EU jsou uvedené v části 3.5 Prostředky fondů Evropské unie.</w:t>
      </w:r>
    </w:p>
    <w:p w14:paraId="3DFA73B7" w14:textId="77777777" w:rsidR="00F472F7" w:rsidRPr="00B26573" w:rsidRDefault="00F472F7" w:rsidP="007B2F4B">
      <w:pPr>
        <w:pStyle w:val="Nadpis3"/>
      </w:pPr>
      <w:bookmarkStart w:id="160" w:name="_Toc489274098"/>
      <w:bookmarkStart w:id="161" w:name="_Toc179964095"/>
      <w:r w:rsidRPr="00B26573">
        <w:t>Organizační složky státu</w:t>
      </w:r>
      <w:bookmarkEnd w:id="160"/>
      <w:bookmarkEnd w:id="161"/>
    </w:p>
    <w:bookmarkEnd w:id="156"/>
    <w:p w14:paraId="4C3602D4" w14:textId="77777777" w:rsidR="00BD28A7" w:rsidRPr="00B26573" w:rsidRDefault="00BD28A7" w:rsidP="00CF4AED">
      <w:pPr>
        <w:pStyle w:val="Nadpis9"/>
      </w:pPr>
      <w:r w:rsidRPr="00B26573">
        <w:t>Ústřední orgán MD</w:t>
      </w:r>
    </w:p>
    <w:p w14:paraId="4F176691" w14:textId="77777777" w:rsidR="00730183" w:rsidRPr="00B26573" w:rsidRDefault="00730183" w:rsidP="007D2A71">
      <w:pPr>
        <w:pStyle w:val="Styl1"/>
        <w:spacing w:after="120"/>
      </w:pPr>
      <w:r w:rsidRPr="00B26573">
        <w:t xml:space="preserve">Ministerstvo dopravy ČR je ústředním orgánem státní správy.   </w:t>
      </w:r>
    </w:p>
    <w:p w14:paraId="4FC6A390" w14:textId="6C8FA44F" w:rsidR="00730183" w:rsidRPr="00B26573" w:rsidRDefault="00730183" w:rsidP="007D2A71">
      <w:pPr>
        <w:pStyle w:val="Titulek"/>
      </w:pPr>
      <w:r w:rsidRPr="00B26573">
        <w:t xml:space="preserve">Tabulka č. </w:t>
      </w:r>
      <w:r w:rsidRPr="00B26573">
        <w:fldChar w:fldCharType="begin"/>
      </w:r>
      <w:r w:rsidRPr="00B26573">
        <w:instrText xml:space="preserve"> SEQ Tabulka \* ARABIC </w:instrText>
      </w:r>
      <w:r w:rsidRPr="00B26573">
        <w:fldChar w:fldCharType="separate"/>
      </w:r>
      <w:r w:rsidR="003B0B01" w:rsidRPr="00B26573">
        <w:rPr>
          <w:noProof/>
        </w:rPr>
        <w:t>13</w:t>
      </w:r>
      <w:r w:rsidRPr="00B26573">
        <w:rPr>
          <w:noProof/>
        </w:rPr>
        <w:fldChar w:fldCharType="end"/>
      </w:r>
      <w:r w:rsidRPr="00B26573">
        <w:t xml:space="preserve"> Ústřední orgán MD – běžné výdaje (v tis. Kč)</w:t>
      </w:r>
    </w:p>
    <w:tbl>
      <w:tblPr>
        <w:tblStyle w:val="Svtltabulkasmkou1zvraznn11121"/>
        <w:tblW w:w="4999" w:type="pct"/>
        <w:jc w:val="righ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0"/>
        <w:gridCol w:w="1419"/>
        <w:gridCol w:w="1276"/>
        <w:gridCol w:w="1207"/>
        <w:gridCol w:w="907"/>
      </w:tblGrid>
      <w:tr w:rsidR="00B26573" w:rsidRPr="00B26573" w14:paraId="6FB8DC14" w14:textId="77777777" w:rsidTr="00C36AC5">
        <w:trPr>
          <w:trHeight w:val="979"/>
          <w:jc w:val="right"/>
        </w:trPr>
        <w:tc>
          <w:tcPr>
            <w:tcW w:w="234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2C6D7CB" w14:textId="77777777" w:rsidR="00E44EB2" w:rsidRPr="00B26573" w:rsidRDefault="00E44EB2" w:rsidP="00E44EB2">
            <w:pPr>
              <w:jc w:val="center"/>
            </w:pPr>
            <w:r w:rsidRPr="00B26573">
              <w:t>Ukazatel</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15141CB" w14:textId="5B0EF672" w:rsidR="00E44EB2" w:rsidRPr="00B26573" w:rsidRDefault="00E44EB2" w:rsidP="00E44EB2">
            <w:pPr>
              <w:jc w:val="center"/>
            </w:pPr>
            <w:r w:rsidRPr="00B26573">
              <w:t>Skutečnost 202</w:t>
            </w:r>
            <w:r w:rsidR="0050605D" w:rsidRPr="00B26573">
              <w:t>3</w:t>
            </w:r>
          </w:p>
        </w:tc>
        <w:tc>
          <w:tcPr>
            <w:tcW w:w="70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555C152" w14:textId="77777777" w:rsidR="00E44EB2" w:rsidRPr="00B26573" w:rsidRDefault="00E44EB2" w:rsidP="00E44EB2">
            <w:pPr>
              <w:jc w:val="center"/>
            </w:pPr>
            <w:r w:rsidRPr="00B26573">
              <w:t>Schválený</w:t>
            </w:r>
          </w:p>
          <w:p w14:paraId="05E63697" w14:textId="77777777" w:rsidR="00E44EB2" w:rsidRPr="00B26573" w:rsidRDefault="00E44EB2" w:rsidP="00E44EB2">
            <w:pPr>
              <w:jc w:val="center"/>
            </w:pPr>
            <w:r w:rsidRPr="00B26573">
              <w:t>rozpočet</w:t>
            </w:r>
          </w:p>
          <w:p w14:paraId="6BC9037D" w14:textId="7C48F736" w:rsidR="00E44EB2" w:rsidRPr="00B26573" w:rsidRDefault="00E44EB2" w:rsidP="00E44EB2">
            <w:pPr>
              <w:ind w:left="-47"/>
              <w:jc w:val="center"/>
            </w:pPr>
            <w:r w:rsidRPr="00B26573">
              <w:t>202</w:t>
            </w:r>
            <w:r w:rsidR="0050605D" w:rsidRPr="00B26573">
              <w:t>4</w:t>
            </w:r>
          </w:p>
        </w:tc>
        <w:tc>
          <w:tcPr>
            <w:tcW w:w="66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997BAF0" w14:textId="77777777" w:rsidR="00E44EB2" w:rsidRPr="00B26573" w:rsidRDefault="00E44EB2" w:rsidP="00E44EB2">
            <w:pPr>
              <w:jc w:val="center"/>
            </w:pPr>
            <w:r w:rsidRPr="00B26573">
              <w:t>Návrh</w:t>
            </w:r>
          </w:p>
          <w:p w14:paraId="6CEB4BA5" w14:textId="77777777" w:rsidR="00E44EB2" w:rsidRPr="00B26573" w:rsidRDefault="00E44EB2" w:rsidP="00E44EB2">
            <w:pPr>
              <w:jc w:val="center"/>
            </w:pPr>
            <w:r w:rsidRPr="00B26573">
              <w:t>rozpočtu</w:t>
            </w:r>
          </w:p>
          <w:p w14:paraId="19C1FD91" w14:textId="4ECAE0B6" w:rsidR="00E44EB2" w:rsidRPr="00B26573" w:rsidRDefault="00E44EB2" w:rsidP="00E44EB2">
            <w:pPr>
              <w:jc w:val="center"/>
            </w:pPr>
            <w:r w:rsidRPr="00B26573">
              <w:t>202</w:t>
            </w:r>
            <w:r w:rsidR="0050605D" w:rsidRPr="00B26573">
              <w:t>5</w:t>
            </w:r>
          </w:p>
        </w:tc>
        <w:tc>
          <w:tcPr>
            <w:tcW w:w="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2296AA2" w14:textId="77777777" w:rsidR="00E44EB2" w:rsidRPr="00B26573" w:rsidRDefault="00E44EB2" w:rsidP="00E44EB2">
            <w:pPr>
              <w:jc w:val="center"/>
            </w:pPr>
            <w:r w:rsidRPr="00B26573">
              <w:t>Index</w:t>
            </w:r>
          </w:p>
          <w:p w14:paraId="49ECA337" w14:textId="7E6893F4" w:rsidR="00E44EB2" w:rsidRPr="00B26573" w:rsidRDefault="00E44EB2" w:rsidP="00E44EB2">
            <w:pPr>
              <w:jc w:val="center"/>
            </w:pPr>
            <w:r w:rsidRPr="00B26573">
              <w:t>202</w:t>
            </w:r>
            <w:r w:rsidR="0050605D" w:rsidRPr="00B26573">
              <w:t>5</w:t>
            </w:r>
            <w:r w:rsidRPr="00B26573">
              <w:t>/</w:t>
            </w:r>
            <w:r w:rsidRPr="00B26573">
              <w:br/>
              <w:t>202</w:t>
            </w:r>
            <w:r w:rsidR="0050605D" w:rsidRPr="00B26573">
              <w:t>4</w:t>
            </w:r>
          </w:p>
          <w:p w14:paraId="163E5112" w14:textId="77777777" w:rsidR="00E44EB2" w:rsidRPr="00B26573" w:rsidRDefault="00E44EB2" w:rsidP="00E44EB2">
            <w:pPr>
              <w:jc w:val="center"/>
            </w:pPr>
            <w:r w:rsidRPr="00B26573">
              <w:t>(v %)</w:t>
            </w:r>
          </w:p>
        </w:tc>
      </w:tr>
      <w:tr w:rsidR="00B26573" w:rsidRPr="00B26573" w14:paraId="44D68DB2" w14:textId="77777777" w:rsidTr="00C36AC5">
        <w:trPr>
          <w:trHeight w:val="136"/>
          <w:jc w:val="right"/>
        </w:trPr>
        <w:tc>
          <w:tcPr>
            <w:tcW w:w="2343" w:type="pct"/>
            <w:tcBorders>
              <w:top w:val="single" w:sz="4" w:space="0" w:color="7F7F7F" w:themeColor="text1" w:themeTint="80"/>
              <w:bottom w:val="single" w:sz="8" w:space="0" w:color="7F7F7F" w:themeColor="text1" w:themeTint="80"/>
            </w:tcBorders>
            <w:shd w:val="clear" w:color="auto" w:fill="auto"/>
          </w:tcPr>
          <w:p w14:paraId="21DFE27B" w14:textId="77777777" w:rsidR="00E44EB2" w:rsidRPr="00B26573" w:rsidRDefault="00E44EB2" w:rsidP="00E44EB2">
            <w:pPr>
              <w:jc w:val="center"/>
            </w:pPr>
            <w:r w:rsidRPr="00B26573">
              <w:t>a</w:t>
            </w:r>
          </w:p>
        </w:tc>
        <w:tc>
          <w:tcPr>
            <w:tcW w:w="784" w:type="pct"/>
            <w:tcBorders>
              <w:top w:val="single" w:sz="4" w:space="0" w:color="7F7F7F" w:themeColor="text1" w:themeTint="80"/>
              <w:bottom w:val="single" w:sz="8" w:space="0" w:color="7F7F7F" w:themeColor="text1" w:themeTint="80"/>
            </w:tcBorders>
            <w:shd w:val="clear" w:color="auto" w:fill="auto"/>
          </w:tcPr>
          <w:p w14:paraId="25003BDD" w14:textId="77777777" w:rsidR="00E44EB2" w:rsidRPr="00B26573" w:rsidRDefault="00E44EB2" w:rsidP="00E44EB2">
            <w:pPr>
              <w:jc w:val="center"/>
            </w:pPr>
            <w:r w:rsidRPr="00B26573">
              <w:t>1</w:t>
            </w:r>
          </w:p>
        </w:tc>
        <w:tc>
          <w:tcPr>
            <w:tcW w:w="705" w:type="pct"/>
            <w:tcBorders>
              <w:top w:val="single" w:sz="4" w:space="0" w:color="7F7F7F" w:themeColor="text1" w:themeTint="80"/>
              <w:bottom w:val="single" w:sz="8" w:space="0" w:color="7F7F7F" w:themeColor="text1" w:themeTint="80"/>
            </w:tcBorders>
            <w:shd w:val="clear" w:color="auto" w:fill="auto"/>
          </w:tcPr>
          <w:p w14:paraId="15054316" w14:textId="77777777" w:rsidR="00E44EB2" w:rsidRPr="00B26573" w:rsidRDefault="00E44EB2" w:rsidP="00E44EB2">
            <w:pPr>
              <w:jc w:val="center"/>
            </w:pPr>
            <w:r w:rsidRPr="00B26573">
              <w:t>2</w:t>
            </w:r>
          </w:p>
        </w:tc>
        <w:tc>
          <w:tcPr>
            <w:tcW w:w="667" w:type="pct"/>
            <w:tcBorders>
              <w:top w:val="single" w:sz="4" w:space="0" w:color="7F7F7F" w:themeColor="text1" w:themeTint="80"/>
              <w:bottom w:val="single" w:sz="8" w:space="0" w:color="7F7F7F" w:themeColor="text1" w:themeTint="80"/>
            </w:tcBorders>
            <w:shd w:val="clear" w:color="auto" w:fill="auto"/>
          </w:tcPr>
          <w:p w14:paraId="05EB6682" w14:textId="77777777" w:rsidR="00E44EB2" w:rsidRPr="00B26573" w:rsidRDefault="00E44EB2" w:rsidP="00E44EB2">
            <w:pPr>
              <w:jc w:val="center"/>
            </w:pPr>
            <w:r w:rsidRPr="00B26573">
              <w:t>3</w:t>
            </w:r>
          </w:p>
        </w:tc>
        <w:tc>
          <w:tcPr>
            <w:tcW w:w="501" w:type="pct"/>
            <w:tcBorders>
              <w:top w:val="single" w:sz="4" w:space="0" w:color="7F7F7F" w:themeColor="text1" w:themeTint="80"/>
              <w:bottom w:val="single" w:sz="8" w:space="0" w:color="7F7F7F" w:themeColor="text1" w:themeTint="80"/>
            </w:tcBorders>
            <w:shd w:val="clear" w:color="auto" w:fill="auto"/>
          </w:tcPr>
          <w:p w14:paraId="32C82F97" w14:textId="77777777" w:rsidR="00E44EB2" w:rsidRPr="00B26573" w:rsidRDefault="00E44EB2" w:rsidP="00E44EB2">
            <w:pPr>
              <w:jc w:val="center"/>
            </w:pPr>
            <w:r w:rsidRPr="00B26573">
              <w:t>4</w:t>
            </w:r>
          </w:p>
        </w:tc>
      </w:tr>
      <w:tr w:rsidR="00B26573" w:rsidRPr="00B26573" w14:paraId="1EF71898" w14:textId="77777777" w:rsidTr="00C36AC5">
        <w:trPr>
          <w:trHeight w:val="284"/>
          <w:jc w:val="right"/>
        </w:trPr>
        <w:tc>
          <w:tcPr>
            <w:tcW w:w="2343" w:type="pct"/>
            <w:tcBorders>
              <w:top w:val="single" w:sz="8" w:space="0" w:color="7F7F7F" w:themeColor="text1" w:themeTint="80"/>
              <w:bottom w:val="single" w:sz="8" w:space="0" w:color="7F7F7F" w:themeColor="text1" w:themeTint="80"/>
            </w:tcBorders>
            <w:shd w:val="clear" w:color="auto" w:fill="auto"/>
          </w:tcPr>
          <w:p w14:paraId="7606B755" w14:textId="77777777" w:rsidR="0050605D" w:rsidRPr="00B26573" w:rsidRDefault="0050605D" w:rsidP="0050605D">
            <w:pPr>
              <w:spacing w:before="54"/>
              <w:rPr>
                <w:b/>
              </w:rPr>
            </w:pPr>
            <w:r w:rsidRPr="00B26573">
              <w:rPr>
                <w:b/>
                <w:iCs/>
              </w:rPr>
              <w:t xml:space="preserve">Běžné výdaje </w:t>
            </w:r>
            <w:r w:rsidRPr="00B26573">
              <w:rPr>
                <w:b/>
              </w:rPr>
              <w:t xml:space="preserve">v tom: </w:t>
            </w:r>
          </w:p>
        </w:tc>
        <w:tc>
          <w:tcPr>
            <w:tcW w:w="784" w:type="pct"/>
            <w:tcBorders>
              <w:top w:val="single" w:sz="8" w:space="0" w:color="7F7F7F" w:themeColor="text1" w:themeTint="80"/>
              <w:bottom w:val="single" w:sz="8" w:space="0" w:color="7F7F7F" w:themeColor="text1" w:themeTint="80"/>
            </w:tcBorders>
            <w:shd w:val="clear" w:color="auto" w:fill="auto"/>
          </w:tcPr>
          <w:p w14:paraId="7AB437A1" w14:textId="20EA54E5" w:rsidR="0050605D" w:rsidRPr="00B26573" w:rsidRDefault="0050605D" w:rsidP="0050605D">
            <w:pPr>
              <w:spacing w:before="54"/>
              <w:jc w:val="right"/>
              <w:rPr>
                <w:b/>
              </w:rPr>
            </w:pPr>
            <w:r w:rsidRPr="00B26573">
              <w:rPr>
                <w:b/>
              </w:rPr>
              <w:t>5 824 383</w:t>
            </w:r>
          </w:p>
        </w:tc>
        <w:tc>
          <w:tcPr>
            <w:tcW w:w="705" w:type="pct"/>
            <w:tcBorders>
              <w:top w:val="single" w:sz="8" w:space="0" w:color="7F7F7F" w:themeColor="text1" w:themeTint="80"/>
              <w:bottom w:val="single" w:sz="8" w:space="0" w:color="7F7F7F" w:themeColor="text1" w:themeTint="80"/>
            </w:tcBorders>
            <w:shd w:val="clear" w:color="auto" w:fill="auto"/>
          </w:tcPr>
          <w:p w14:paraId="6EC71026" w14:textId="7C343E5F" w:rsidR="0050605D" w:rsidRPr="00B26573" w:rsidRDefault="0050605D" w:rsidP="0050605D">
            <w:pPr>
              <w:spacing w:before="54"/>
              <w:jc w:val="right"/>
              <w:rPr>
                <w:b/>
              </w:rPr>
            </w:pPr>
            <w:r w:rsidRPr="00B26573">
              <w:rPr>
                <w:b/>
              </w:rPr>
              <w:t>6 841 286</w:t>
            </w:r>
          </w:p>
        </w:tc>
        <w:tc>
          <w:tcPr>
            <w:tcW w:w="667" w:type="pct"/>
            <w:tcBorders>
              <w:top w:val="single" w:sz="8" w:space="0" w:color="7F7F7F" w:themeColor="text1" w:themeTint="80"/>
              <w:bottom w:val="single" w:sz="8" w:space="0" w:color="7F7F7F" w:themeColor="text1" w:themeTint="80"/>
            </w:tcBorders>
            <w:shd w:val="clear" w:color="auto" w:fill="auto"/>
          </w:tcPr>
          <w:p w14:paraId="65C37AF6" w14:textId="58FBEA00" w:rsidR="0050605D" w:rsidRPr="00B26573" w:rsidRDefault="0050605D" w:rsidP="0050605D">
            <w:pPr>
              <w:spacing w:before="54"/>
              <w:jc w:val="center"/>
              <w:rPr>
                <w:b/>
              </w:rPr>
            </w:pPr>
            <w:r w:rsidRPr="00B26573">
              <w:rPr>
                <w:b/>
              </w:rPr>
              <w:t>6 951 033</w:t>
            </w:r>
          </w:p>
        </w:tc>
        <w:tc>
          <w:tcPr>
            <w:tcW w:w="501" w:type="pct"/>
            <w:tcBorders>
              <w:top w:val="single" w:sz="8" w:space="0" w:color="7F7F7F" w:themeColor="text1" w:themeTint="80"/>
              <w:bottom w:val="single" w:sz="8" w:space="0" w:color="7F7F7F" w:themeColor="text1" w:themeTint="80"/>
            </w:tcBorders>
            <w:shd w:val="clear" w:color="auto" w:fill="auto"/>
          </w:tcPr>
          <w:p w14:paraId="175124A2" w14:textId="48A5C13D" w:rsidR="0050605D" w:rsidRPr="00B26573" w:rsidRDefault="0050605D" w:rsidP="0050605D">
            <w:pPr>
              <w:spacing w:before="54"/>
              <w:jc w:val="right"/>
              <w:rPr>
                <w:b/>
              </w:rPr>
            </w:pPr>
            <w:r w:rsidRPr="00B26573">
              <w:rPr>
                <w:b/>
              </w:rPr>
              <w:t>101,60</w:t>
            </w:r>
          </w:p>
        </w:tc>
      </w:tr>
      <w:tr w:rsidR="00B26573" w:rsidRPr="00B26573" w14:paraId="7815C933" w14:textId="77777777" w:rsidTr="00C36AC5">
        <w:trPr>
          <w:trHeight w:val="5943"/>
          <w:jc w:val="right"/>
        </w:trPr>
        <w:tc>
          <w:tcPr>
            <w:tcW w:w="2343" w:type="pct"/>
            <w:tcBorders>
              <w:top w:val="single" w:sz="8" w:space="0" w:color="7F7F7F" w:themeColor="text1" w:themeTint="80"/>
              <w:bottom w:val="single" w:sz="8" w:space="0" w:color="7F7F7F" w:themeColor="text1" w:themeTint="80"/>
            </w:tcBorders>
            <w:shd w:val="clear" w:color="auto" w:fill="auto"/>
          </w:tcPr>
          <w:p w14:paraId="0A51FAE1" w14:textId="77777777" w:rsidR="0050605D" w:rsidRPr="00B26573" w:rsidRDefault="0050605D" w:rsidP="0050605D">
            <w:pPr>
              <w:rPr>
                <w:sz w:val="20"/>
              </w:rPr>
            </w:pPr>
            <w:r w:rsidRPr="00B26573">
              <w:rPr>
                <w:sz w:val="20"/>
              </w:rPr>
              <w:t>platy zaměstnanců a ostatní platby</w:t>
            </w:r>
          </w:p>
          <w:p w14:paraId="0612331A" w14:textId="77777777" w:rsidR="0050605D" w:rsidRPr="00B26573" w:rsidRDefault="0050605D" w:rsidP="0050605D">
            <w:pPr>
              <w:rPr>
                <w:sz w:val="20"/>
              </w:rPr>
            </w:pPr>
            <w:r w:rsidRPr="00B26573">
              <w:rPr>
                <w:sz w:val="20"/>
              </w:rPr>
              <w:t>za provedenou práci</w:t>
            </w:r>
          </w:p>
          <w:p w14:paraId="033F2A1E" w14:textId="77777777" w:rsidR="0050605D" w:rsidRPr="00B26573" w:rsidRDefault="0050605D" w:rsidP="0050605D">
            <w:pPr>
              <w:rPr>
                <w:i/>
                <w:sz w:val="20"/>
              </w:rPr>
            </w:pPr>
            <w:r w:rsidRPr="00B26573">
              <w:rPr>
                <w:i/>
                <w:sz w:val="20"/>
              </w:rPr>
              <w:t xml:space="preserve">z toho: výdaje na programy spolufinancované         </w:t>
            </w:r>
          </w:p>
          <w:p w14:paraId="293F60D2" w14:textId="77777777" w:rsidR="0050605D" w:rsidRPr="00B26573" w:rsidRDefault="0050605D" w:rsidP="0050605D">
            <w:pPr>
              <w:rPr>
                <w:i/>
                <w:sz w:val="20"/>
              </w:rPr>
            </w:pPr>
            <w:r w:rsidRPr="00B26573">
              <w:rPr>
                <w:i/>
                <w:sz w:val="20"/>
              </w:rPr>
              <w:t xml:space="preserve">            z rozpočtu EU v tom: </w:t>
            </w:r>
          </w:p>
          <w:p w14:paraId="7F721A4D" w14:textId="77777777" w:rsidR="0050605D" w:rsidRPr="00B26573" w:rsidRDefault="0050605D" w:rsidP="0050605D">
            <w:pPr>
              <w:rPr>
                <w:i/>
                <w:sz w:val="20"/>
              </w:rPr>
            </w:pPr>
            <w:r w:rsidRPr="00B26573">
              <w:rPr>
                <w:i/>
                <w:sz w:val="20"/>
              </w:rPr>
              <w:t xml:space="preserve">           Operační program Doprava – CF  2014 +</w:t>
            </w:r>
          </w:p>
          <w:p w14:paraId="5767EDCA" w14:textId="77777777" w:rsidR="0050605D" w:rsidRPr="00B26573" w:rsidRDefault="0050605D" w:rsidP="0050605D">
            <w:pPr>
              <w:rPr>
                <w:i/>
                <w:sz w:val="20"/>
              </w:rPr>
            </w:pPr>
            <w:r w:rsidRPr="00B26573">
              <w:rPr>
                <w:i/>
                <w:sz w:val="20"/>
              </w:rPr>
              <w:t xml:space="preserve">                                            v tom: ze SR</w:t>
            </w:r>
          </w:p>
          <w:p w14:paraId="491A34ED" w14:textId="77777777" w:rsidR="0050605D" w:rsidRPr="00B26573" w:rsidRDefault="0050605D" w:rsidP="0050605D">
            <w:pPr>
              <w:rPr>
                <w:i/>
                <w:sz w:val="20"/>
              </w:rPr>
            </w:pPr>
            <w:r w:rsidRPr="00B26573">
              <w:rPr>
                <w:i/>
                <w:sz w:val="20"/>
              </w:rPr>
              <w:t xml:space="preserve">                                                       z rozpočtu EU</w:t>
            </w:r>
          </w:p>
          <w:p w14:paraId="0D6D3A13" w14:textId="77777777" w:rsidR="0050605D" w:rsidRPr="00B26573" w:rsidRDefault="0050605D" w:rsidP="0050605D">
            <w:pPr>
              <w:tabs>
                <w:tab w:val="left" w:pos="880"/>
              </w:tabs>
              <w:rPr>
                <w:i/>
                <w:sz w:val="20"/>
              </w:rPr>
            </w:pPr>
            <w:r w:rsidRPr="00B26573">
              <w:rPr>
                <w:i/>
                <w:sz w:val="20"/>
              </w:rPr>
              <w:t xml:space="preserve">          KP Nástroj pro propojení Evropy 2014 +           </w:t>
            </w:r>
          </w:p>
          <w:p w14:paraId="32599371" w14:textId="77777777" w:rsidR="0050605D" w:rsidRPr="00B26573" w:rsidRDefault="0050605D" w:rsidP="0050605D">
            <w:pPr>
              <w:rPr>
                <w:i/>
                <w:sz w:val="20"/>
              </w:rPr>
            </w:pPr>
            <w:r w:rsidRPr="00B26573">
              <w:rPr>
                <w:i/>
                <w:sz w:val="20"/>
              </w:rPr>
              <w:t xml:space="preserve">                                             v tom: ze SR</w:t>
            </w:r>
          </w:p>
          <w:p w14:paraId="317A13CB" w14:textId="77777777" w:rsidR="0050605D" w:rsidRPr="00B26573" w:rsidRDefault="0050605D" w:rsidP="0050605D">
            <w:pPr>
              <w:rPr>
                <w:i/>
                <w:sz w:val="20"/>
              </w:rPr>
            </w:pPr>
            <w:r w:rsidRPr="00B26573">
              <w:rPr>
                <w:i/>
                <w:sz w:val="20"/>
              </w:rPr>
              <w:t xml:space="preserve">                                                        z rozpočtu EU</w:t>
            </w:r>
          </w:p>
          <w:p w14:paraId="33562000" w14:textId="77777777" w:rsidR="0050605D" w:rsidRPr="00B26573" w:rsidRDefault="0050605D" w:rsidP="0050605D">
            <w:pPr>
              <w:tabs>
                <w:tab w:val="left" w:pos="880"/>
              </w:tabs>
              <w:rPr>
                <w:i/>
                <w:sz w:val="20"/>
              </w:rPr>
            </w:pPr>
            <w:r w:rsidRPr="00B26573">
              <w:rPr>
                <w:i/>
                <w:sz w:val="20"/>
              </w:rPr>
              <w:t xml:space="preserve">          Horizont Evropa </w:t>
            </w:r>
          </w:p>
          <w:p w14:paraId="0A165DE5" w14:textId="77777777" w:rsidR="0050605D" w:rsidRPr="00B26573" w:rsidRDefault="0050605D" w:rsidP="0050605D">
            <w:pPr>
              <w:jc w:val="center"/>
              <w:rPr>
                <w:i/>
                <w:sz w:val="20"/>
              </w:rPr>
            </w:pPr>
            <w:r w:rsidRPr="00B26573">
              <w:rPr>
                <w:i/>
                <w:sz w:val="20"/>
              </w:rPr>
              <w:t xml:space="preserve">                         v tom: ze SR</w:t>
            </w:r>
          </w:p>
          <w:p w14:paraId="171CCF05" w14:textId="77777777" w:rsidR="0050605D" w:rsidRPr="00B26573" w:rsidRDefault="0050605D" w:rsidP="0050605D">
            <w:pPr>
              <w:tabs>
                <w:tab w:val="left" w:pos="880"/>
              </w:tabs>
              <w:jc w:val="center"/>
              <w:rPr>
                <w:i/>
                <w:sz w:val="20"/>
              </w:rPr>
            </w:pPr>
            <w:r w:rsidRPr="00B26573">
              <w:rPr>
                <w:i/>
                <w:sz w:val="20"/>
              </w:rPr>
              <w:t xml:space="preserve">                                                  z rozpočtu EU   </w:t>
            </w:r>
          </w:p>
          <w:p w14:paraId="473EA877" w14:textId="77777777" w:rsidR="0050605D" w:rsidRPr="00B26573" w:rsidRDefault="0050605D" w:rsidP="0050605D">
            <w:pPr>
              <w:tabs>
                <w:tab w:val="left" w:pos="880"/>
              </w:tabs>
              <w:jc w:val="center"/>
              <w:rPr>
                <w:i/>
                <w:sz w:val="20"/>
              </w:rPr>
            </w:pPr>
            <w:r w:rsidRPr="00B26573">
              <w:rPr>
                <w:i/>
                <w:sz w:val="20"/>
              </w:rPr>
              <w:t xml:space="preserve">         Nástroj pro propojení Evropy (CEF) 2021+ </w:t>
            </w:r>
          </w:p>
          <w:p w14:paraId="49D1B92B" w14:textId="77777777" w:rsidR="0050605D" w:rsidRPr="00B26573" w:rsidRDefault="0050605D" w:rsidP="0050605D">
            <w:pPr>
              <w:jc w:val="center"/>
              <w:rPr>
                <w:i/>
                <w:sz w:val="20"/>
              </w:rPr>
            </w:pPr>
            <w:r w:rsidRPr="00B26573">
              <w:rPr>
                <w:i/>
                <w:sz w:val="20"/>
              </w:rPr>
              <w:t xml:space="preserve">                         v tom: ze SR</w:t>
            </w:r>
          </w:p>
          <w:p w14:paraId="0DB97B98" w14:textId="77777777" w:rsidR="0050605D" w:rsidRPr="00B26573" w:rsidRDefault="0050605D" w:rsidP="0050605D">
            <w:pPr>
              <w:rPr>
                <w:i/>
                <w:sz w:val="20"/>
              </w:rPr>
            </w:pPr>
            <w:r w:rsidRPr="00B26573">
              <w:rPr>
                <w:i/>
                <w:sz w:val="20"/>
              </w:rPr>
              <w:t xml:space="preserve">                                                      z rozpočtu EU      </w:t>
            </w:r>
          </w:p>
          <w:p w14:paraId="1FC728F3" w14:textId="77777777" w:rsidR="0050605D" w:rsidRPr="00B26573" w:rsidRDefault="0050605D" w:rsidP="0050605D">
            <w:pPr>
              <w:rPr>
                <w:i/>
                <w:sz w:val="20"/>
              </w:rPr>
            </w:pPr>
            <w:r w:rsidRPr="00B26573">
              <w:rPr>
                <w:i/>
                <w:sz w:val="20"/>
              </w:rPr>
              <w:t xml:space="preserve">          Operační program Doprava – CF  2021 +</w:t>
            </w:r>
          </w:p>
          <w:p w14:paraId="367AA4A1" w14:textId="77777777" w:rsidR="0050605D" w:rsidRPr="00B26573" w:rsidRDefault="0050605D" w:rsidP="0050605D">
            <w:pPr>
              <w:rPr>
                <w:i/>
                <w:sz w:val="20"/>
              </w:rPr>
            </w:pPr>
            <w:r w:rsidRPr="00B26573">
              <w:rPr>
                <w:i/>
                <w:sz w:val="20"/>
              </w:rPr>
              <w:t xml:space="preserve">                                            v tom: ze SR</w:t>
            </w:r>
          </w:p>
          <w:p w14:paraId="1A0A90BA" w14:textId="77777777" w:rsidR="0050605D" w:rsidRPr="00B26573" w:rsidRDefault="0050605D" w:rsidP="0050605D">
            <w:pPr>
              <w:rPr>
                <w:i/>
                <w:sz w:val="20"/>
              </w:rPr>
            </w:pPr>
            <w:r w:rsidRPr="00B26573">
              <w:rPr>
                <w:i/>
                <w:sz w:val="20"/>
              </w:rPr>
              <w:t xml:space="preserve">                                                       z rozpočtu EU                             </w:t>
            </w:r>
          </w:p>
          <w:p w14:paraId="225EFA0D" w14:textId="77777777" w:rsidR="0050605D" w:rsidRPr="00B26573" w:rsidRDefault="0050605D" w:rsidP="0050605D">
            <w:pPr>
              <w:rPr>
                <w:i/>
                <w:sz w:val="20"/>
              </w:rPr>
            </w:pPr>
            <w:r w:rsidRPr="00B26573">
              <w:rPr>
                <w:i/>
                <w:sz w:val="20"/>
              </w:rPr>
              <w:t xml:space="preserve">          Kosmický program Unie</w:t>
            </w:r>
          </w:p>
          <w:p w14:paraId="30AB8D54" w14:textId="77777777" w:rsidR="0050605D" w:rsidRPr="00B26573" w:rsidRDefault="0050605D" w:rsidP="0050605D">
            <w:pPr>
              <w:rPr>
                <w:i/>
                <w:sz w:val="20"/>
              </w:rPr>
            </w:pPr>
            <w:r w:rsidRPr="00B26573">
              <w:rPr>
                <w:i/>
                <w:sz w:val="20"/>
              </w:rPr>
              <w:t xml:space="preserve">                                            v tom: ze SR</w:t>
            </w:r>
          </w:p>
          <w:p w14:paraId="4059A9BB" w14:textId="77777777" w:rsidR="0050605D" w:rsidRPr="00B26573" w:rsidRDefault="0050605D" w:rsidP="0050605D">
            <w:pPr>
              <w:rPr>
                <w:i/>
                <w:sz w:val="20"/>
              </w:rPr>
            </w:pPr>
            <w:r w:rsidRPr="00B26573">
              <w:rPr>
                <w:i/>
                <w:sz w:val="20"/>
              </w:rPr>
              <w:t xml:space="preserve">                                                       z rozpočtu EU </w:t>
            </w:r>
          </w:p>
          <w:p w14:paraId="4AD13915" w14:textId="77777777" w:rsidR="0050605D" w:rsidRPr="00B26573" w:rsidRDefault="0050605D" w:rsidP="0050605D">
            <w:pPr>
              <w:rPr>
                <w:i/>
                <w:sz w:val="20"/>
              </w:rPr>
            </w:pPr>
            <w:r w:rsidRPr="00B26573">
              <w:rPr>
                <w:i/>
                <w:sz w:val="20"/>
              </w:rPr>
              <w:t xml:space="preserve">        NPO systémová podpora veřejných investic</w:t>
            </w:r>
          </w:p>
          <w:p w14:paraId="5787C5C6" w14:textId="77777777" w:rsidR="0050605D" w:rsidRPr="00B26573" w:rsidRDefault="0050605D" w:rsidP="0050605D">
            <w:pPr>
              <w:rPr>
                <w:i/>
                <w:sz w:val="20"/>
              </w:rPr>
            </w:pPr>
            <w:r w:rsidRPr="00B26573">
              <w:rPr>
                <w:i/>
                <w:sz w:val="20"/>
              </w:rPr>
              <w:t xml:space="preserve">                                            v tom: ze SR</w:t>
            </w:r>
          </w:p>
          <w:p w14:paraId="3821E80D" w14:textId="0EBB3365" w:rsidR="0050605D" w:rsidRPr="00B26573" w:rsidRDefault="0050605D" w:rsidP="0050605D">
            <w:pPr>
              <w:rPr>
                <w:i/>
                <w:sz w:val="20"/>
              </w:rPr>
            </w:pPr>
            <w:r w:rsidRPr="00B26573">
              <w:rPr>
                <w:i/>
                <w:sz w:val="20"/>
              </w:rPr>
              <w:t xml:space="preserve">                                                       z rozpočtu EU                                                                                                                                                                                                                                                                                                                                                                                                                                                                                                                                                                                                                                                                                                                                                                                                                                                                                                                                                                                                                                                                                                                                                                                                                                                                                                                                                                                                                                                                                                                                                                                                                                                                                                                                                                                                                                                                                                                                                                                                                                                                                                                                                                                                                                                                                                                                                                                                                                                                                                                                                                                                                                                                                                                                                                                                                                                                                                                                                                                                                                                                                                                                                                                                                                                                                                                                                                                                                                                                                                                                                                                                                                                                                                                                                                                                                                                                                                                                                                                                                                                                                                                                                                                                                                                                                                                                                                                                                                                                                                                                                                                                                                                                                                                                                                                                                                                                                                                                                                                                                                                                                                                                                                                                                                                                                                                                                                                                                                                                                                                                                                                                                                 </w:t>
            </w:r>
          </w:p>
        </w:tc>
        <w:tc>
          <w:tcPr>
            <w:tcW w:w="784" w:type="pct"/>
            <w:tcBorders>
              <w:top w:val="single" w:sz="8" w:space="0" w:color="7F7F7F" w:themeColor="text1" w:themeTint="80"/>
              <w:bottom w:val="single" w:sz="8" w:space="0" w:color="7F7F7F" w:themeColor="text1" w:themeTint="80"/>
            </w:tcBorders>
            <w:shd w:val="clear" w:color="auto" w:fill="auto"/>
          </w:tcPr>
          <w:p w14:paraId="6995E0C8" w14:textId="77777777" w:rsidR="0050605D" w:rsidRPr="00B26573" w:rsidRDefault="0050605D" w:rsidP="0050605D">
            <w:pPr>
              <w:jc w:val="right"/>
              <w:rPr>
                <w:sz w:val="20"/>
                <w:szCs w:val="20"/>
              </w:rPr>
            </w:pPr>
          </w:p>
          <w:p w14:paraId="35DD42E8" w14:textId="77777777" w:rsidR="0050605D" w:rsidRPr="00B26573" w:rsidRDefault="0050605D" w:rsidP="0050605D">
            <w:pPr>
              <w:jc w:val="right"/>
              <w:rPr>
                <w:sz w:val="20"/>
                <w:szCs w:val="20"/>
              </w:rPr>
            </w:pPr>
            <w:r w:rsidRPr="00B26573">
              <w:rPr>
                <w:sz w:val="20"/>
                <w:szCs w:val="20"/>
              </w:rPr>
              <w:t>325 592</w:t>
            </w:r>
          </w:p>
          <w:p w14:paraId="045C877D" w14:textId="77777777" w:rsidR="0050605D" w:rsidRPr="00B26573" w:rsidRDefault="0050605D" w:rsidP="0050605D">
            <w:pPr>
              <w:jc w:val="right"/>
              <w:rPr>
                <w:i/>
                <w:sz w:val="20"/>
                <w:szCs w:val="20"/>
              </w:rPr>
            </w:pPr>
          </w:p>
          <w:p w14:paraId="6CC68BA4" w14:textId="77777777" w:rsidR="0050605D" w:rsidRPr="00B26573" w:rsidRDefault="0050605D" w:rsidP="0050605D">
            <w:pPr>
              <w:jc w:val="right"/>
              <w:rPr>
                <w:i/>
                <w:sz w:val="20"/>
                <w:szCs w:val="20"/>
              </w:rPr>
            </w:pPr>
            <w:r w:rsidRPr="00B26573">
              <w:rPr>
                <w:i/>
                <w:sz w:val="20"/>
                <w:szCs w:val="20"/>
              </w:rPr>
              <w:t>61 159</w:t>
            </w:r>
          </w:p>
          <w:p w14:paraId="17E80C7D" w14:textId="77777777" w:rsidR="0050605D" w:rsidRPr="00B26573" w:rsidRDefault="0050605D" w:rsidP="0050605D">
            <w:pPr>
              <w:jc w:val="right"/>
              <w:rPr>
                <w:i/>
                <w:sz w:val="20"/>
                <w:szCs w:val="20"/>
              </w:rPr>
            </w:pPr>
            <w:r w:rsidRPr="00B26573">
              <w:rPr>
                <w:i/>
                <w:sz w:val="20"/>
                <w:szCs w:val="20"/>
              </w:rPr>
              <w:t>26 198</w:t>
            </w:r>
          </w:p>
          <w:p w14:paraId="3C33DF44" w14:textId="77777777" w:rsidR="0050605D" w:rsidRPr="00B26573" w:rsidRDefault="0050605D" w:rsidP="0050605D">
            <w:pPr>
              <w:jc w:val="right"/>
              <w:rPr>
                <w:i/>
                <w:sz w:val="20"/>
                <w:szCs w:val="20"/>
              </w:rPr>
            </w:pPr>
            <w:r w:rsidRPr="00B26573">
              <w:rPr>
                <w:i/>
                <w:sz w:val="20"/>
                <w:szCs w:val="20"/>
              </w:rPr>
              <w:t>3 930</w:t>
            </w:r>
          </w:p>
          <w:p w14:paraId="2D0914F6" w14:textId="77777777" w:rsidR="0050605D" w:rsidRPr="00B26573" w:rsidRDefault="0050605D" w:rsidP="0050605D">
            <w:pPr>
              <w:jc w:val="right"/>
              <w:rPr>
                <w:i/>
                <w:sz w:val="20"/>
                <w:szCs w:val="20"/>
              </w:rPr>
            </w:pPr>
            <w:r w:rsidRPr="00B26573">
              <w:rPr>
                <w:i/>
                <w:sz w:val="20"/>
                <w:szCs w:val="20"/>
              </w:rPr>
              <w:t xml:space="preserve">     22 268</w:t>
            </w:r>
          </w:p>
          <w:p w14:paraId="5075F25D" w14:textId="77777777" w:rsidR="0050605D" w:rsidRPr="00B26573" w:rsidRDefault="0050605D" w:rsidP="0050605D">
            <w:pPr>
              <w:jc w:val="right"/>
              <w:rPr>
                <w:i/>
                <w:sz w:val="20"/>
                <w:szCs w:val="20"/>
              </w:rPr>
            </w:pPr>
            <w:r w:rsidRPr="00B26573">
              <w:rPr>
                <w:i/>
                <w:sz w:val="20"/>
                <w:szCs w:val="20"/>
              </w:rPr>
              <w:t xml:space="preserve">   433</w:t>
            </w:r>
          </w:p>
          <w:p w14:paraId="57DFC12F" w14:textId="77777777" w:rsidR="0050605D" w:rsidRPr="00B26573" w:rsidRDefault="0050605D" w:rsidP="0050605D">
            <w:pPr>
              <w:jc w:val="right"/>
              <w:rPr>
                <w:i/>
                <w:sz w:val="20"/>
                <w:szCs w:val="20"/>
              </w:rPr>
            </w:pPr>
            <w:r w:rsidRPr="00B26573">
              <w:rPr>
                <w:i/>
                <w:sz w:val="20"/>
                <w:szCs w:val="20"/>
              </w:rPr>
              <w:t>75</w:t>
            </w:r>
          </w:p>
          <w:p w14:paraId="3E031B64" w14:textId="77777777" w:rsidR="0050605D" w:rsidRPr="00B26573" w:rsidRDefault="0050605D" w:rsidP="0050605D">
            <w:pPr>
              <w:jc w:val="right"/>
              <w:rPr>
                <w:i/>
                <w:sz w:val="20"/>
                <w:szCs w:val="20"/>
              </w:rPr>
            </w:pPr>
            <w:r w:rsidRPr="00B26573">
              <w:rPr>
                <w:i/>
                <w:sz w:val="20"/>
                <w:szCs w:val="20"/>
              </w:rPr>
              <w:t>358</w:t>
            </w:r>
          </w:p>
          <w:p w14:paraId="183E93B6" w14:textId="77777777" w:rsidR="0050605D" w:rsidRPr="00B26573" w:rsidRDefault="0050605D" w:rsidP="0050605D">
            <w:pPr>
              <w:jc w:val="right"/>
              <w:rPr>
                <w:i/>
                <w:sz w:val="20"/>
                <w:szCs w:val="20"/>
              </w:rPr>
            </w:pPr>
            <w:r w:rsidRPr="00B26573">
              <w:rPr>
                <w:i/>
                <w:sz w:val="20"/>
                <w:szCs w:val="20"/>
              </w:rPr>
              <w:t>112</w:t>
            </w:r>
          </w:p>
          <w:p w14:paraId="33B5726D" w14:textId="77777777" w:rsidR="0050605D" w:rsidRPr="00B26573" w:rsidRDefault="0050605D" w:rsidP="0050605D">
            <w:pPr>
              <w:jc w:val="right"/>
              <w:rPr>
                <w:i/>
                <w:sz w:val="20"/>
                <w:szCs w:val="20"/>
              </w:rPr>
            </w:pPr>
            <w:r w:rsidRPr="00B26573">
              <w:rPr>
                <w:i/>
                <w:sz w:val="20"/>
                <w:szCs w:val="20"/>
              </w:rPr>
              <w:t>0</w:t>
            </w:r>
          </w:p>
          <w:p w14:paraId="52F39A1C" w14:textId="77777777" w:rsidR="0050605D" w:rsidRPr="00B26573" w:rsidRDefault="0050605D" w:rsidP="0050605D">
            <w:pPr>
              <w:jc w:val="right"/>
              <w:rPr>
                <w:i/>
                <w:sz w:val="20"/>
                <w:szCs w:val="20"/>
              </w:rPr>
            </w:pPr>
            <w:r w:rsidRPr="00B26573">
              <w:rPr>
                <w:i/>
                <w:sz w:val="20"/>
                <w:szCs w:val="20"/>
              </w:rPr>
              <w:t>112</w:t>
            </w:r>
          </w:p>
          <w:p w14:paraId="666C0E32" w14:textId="77777777" w:rsidR="0050605D" w:rsidRPr="00B26573" w:rsidRDefault="0050605D" w:rsidP="0050605D">
            <w:pPr>
              <w:jc w:val="right"/>
              <w:rPr>
                <w:i/>
                <w:sz w:val="20"/>
                <w:szCs w:val="20"/>
              </w:rPr>
            </w:pPr>
            <w:r w:rsidRPr="00B26573">
              <w:rPr>
                <w:i/>
                <w:sz w:val="20"/>
                <w:szCs w:val="20"/>
              </w:rPr>
              <w:t>3 713</w:t>
            </w:r>
          </w:p>
          <w:p w14:paraId="5A696ED3" w14:textId="77777777" w:rsidR="0050605D" w:rsidRPr="00B26573" w:rsidRDefault="0050605D" w:rsidP="0050605D">
            <w:pPr>
              <w:jc w:val="right"/>
              <w:rPr>
                <w:i/>
                <w:sz w:val="20"/>
                <w:szCs w:val="20"/>
              </w:rPr>
            </w:pPr>
            <w:r w:rsidRPr="00B26573">
              <w:rPr>
                <w:i/>
                <w:sz w:val="20"/>
                <w:szCs w:val="20"/>
              </w:rPr>
              <w:t>0</w:t>
            </w:r>
          </w:p>
          <w:p w14:paraId="19CD8C9D" w14:textId="77777777" w:rsidR="0050605D" w:rsidRPr="00B26573" w:rsidRDefault="0050605D" w:rsidP="0050605D">
            <w:pPr>
              <w:jc w:val="right"/>
              <w:rPr>
                <w:i/>
                <w:sz w:val="20"/>
                <w:szCs w:val="20"/>
              </w:rPr>
            </w:pPr>
            <w:r w:rsidRPr="00B26573">
              <w:rPr>
                <w:i/>
                <w:sz w:val="20"/>
                <w:szCs w:val="20"/>
              </w:rPr>
              <w:t>3 713</w:t>
            </w:r>
          </w:p>
          <w:p w14:paraId="7D983574" w14:textId="77777777" w:rsidR="0050605D" w:rsidRPr="00B26573" w:rsidRDefault="0050605D" w:rsidP="0050605D">
            <w:pPr>
              <w:jc w:val="right"/>
              <w:rPr>
                <w:i/>
                <w:sz w:val="20"/>
                <w:szCs w:val="20"/>
              </w:rPr>
            </w:pPr>
            <w:r w:rsidRPr="00B26573">
              <w:rPr>
                <w:i/>
                <w:sz w:val="20"/>
                <w:szCs w:val="20"/>
              </w:rPr>
              <w:t>29 647</w:t>
            </w:r>
          </w:p>
          <w:p w14:paraId="53479BD9" w14:textId="77777777" w:rsidR="0050605D" w:rsidRPr="00B26573" w:rsidRDefault="0050605D" w:rsidP="0050605D">
            <w:pPr>
              <w:jc w:val="right"/>
              <w:rPr>
                <w:i/>
                <w:sz w:val="20"/>
                <w:szCs w:val="20"/>
              </w:rPr>
            </w:pPr>
            <w:r w:rsidRPr="00B26573">
              <w:rPr>
                <w:i/>
                <w:sz w:val="20"/>
                <w:szCs w:val="20"/>
              </w:rPr>
              <w:t>4 447</w:t>
            </w:r>
          </w:p>
          <w:p w14:paraId="7D32C5A5" w14:textId="77777777" w:rsidR="0050605D" w:rsidRPr="00B26573" w:rsidRDefault="0050605D" w:rsidP="0050605D">
            <w:pPr>
              <w:jc w:val="right"/>
              <w:rPr>
                <w:i/>
                <w:sz w:val="20"/>
                <w:szCs w:val="20"/>
              </w:rPr>
            </w:pPr>
            <w:r w:rsidRPr="00B26573">
              <w:rPr>
                <w:i/>
                <w:sz w:val="20"/>
                <w:szCs w:val="20"/>
              </w:rPr>
              <w:t>25 200</w:t>
            </w:r>
          </w:p>
          <w:p w14:paraId="1FD547C6" w14:textId="77777777" w:rsidR="0050605D" w:rsidRPr="00B26573" w:rsidRDefault="0050605D" w:rsidP="0050605D">
            <w:pPr>
              <w:jc w:val="right"/>
              <w:rPr>
                <w:i/>
                <w:sz w:val="20"/>
                <w:szCs w:val="20"/>
              </w:rPr>
            </w:pPr>
            <w:r w:rsidRPr="00B26573">
              <w:rPr>
                <w:i/>
                <w:sz w:val="20"/>
                <w:szCs w:val="20"/>
              </w:rPr>
              <w:t>218</w:t>
            </w:r>
          </w:p>
          <w:p w14:paraId="542F4215" w14:textId="77777777" w:rsidR="0050605D" w:rsidRPr="00B26573" w:rsidRDefault="0050605D" w:rsidP="0050605D">
            <w:pPr>
              <w:jc w:val="right"/>
              <w:rPr>
                <w:i/>
                <w:sz w:val="20"/>
                <w:szCs w:val="20"/>
              </w:rPr>
            </w:pPr>
            <w:r w:rsidRPr="00B26573">
              <w:rPr>
                <w:i/>
                <w:sz w:val="20"/>
                <w:szCs w:val="20"/>
              </w:rPr>
              <w:t>0</w:t>
            </w:r>
          </w:p>
          <w:p w14:paraId="34070096" w14:textId="77777777" w:rsidR="0050605D" w:rsidRPr="00B26573" w:rsidRDefault="0050605D" w:rsidP="0050605D">
            <w:pPr>
              <w:jc w:val="right"/>
              <w:rPr>
                <w:i/>
                <w:sz w:val="20"/>
                <w:szCs w:val="20"/>
              </w:rPr>
            </w:pPr>
            <w:r w:rsidRPr="00B26573">
              <w:rPr>
                <w:i/>
                <w:sz w:val="20"/>
                <w:szCs w:val="20"/>
              </w:rPr>
              <w:t>218</w:t>
            </w:r>
          </w:p>
          <w:p w14:paraId="0BAE55FC" w14:textId="77777777" w:rsidR="0050605D" w:rsidRPr="00B26573" w:rsidRDefault="0050605D" w:rsidP="0050605D">
            <w:pPr>
              <w:jc w:val="right"/>
              <w:rPr>
                <w:i/>
                <w:sz w:val="20"/>
                <w:szCs w:val="20"/>
              </w:rPr>
            </w:pPr>
            <w:r w:rsidRPr="00B26573">
              <w:rPr>
                <w:i/>
                <w:sz w:val="20"/>
                <w:szCs w:val="20"/>
              </w:rPr>
              <w:t>838</w:t>
            </w:r>
          </w:p>
          <w:p w14:paraId="3A254FB5" w14:textId="77777777" w:rsidR="0050605D" w:rsidRPr="00B26573" w:rsidRDefault="0050605D" w:rsidP="0050605D">
            <w:pPr>
              <w:jc w:val="right"/>
              <w:rPr>
                <w:i/>
                <w:sz w:val="20"/>
                <w:szCs w:val="20"/>
              </w:rPr>
            </w:pPr>
            <w:r w:rsidRPr="00B26573">
              <w:rPr>
                <w:i/>
                <w:sz w:val="20"/>
                <w:szCs w:val="20"/>
              </w:rPr>
              <w:t>0</w:t>
            </w:r>
          </w:p>
          <w:p w14:paraId="0E81FD48" w14:textId="446F9E35" w:rsidR="0050605D" w:rsidRPr="00B26573" w:rsidRDefault="0050605D" w:rsidP="0050605D">
            <w:pPr>
              <w:jc w:val="right"/>
              <w:rPr>
                <w:i/>
                <w:sz w:val="20"/>
                <w:szCs w:val="20"/>
              </w:rPr>
            </w:pPr>
            <w:r w:rsidRPr="00B26573">
              <w:rPr>
                <w:i/>
                <w:sz w:val="20"/>
                <w:szCs w:val="20"/>
              </w:rPr>
              <w:t>838</w:t>
            </w:r>
          </w:p>
        </w:tc>
        <w:tc>
          <w:tcPr>
            <w:tcW w:w="705" w:type="pct"/>
            <w:tcBorders>
              <w:top w:val="single" w:sz="8" w:space="0" w:color="7F7F7F" w:themeColor="text1" w:themeTint="80"/>
              <w:bottom w:val="single" w:sz="8" w:space="0" w:color="7F7F7F" w:themeColor="text1" w:themeTint="80"/>
            </w:tcBorders>
            <w:shd w:val="clear" w:color="auto" w:fill="auto"/>
          </w:tcPr>
          <w:p w14:paraId="0C87DD37" w14:textId="77777777" w:rsidR="0050605D" w:rsidRPr="00B26573" w:rsidRDefault="0050605D" w:rsidP="0050605D">
            <w:pPr>
              <w:jc w:val="right"/>
              <w:rPr>
                <w:sz w:val="20"/>
              </w:rPr>
            </w:pPr>
          </w:p>
          <w:p w14:paraId="533E33A3" w14:textId="77777777" w:rsidR="0050605D" w:rsidRPr="00B26573" w:rsidRDefault="0050605D" w:rsidP="0050605D">
            <w:pPr>
              <w:jc w:val="right"/>
              <w:rPr>
                <w:sz w:val="20"/>
              </w:rPr>
            </w:pPr>
            <w:r w:rsidRPr="00B26573">
              <w:rPr>
                <w:sz w:val="20"/>
              </w:rPr>
              <w:t>325 990</w:t>
            </w:r>
          </w:p>
          <w:p w14:paraId="144FD7F3" w14:textId="77777777" w:rsidR="0050605D" w:rsidRPr="00B26573" w:rsidRDefault="0050605D" w:rsidP="0050605D">
            <w:pPr>
              <w:jc w:val="right"/>
              <w:rPr>
                <w:sz w:val="20"/>
              </w:rPr>
            </w:pPr>
          </w:p>
          <w:p w14:paraId="561C2FB0" w14:textId="77777777" w:rsidR="0050605D" w:rsidRPr="00B26573" w:rsidRDefault="0050605D" w:rsidP="0050605D">
            <w:pPr>
              <w:jc w:val="right"/>
              <w:rPr>
                <w:i/>
                <w:sz w:val="20"/>
              </w:rPr>
            </w:pPr>
            <w:r w:rsidRPr="00B26573">
              <w:rPr>
                <w:i/>
                <w:sz w:val="20"/>
              </w:rPr>
              <w:t>72 367</w:t>
            </w:r>
          </w:p>
          <w:p w14:paraId="125E4570" w14:textId="77777777" w:rsidR="0050605D" w:rsidRPr="00B26573" w:rsidRDefault="0050605D" w:rsidP="0050605D">
            <w:pPr>
              <w:jc w:val="right"/>
              <w:rPr>
                <w:i/>
                <w:sz w:val="20"/>
              </w:rPr>
            </w:pPr>
            <w:r w:rsidRPr="00B26573">
              <w:rPr>
                <w:i/>
                <w:sz w:val="20"/>
              </w:rPr>
              <w:t xml:space="preserve">0     </w:t>
            </w:r>
          </w:p>
          <w:p w14:paraId="459A8CA4" w14:textId="77777777" w:rsidR="0050605D" w:rsidRPr="00B26573" w:rsidRDefault="0050605D" w:rsidP="0050605D">
            <w:pPr>
              <w:jc w:val="right"/>
              <w:rPr>
                <w:i/>
                <w:sz w:val="20"/>
              </w:rPr>
            </w:pPr>
            <w:r w:rsidRPr="00B26573">
              <w:rPr>
                <w:i/>
                <w:sz w:val="20"/>
              </w:rPr>
              <w:t>0</w:t>
            </w:r>
          </w:p>
          <w:p w14:paraId="551236D5" w14:textId="77777777" w:rsidR="0050605D" w:rsidRPr="00B26573" w:rsidRDefault="0050605D" w:rsidP="0050605D">
            <w:pPr>
              <w:jc w:val="right"/>
              <w:rPr>
                <w:i/>
                <w:sz w:val="20"/>
              </w:rPr>
            </w:pPr>
            <w:r w:rsidRPr="00B26573">
              <w:rPr>
                <w:i/>
                <w:sz w:val="20"/>
              </w:rPr>
              <w:t>0</w:t>
            </w:r>
          </w:p>
          <w:p w14:paraId="36CE7F9E" w14:textId="77777777" w:rsidR="0050605D" w:rsidRPr="00B26573" w:rsidRDefault="0050605D" w:rsidP="0050605D">
            <w:pPr>
              <w:jc w:val="right"/>
              <w:rPr>
                <w:i/>
                <w:sz w:val="20"/>
              </w:rPr>
            </w:pPr>
            <w:r w:rsidRPr="00B26573">
              <w:rPr>
                <w:i/>
                <w:sz w:val="20"/>
              </w:rPr>
              <w:t>844</w:t>
            </w:r>
          </w:p>
          <w:p w14:paraId="2B029C01" w14:textId="77777777" w:rsidR="0050605D" w:rsidRPr="00B26573" w:rsidRDefault="0050605D" w:rsidP="0050605D">
            <w:pPr>
              <w:jc w:val="right"/>
              <w:rPr>
                <w:i/>
                <w:sz w:val="20"/>
              </w:rPr>
            </w:pPr>
            <w:r w:rsidRPr="00B26573">
              <w:rPr>
                <w:i/>
                <w:sz w:val="20"/>
              </w:rPr>
              <w:t>127</w:t>
            </w:r>
          </w:p>
          <w:p w14:paraId="1E279068" w14:textId="77777777" w:rsidR="0050605D" w:rsidRPr="00B26573" w:rsidRDefault="0050605D" w:rsidP="0050605D">
            <w:pPr>
              <w:jc w:val="right"/>
              <w:rPr>
                <w:i/>
                <w:sz w:val="20"/>
              </w:rPr>
            </w:pPr>
            <w:r w:rsidRPr="00B26573">
              <w:rPr>
                <w:i/>
                <w:sz w:val="20"/>
              </w:rPr>
              <w:t>717</w:t>
            </w:r>
          </w:p>
          <w:p w14:paraId="6EDBA88A" w14:textId="77777777" w:rsidR="0050605D" w:rsidRPr="00B26573" w:rsidRDefault="0050605D" w:rsidP="0050605D">
            <w:pPr>
              <w:jc w:val="right"/>
              <w:rPr>
                <w:i/>
                <w:sz w:val="20"/>
              </w:rPr>
            </w:pPr>
            <w:r w:rsidRPr="00B26573">
              <w:rPr>
                <w:i/>
                <w:sz w:val="20"/>
              </w:rPr>
              <w:t>313</w:t>
            </w:r>
          </w:p>
          <w:p w14:paraId="7BDDB043" w14:textId="77777777" w:rsidR="0050605D" w:rsidRPr="00B26573" w:rsidRDefault="0050605D" w:rsidP="0050605D">
            <w:pPr>
              <w:jc w:val="right"/>
              <w:rPr>
                <w:i/>
                <w:sz w:val="20"/>
              </w:rPr>
            </w:pPr>
            <w:r w:rsidRPr="00B26573">
              <w:rPr>
                <w:i/>
                <w:sz w:val="20"/>
              </w:rPr>
              <w:t>0</w:t>
            </w:r>
          </w:p>
          <w:p w14:paraId="02BFFD8B" w14:textId="77777777" w:rsidR="0050605D" w:rsidRPr="00B26573" w:rsidRDefault="0050605D" w:rsidP="0050605D">
            <w:pPr>
              <w:jc w:val="right"/>
              <w:rPr>
                <w:i/>
                <w:sz w:val="20"/>
              </w:rPr>
            </w:pPr>
            <w:r w:rsidRPr="00B26573">
              <w:rPr>
                <w:i/>
                <w:sz w:val="20"/>
              </w:rPr>
              <w:t>313</w:t>
            </w:r>
          </w:p>
          <w:p w14:paraId="1A6E7313" w14:textId="77777777" w:rsidR="0050605D" w:rsidRPr="00B26573" w:rsidRDefault="0050605D" w:rsidP="0050605D">
            <w:pPr>
              <w:jc w:val="right"/>
              <w:rPr>
                <w:i/>
                <w:sz w:val="20"/>
              </w:rPr>
            </w:pPr>
            <w:r w:rsidRPr="00B26573">
              <w:rPr>
                <w:i/>
                <w:sz w:val="20"/>
              </w:rPr>
              <w:t>6 850</w:t>
            </w:r>
          </w:p>
          <w:p w14:paraId="1A414E83" w14:textId="77777777" w:rsidR="0050605D" w:rsidRPr="00B26573" w:rsidRDefault="0050605D" w:rsidP="0050605D">
            <w:pPr>
              <w:jc w:val="right"/>
              <w:rPr>
                <w:i/>
                <w:sz w:val="20"/>
              </w:rPr>
            </w:pPr>
            <w:r w:rsidRPr="00B26573">
              <w:rPr>
                <w:i/>
                <w:sz w:val="20"/>
              </w:rPr>
              <w:t>422</w:t>
            </w:r>
          </w:p>
          <w:p w14:paraId="566DC151" w14:textId="77777777" w:rsidR="0050605D" w:rsidRPr="00B26573" w:rsidRDefault="0050605D" w:rsidP="0050605D">
            <w:pPr>
              <w:jc w:val="right"/>
              <w:rPr>
                <w:i/>
                <w:sz w:val="20"/>
              </w:rPr>
            </w:pPr>
            <w:r w:rsidRPr="00B26573">
              <w:rPr>
                <w:i/>
                <w:sz w:val="20"/>
              </w:rPr>
              <w:t>6 428</w:t>
            </w:r>
          </w:p>
          <w:p w14:paraId="4B9E3670" w14:textId="77777777" w:rsidR="0050605D" w:rsidRPr="00B26573" w:rsidRDefault="0050605D" w:rsidP="0050605D">
            <w:pPr>
              <w:jc w:val="right"/>
              <w:rPr>
                <w:i/>
                <w:sz w:val="20"/>
              </w:rPr>
            </w:pPr>
            <w:r w:rsidRPr="00B26573">
              <w:rPr>
                <w:i/>
                <w:sz w:val="20"/>
              </w:rPr>
              <w:t>58 011</w:t>
            </w:r>
          </w:p>
          <w:p w14:paraId="0F9B43C0" w14:textId="77777777" w:rsidR="0050605D" w:rsidRPr="00B26573" w:rsidRDefault="0050605D" w:rsidP="0050605D">
            <w:pPr>
              <w:jc w:val="right"/>
              <w:rPr>
                <w:i/>
                <w:sz w:val="20"/>
              </w:rPr>
            </w:pPr>
            <w:r w:rsidRPr="00B26573">
              <w:rPr>
                <w:i/>
                <w:sz w:val="20"/>
              </w:rPr>
              <w:t>8 702</w:t>
            </w:r>
          </w:p>
          <w:p w14:paraId="5282E727" w14:textId="77777777" w:rsidR="0050605D" w:rsidRPr="00B26573" w:rsidRDefault="0050605D" w:rsidP="0050605D">
            <w:pPr>
              <w:jc w:val="right"/>
              <w:rPr>
                <w:i/>
                <w:sz w:val="20"/>
              </w:rPr>
            </w:pPr>
            <w:r w:rsidRPr="00B26573">
              <w:rPr>
                <w:i/>
                <w:sz w:val="20"/>
              </w:rPr>
              <w:t>49 310</w:t>
            </w:r>
          </w:p>
          <w:p w14:paraId="02EAAB2C" w14:textId="77777777" w:rsidR="0050605D" w:rsidRPr="00B26573" w:rsidRDefault="0050605D" w:rsidP="0050605D">
            <w:pPr>
              <w:jc w:val="right"/>
              <w:rPr>
                <w:i/>
                <w:sz w:val="20"/>
              </w:rPr>
            </w:pPr>
            <w:r w:rsidRPr="00B26573">
              <w:rPr>
                <w:i/>
                <w:sz w:val="20"/>
              </w:rPr>
              <w:t>893</w:t>
            </w:r>
          </w:p>
          <w:p w14:paraId="7FB56EF4" w14:textId="77777777" w:rsidR="0050605D" w:rsidRPr="00B26573" w:rsidRDefault="0050605D" w:rsidP="0050605D">
            <w:pPr>
              <w:jc w:val="right"/>
              <w:rPr>
                <w:i/>
                <w:sz w:val="20"/>
              </w:rPr>
            </w:pPr>
            <w:r w:rsidRPr="00B26573">
              <w:rPr>
                <w:i/>
                <w:sz w:val="20"/>
              </w:rPr>
              <w:t>0</w:t>
            </w:r>
          </w:p>
          <w:p w14:paraId="6E6E7AC8" w14:textId="77777777" w:rsidR="0050605D" w:rsidRPr="00B26573" w:rsidRDefault="0050605D" w:rsidP="0050605D">
            <w:pPr>
              <w:jc w:val="right"/>
              <w:rPr>
                <w:i/>
                <w:sz w:val="20"/>
              </w:rPr>
            </w:pPr>
            <w:r w:rsidRPr="00B26573">
              <w:rPr>
                <w:i/>
                <w:sz w:val="20"/>
              </w:rPr>
              <w:t>893</w:t>
            </w:r>
          </w:p>
          <w:p w14:paraId="1F692A0B" w14:textId="77777777" w:rsidR="0050605D" w:rsidRPr="00B26573" w:rsidRDefault="0050605D" w:rsidP="0050605D">
            <w:pPr>
              <w:jc w:val="right"/>
              <w:rPr>
                <w:i/>
                <w:sz w:val="20"/>
              </w:rPr>
            </w:pPr>
            <w:r w:rsidRPr="00B26573">
              <w:rPr>
                <w:i/>
                <w:sz w:val="20"/>
              </w:rPr>
              <w:t>5 456</w:t>
            </w:r>
          </w:p>
          <w:p w14:paraId="207EA451" w14:textId="77777777" w:rsidR="0050605D" w:rsidRPr="00B26573" w:rsidRDefault="0050605D" w:rsidP="0050605D">
            <w:pPr>
              <w:jc w:val="right"/>
              <w:rPr>
                <w:i/>
                <w:sz w:val="20"/>
              </w:rPr>
            </w:pPr>
            <w:r w:rsidRPr="00B26573">
              <w:rPr>
                <w:i/>
                <w:sz w:val="20"/>
              </w:rPr>
              <w:t>0</w:t>
            </w:r>
          </w:p>
          <w:p w14:paraId="2AED4A65" w14:textId="3572735F" w:rsidR="0050605D" w:rsidRPr="00B26573" w:rsidRDefault="0050605D" w:rsidP="0050605D">
            <w:pPr>
              <w:jc w:val="right"/>
              <w:rPr>
                <w:i/>
                <w:sz w:val="20"/>
              </w:rPr>
            </w:pPr>
            <w:r w:rsidRPr="00B26573">
              <w:rPr>
                <w:i/>
                <w:sz w:val="20"/>
              </w:rPr>
              <w:t>5 456</w:t>
            </w:r>
          </w:p>
        </w:tc>
        <w:tc>
          <w:tcPr>
            <w:tcW w:w="667" w:type="pct"/>
            <w:tcBorders>
              <w:top w:val="single" w:sz="8" w:space="0" w:color="7F7F7F" w:themeColor="text1" w:themeTint="80"/>
              <w:bottom w:val="single" w:sz="8" w:space="0" w:color="7F7F7F" w:themeColor="text1" w:themeTint="80"/>
            </w:tcBorders>
            <w:shd w:val="clear" w:color="auto" w:fill="auto"/>
          </w:tcPr>
          <w:p w14:paraId="3804C4E4" w14:textId="77777777" w:rsidR="0050605D" w:rsidRPr="00B26573" w:rsidRDefault="0050605D" w:rsidP="0050605D">
            <w:pPr>
              <w:jc w:val="right"/>
              <w:rPr>
                <w:sz w:val="20"/>
              </w:rPr>
            </w:pPr>
          </w:p>
          <w:p w14:paraId="2A023107" w14:textId="77777777" w:rsidR="0050605D" w:rsidRPr="00B26573" w:rsidRDefault="0050605D" w:rsidP="0050605D">
            <w:pPr>
              <w:jc w:val="right"/>
              <w:rPr>
                <w:sz w:val="20"/>
              </w:rPr>
            </w:pPr>
            <w:r w:rsidRPr="00B26573">
              <w:rPr>
                <w:sz w:val="20"/>
              </w:rPr>
              <w:t>338 940</w:t>
            </w:r>
          </w:p>
          <w:p w14:paraId="311FADFD" w14:textId="77777777" w:rsidR="0050605D" w:rsidRPr="00B26573" w:rsidRDefault="0050605D" w:rsidP="0050605D">
            <w:pPr>
              <w:jc w:val="right"/>
              <w:rPr>
                <w:sz w:val="20"/>
              </w:rPr>
            </w:pPr>
          </w:p>
          <w:p w14:paraId="27629196" w14:textId="77777777" w:rsidR="0050605D" w:rsidRPr="00B26573" w:rsidRDefault="0050605D" w:rsidP="0050605D">
            <w:pPr>
              <w:jc w:val="right"/>
              <w:rPr>
                <w:i/>
                <w:sz w:val="20"/>
              </w:rPr>
            </w:pPr>
            <w:r w:rsidRPr="00B26573">
              <w:rPr>
                <w:i/>
                <w:sz w:val="20"/>
              </w:rPr>
              <w:t>73 738</w:t>
            </w:r>
          </w:p>
          <w:p w14:paraId="0B77F6B2" w14:textId="77777777" w:rsidR="0050605D" w:rsidRPr="00B26573" w:rsidRDefault="0050605D" w:rsidP="0050605D">
            <w:pPr>
              <w:jc w:val="right"/>
              <w:rPr>
                <w:i/>
                <w:sz w:val="20"/>
              </w:rPr>
            </w:pPr>
            <w:r w:rsidRPr="00B26573">
              <w:rPr>
                <w:i/>
                <w:sz w:val="20"/>
              </w:rPr>
              <w:t xml:space="preserve">0     </w:t>
            </w:r>
          </w:p>
          <w:p w14:paraId="143FBDEB" w14:textId="77777777" w:rsidR="0050605D" w:rsidRPr="00B26573" w:rsidRDefault="0050605D" w:rsidP="0050605D">
            <w:pPr>
              <w:jc w:val="right"/>
              <w:rPr>
                <w:i/>
                <w:sz w:val="20"/>
              </w:rPr>
            </w:pPr>
            <w:r w:rsidRPr="00B26573">
              <w:rPr>
                <w:i/>
                <w:sz w:val="20"/>
              </w:rPr>
              <w:t>0</w:t>
            </w:r>
          </w:p>
          <w:p w14:paraId="6C659D23" w14:textId="77777777" w:rsidR="0050605D" w:rsidRPr="00B26573" w:rsidRDefault="0050605D" w:rsidP="0050605D">
            <w:pPr>
              <w:jc w:val="right"/>
              <w:rPr>
                <w:i/>
                <w:sz w:val="20"/>
              </w:rPr>
            </w:pPr>
            <w:r w:rsidRPr="00B26573">
              <w:rPr>
                <w:i/>
                <w:sz w:val="20"/>
              </w:rPr>
              <w:t>0</w:t>
            </w:r>
          </w:p>
          <w:p w14:paraId="114A2D78" w14:textId="77777777" w:rsidR="0050605D" w:rsidRPr="00B26573" w:rsidRDefault="0050605D" w:rsidP="0050605D">
            <w:pPr>
              <w:jc w:val="right"/>
              <w:rPr>
                <w:i/>
                <w:sz w:val="20"/>
              </w:rPr>
            </w:pPr>
            <w:r w:rsidRPr="00B26573">
              <w:rPr>
                <w:i/>
                <w:sz w:val="20"/>
              </w:rPr>
              <w:t>0</w:t>
            </w:r>
          </w:p>
          <w:p w14:paraId="65BF21D8" w14:textId="77777777" w:rsidR="0050605D" w:rsidRPr="00B26573" w:rsidRDefault="0050605D" w:rsidP="0050605D">
            <w:pPr>
              <w:jc w:val="right"/>
              <w:rPr>
                <w:i/>
                <w:sz w:val="20"/>
              </w:rPr>
            </w:pPr>
            <w:r w:rsidRPr="00B26573">
              <w:rPr>
                <w:i/>
                <w:sz w:val="20"/>
              </w:rPr>
              <w:t>0</w:t>
            </w:r>
          </w:p>
          <w:p w14:paraId="70823FB8" w14:textId="77777777" w:rsidR="0050605D" w:rsidRPr="00B26573" w:rsidRDefault="0050605D" w:rsidP="0050605D">
            <w:pPr>
              <w:jc w:val="right"/>
              <w:rPr>
                <w:i/>
                <w:sz w:val="20"/>
              </w:rPr>
            </w:pPr>
            <w:r w:rsidRPr="00B26573">
              <w:rPr>
                <w:i/>
                <w:sz w:val="20"/>
              </w:rPr>
              <w:t>0</w:t>
            </w:r>
          </w:p>
          <w:p w14:paraId="4FD37765" w14:textId="77777777" w:rsidR="0050605D" w:rsidRPr="00B26573" w:rsidRDefault="0050605D" w:rsidP="0050605D">
            <w:pPr>
              <w:jc w:val="right"/>
              <w:rPr>
                <w:i/>
                <w:sz w:val="20"/>
              </w:rPr>
            </w:pPr>
            <w:r w:rsidRPr="00B26573">
              <w:rPr>
                <w:i/>
                <w:sz w:val="20"/>
              </w:rPr>
              <w:t>188</w:t>
            </w:r>
          </w:p>
          <w:p w14:paraId="7E9839C6" w14:textId="77777777" w:rsidR="0050605D" w:rsidRPr="00B26573" w:rsidRDefault="0050605D" w:rsidP="0050605D">
            <w:pPr>
              <w:jc w:val="right"/>
              <w:rPr>
                <w:i/>
                <w:sz w:val="20"/>
              </w:rPr>
            </w:pPr>
            <w:r w:rsidRPr="00B26573">
              <w:rPr>
                <w:i/>
                <w:sz w:val="20"/>
              </w:rPr>
              <w:t>0</w:t>
            </w:r>
          </w:p>
          <w:p w14:paraId="30ED6A33" w14:textId="77777777" w:rsidR="0050605D" w:rsidRPr="00B26573" w:rsidRDefault="0050605D" w:rsidP="0050605D">
            <w:pPr>
              <w:jc w:val="right"/>
              <w:rPr>
                <w:i/>
                <w:sz w:val="20"/>
              </w:rPr>
            </w:pPr>
            <w:r w:rsidRPr="00B26573">
              <w:rPr>
                <w:i/>
                <w:sz w:val="20"/>
              </w:rPr>
              <w:t>188</w:t>
            </w:r>
          </w:p>
          <w:p w14:paraId="1F0FF761" w14:textId="77777777" w:rsidR="0050605D" w:rsidRPr="00B26573" w:rsidRDefault="0050605D" w:rsidP="0050605D">
            <w:pPr>
              <w:jc w:val="right"/>
              <w:rPr>
                <w:i/>
                <w:sz w:val="20"/>
              </w:rPr>
            </w:pPr>
            <w:r w:rsidRPr="00B26573">
              <w:rPr>
                <w:i/>
                <w:sz w:val="20"/>
              </w:rPr>
              <w:t>5 152</w:t>
            </w:r>
          </w:p>
          <w:p w14:paraId="4291F757" w14:textId="77777777" w:rsidR="0050605D" w:rsidRPr="00B26573" w:rsidRDefault="0050605D" w:rsidP="0050605D">
            <w:pPr>
              <w:jc w:val="right"/>
              <w:rPr>
                <w:i/>
                <w:sz w:val="20"/>
              </w:rPr>
            </w:pPr>
            <w:r w:rsidRPr="00B26573">
              <w:rPr>
                <w:i/>
                <w:sz w:val="20"/>
              </w:rPr>
              <w:t>130</w:t>
            </w:r>
          </w:p>
          <w:p w14:paraId="74CA99CC" w14:textId="77777777" w:rsidR="0050605D" w:rsidRPr="00B26573" w:rsidRDefault="0050605D" w:rsidP="0050605D">
            <w:pPr>
              <w:jc w:val="right"/>
              <w:rPr>
                <w:i/>
                <w:sz w:val="20"/>
              </w:rPr>
            </w:pPr>
            <w:r w:rsidRPr="00B26573">
              <w:rPr>
                <w:i/>
                <w:sz w:val="20"/>
              </w:rPr>
              <w:t>5 022</w:t>
            </w:r>
          </w:p>
          <w:p w14:paraId="1B7B151B" w14:textId="77777777" w:rsidR="0050605D" w:rsidRPr="00B26573" w:rsidRDefault="0050605D" w:rsidP="0050605D">
            <w:pPr>
              <w:jc w:val="right"/>
              <w:rPr>
                <w:i/>
                <w:sz w:val="20"/>
              </w:rPr>
            </w:pPr>
            <w:r w:rsidRPr="00B26573">
              <w:rPr>
                <w:i/>
                <w:sz w:val="20"/>
              </w:rPr>
              <w:t>61 546</w:t>
            </w:r>
          </w:p>
          <w:p w14:paraId="5BE57929" w14:textId="77777777" w:rsidR="0050605D" w:rsidRPr="00B26573" w:rsidRDefault="0050605D" w:rsidP="0050605D">
            <w:pPr>
              <w:jc w:val="right"/>
              <w:rPr>
                <w:i/>
                <w:sz w:val="20"/>
              </w:rPr>
            </w:pPr>
            <w:r w:rsidRPr="00B26573">
              <w:rPr>
                <w:i/>
                <w:sz w:val="20"/>
              </w:rPr>
              <w:t>9 232</w:t>
            </w:r>
          </w:p>
          <w:p w14:paraId="0D65F742" w14:textId="77777777" w:rsidR="0050605D" w:rsidRPr="00B26573" w:rsidRDefault="0050605D" w:rsidP="0050605D">
            <w:pPr>
              <w:jc w:val="right"/>
              <w:rPr>
                <w:i/>
                <w:sz w:val="20"/>
              </w:rPr>
            </w:pPr>
            <w:r w:rsidRPr="00B26573">
              <w:rPr>
                <w:i/>
                <w:sz w:val="20"/>
              </w:rPr>
              <w:t>52 314</w:t>
            </w:r>
          </w:p>
          <w:p w14:paraId="1BCB5EE5" w14:textId="77777777" w:rsidR="0050605D" w:rsidRPr="00B26573" w:rsidRDefault="0050605D" w:rsidP="0050605D">
            <w:pPr>
              <w:jc w:val="right"/>
              <w:rPr>
                <w:i/>
                <w:sz w:val="20"/>
              </w:rPr>
            </w:pPr>
            <w:r w:rsidRPr="00B26573">
              <w:rPr>
                <w:i/>
                <w:sz w:val="20"/>
              </w:rPr>
              <w:t>1 114</w:t>
            </w:r>
          </w:p>
          <w:p w14:paraId="64042858" w14:textId="77777777" w:rsidR="0050605D" w:rsidRPr="00B26573" w:rsidRDefault="0050605D" w:rsidP="0050605D">
            <w:pPr>
              <w:jc w:val="right"/>
              <w:rPr>
                <w:i/>
                <w:sz w:val="20"/>
              </w:rPr>
            </w:pPr>
            <w:r w:rsidRPr="00B26573">
              <w:rPr>
                <w:i/>
                <w:sz w:val="20"/>
              </w:rPr>
              <w:t>0</w:t>
            </w:r>
          </w:p>
          <w:p w14:paraId="0E8C97CE" w14:textId="77777777" w:rsidR="0050605D" w:rsidRPr="00B26573" w:rsidRDefault="0050605D" w:rsidP="0050605D">
            <w:pPr>
              <w:jc w:val="right"/>
              <w:rPr>
                <w:i/>
                <w:sz w:val="20"/>
              </w:rPr>
            </w:pPr>
            <w:r w:rsidRPr="00B26573">
              <w:rPr>
                <w:i/>
                <w:sz w:val="20"/>
              </w:rPr>
              <w:t>1 114</w:t>
            </w:r>
          </w:p>
          <w:p w14:paraId="42A87986" w14:textId="77777777" w:rsidR="0050605D" w:rsidRPr="00B26573" w:rsidRDefault="0050605D" w:rsidP="0050605D">
            <w:pPr>
              <w:jc w:val="right"/>
              <w:rPr>
                <w:i/>
                <w:sz w:val="20"/>
              </w:rPr>
            </w:pPr>
            <w:r w:rsidRPr="00B26573">
              <w:rPr>
                <w:i/>
                <w:sz w:val="20"/>
              </w:rPr>
              <w:t>5 738</w:t>
            </w:r>
          </w:p>
          <w:p w14:paraId="544AF2A7" w14:textId="77777777" w:rsidR="0050605D" w:rsidRPr="00B26573" w:rsidRDefault="0050605D" w:rsidP="0050605D">
            <w:pPr>
              <w:jc w:val="right"/>
              <w:rPr>
                <w:i/>
                <w:sz w:val="20"/>
              </w:rPr>
            </w:pPr>
            <w:r w:rsidRPr="00B26573">
              <w:rPr>
                <w:i/>
                <w:sz w:val="20"/>
              </w:rPr>
              <w:t>0</w:t>
            </w:r>
          </w:p>
          <w:p w14:paraId="397F0285" w14:textId="5A4BDCDD" w:rsidR="0050605D" w:rsidRPr="00B26573" w:rsidRDefault="0050605D" w:rsidP="0050605D">
            <w:pPr>
              <w:jc w:val="right"/>
              <w:rPr>
                <w:i/>
                <w:sz w:val="20"/>
              </w:rPr>
            </w:pPr>
            <w:r w:rsidRPr="00B26573">
              <w:rPr>
                <w:i/>
                <w:sz w:val="20"/>
              </w:rPr>
              <w:t>5 738</w:t>
            </w:r>
          </w:p>
        </w:tc>
        <w:tc>
          <w:tcPr>
            <w:tcW w:w="501" w:type="pct"/>
            <w:tcBorders>
              <w:top w:val="single" w:sz="8" w:space="0" w:color="7F7F7F" w:themeColor="text1" w:themeTint="80"/>
              <w:bottom w:val="single" w:sz="8" w:space="0" w:color="7F7F7F" w:themeColor="text1" w:themeTint="80"/>
            </w:tcBorders>
            <w:shd w:val="clear" w:color="auto" w:fill="auto"/>
          </w:tcPr>
          <w:p w14:paraId="5A39DE28" w14:textId="77777777" w:rsidR="0050605D" w:rsidRPr="00B26573" w:rsidRDefault="0050605D" w:rsidP="0050605D">
            <w:pPr>
              <w:jc w:val="right"/>
              <w:rPr>
                <w:sz w:val="20"/>
              </w:rPr>
            </w:pPr>
          </w:p>
          <w:p w14:paraId="790C81D0" w14:textId="77777777" w:rsidR="0050605D" w:rsidRPr="00B26573" w:rsidRDefault="0050605D" w:rsidP="0050605D">
            <w:pPr>
              <w:jc w:val="right"/>
              <w:rPr>
                <w:sz w:val="20"/>
              </w:rPr>
            </w:pPr>
            <w:r w:rsidRPr="00B26573">
              <w:rPr>
                <w:sz w:val="20"/>
              </w:rPr>
              <w:t>103,97</w:t>
            </w:r>
          </w:p>
          <w:p w14:paraId="6FDD0E3B" w14:textId="77777777" w:rsidR="0050605D" w:rsidRPr="00B26573" w:rsidRDefault="0050605D" w:rsidP="0050605D">
            <w:pPr>
              <w:jc w:val="right"/>
              <w:rPr>
                <w:i/>
                <w:sz w:val="20"/>
              </w:rPr>
            </w:pPr>
          </w:p>
          <w:p w14:paraId="0E77EF70" w14:textId="77777777" w:rsidR="0050605D" w:rsidRPr="00B26573" w:rsidRDefault="0050605D" w:rsidP="0050605D">
            <w:pPr>
              <w:jc w:val="right"/>
              <w:rPr>
                <w:i/>
                <w:sz w:val="20"/>
              </w:rPr>
            </w:pPr>
            <w:r w:rsidRPr="00B26573">
              <w:rPr>
                <w:i/>
                <w:sz w:val="20"/>
              </w:rPr>
              <w:t xml:space="preserve">101,89   </w:t>
            </w:r>
          </w:p>
          <w:p w14:paraId="2A2954DC" w14:textId="77777777" w:rsidR="0050605D" w:rsidRPr="00B26573" w:rsidRDefault="0050605D" w:rsidP="0050605D">
            <w:pPr>
              <w:jc w:val="right"/>
              <w:rPr>
                <w:i/>
                <w:sz w:val="20"/>
              </w:rPr>
            </w:pPr>
            <w:r w:rsidRPr="00B26573">
              <w:rPr>
                <w:i/>
                <w:sz w:val="20"/>
              </w:rPr>
              <w:t xml:space="preserve">x </w:t>
            </w:r>
          </w:p>
          <w:p w14:paraId="0EA9461B" w14:textId="77777777" w:rsidR="0050605D" w:rsidRPr="00B26573" w:rsidRDefault="0050605D" w:rsidP="0050605D">
            <w:pPr>
              <w:jc w:val="right"/>
              <w:rPr>
                <w:i/>
                <w:sz w:val="20"/>
              </w:rPr>
            </w:pPr>
            <w:r w:rsidRPr="00B26573">
              <w:rPr>
                <w:i/>
                <w:sz w:val="20"/>
              </w:rPr>
              <w:t>x</w:t>
            </w:r>
          </w:p>
          <w:p w14:paraId="0EF3268B" w14:textId="77777777" w:rsidR="0050605D" w:rsidRPr="00B26573" w:rsidRDefault="0050605D" w:rsidP="0050605D">
            <w:pPr>
              <w:jc w:val="right"/>
              <w:rPr>
                <w:i/>
                <w:sz w:val="20"/>
              </w:rPr>
            </w:pPr>
            <w:r w:rsidRPr="00B26573">
              <w:rPr>
                <w:i/>
                <w:sz w:val="20"/>
              </w:rPr>
              <w:t>x</w:t>
            </w:r>
          </w:p>
          <w:p w14:paraId="211A66D5" w14:textId="77777777" w:rsidR="0050605D" w:rsidRPr="00B26573" w:rsidRDefault="0050605D" w:rsidP="0050605D">
            <w:pPr>
              <w:jc w:val="right"/>
              <w:rPr>
                <w:i/>
                <w:sz w:val="20"/>
              </w:rPr>
            </w:pPr>
            <w:r w:rsidRPr="00B26573">
              <w:rPr>
                <w:i/>
                <w:sz w:val="20"/>
              </w:rPr>
              <w:t>0,00</w:t>
            </w:r>
          </w:p>
          <w:p w14:paraId="0CE7C609" w14:textId="77777777" w:rsidR="0050605D" w:rsidRPr="00B26573" w:rsidRDefault="0050605D" w:rsidP="0050605D">
            <w:pPr>
              <w:jc w:val="right"/>
              <w:rPr>
                <w:i/>
                <w:sz w:val="20"/>
              </w:rPr>
            </w:pPr>
            <w:r w:rsidRPr="00B26573">
              <w:rPr>
                <w:i/>
                <w:sz w:val="20"/>
              </w:rPr>
              <w:t xml:space="preserve">  0,00</w:t>
            </w:r>
          </w:p>
          <w:p w14:paraId="32A4F3C7" w14:textId="77777777" w:rsidR="0050605D" w:rsidRPr="00B26573" w:rsidRDefault="0050605D" w:rsidP="0050605D">
            <w:pPr>
              <w:jc w:val="right"/>
              <w:rPr>
                <w:i/>
                <w:sz w:val="20"/>
              </w:rPr>
            </w:pPr>
            <w:r w:rsidRPr="00B26573">
              <w:rPr>
                <w:i/>
                <w:sz w:val="20"/>
              </w:rPr>
              <w:t>0,00</w:t>
            </w:r>
          </w:p>
          <w:p w14:paraId="7D28EF15" w14:textId="77777777" w:rsidR="0050605D" w:rsidRPr="00B26573" w:rsidRDefault="0050605D" w:rsidP="0050605D">
            <w:pPr>
              <w:jc w:val="right"/>
              <w:rPr>
                <w:i/>
                <w:sz w:val="20"/>
              </w:rPr>
            </w:pPr>
            <w:r w:rsidRPr="00B26573">
              <w:rPr>
                <w:i/>
                <w:sz w:val="20"/>
              </w:rPr>
              <w:t>60,06</w:t>
            </w:r>
          </w:p>
          <w:p w14:paraId="2668F802" w14:textId="03E38432" w:rsidR="0050605D" w:rsidRPr="00B26573" w:rsidRDefault="00E43566" w:rsidP="0050605D">
            <w:pPr>
              <w:jc w:val="right"/>
              <w:rPr>
                <w:i/>
                <w:sz w:val="20"/>
              </w:rPr>
            </w:pPr>
            <w:r>
              <w:rPr>
                <w:i/>
                <w:sz w:val="20"/>
              </w:rPr>
              <w:t>x</w:t>
            </w:r>
          </w:p>
          <w:p w14:paraId="23FF367A" w14:textId="77777777" w:rsidR="0050605D" w:rsidRPr="00B26573" w:rsidRDefault="0050605D" w:rsidP="0050605D">
            <w:pPr>
              <w:jc w:val="right"/>
              <w:rPr>
                <w:i/>
                <w:sz w:val="20"/>
              </w:rPr>
            </w:pPr>
            <w:r w:rsidRPr="00B26573">
              <w:rPr>
                <w:i/>
                <w:sz w:val="20"/>
              </w:rPr>
              <w:t>60,06</w:t>
            </w:r>
          </w:p>
          <w:p w14:paraId="10D9A051" w14:textId="77777777" w:rsidR="0050605D" w:rsidRPr="00B26573" w:rsidRDefault="0050605D" w:rsidP="0050605D">
            <w:pPr>
              <w:jc w:val="right"/>
              <w:rPr>
                <w:i/>
                <w:sz w:val="20"/>
              </w:rPr>
            </w:pPr>
            <w:r w:rsidRPr="00B26573">
              <w:rPr>
                <w:i/>
                <w:sz w:val="20"/>
              </w:rPr>
              <w:t>75,21</w:t>
            </w:r>
          </w:p>
          <w:p w14:paraId="07E80D89" w14:textId="77777777" w:rsidR="0050605D" w:rsidRPr="00B26573" w:rsidRDefault="0050605D" w:rsidP="0050605D">
            <w:pPr>
              <w:jc w:val="right"/>
              <w:rPr>
                <w:i/>
                <w:sz w:val="20"/>
              </w:rPr>
            </w:pPr>
            <w:r w:rsidRPr="00B26573">
              <w:rPr>
                <w:i/>
                <w:sz w:val="20"/>
              </w:rPr>
              <w:t>30,81</w:t>
            </w:r>
          </w:p>
          <w:p w14:paraId="6C5BE688" w14:textId="77777777" w:rsidR="0050605D" w:rsidRPr="00B26573" w:rsidRDefault="0050605D" w:rsidP="0050605D">
            <w:pPr>
              <w:jc w:val="right"/>
              <w:rPr>
                <w:i/>
                <w:sz w:val="20"/>
              </w:rPr>
            </w:pPr>
            <w:r w:rsidRPr="00B26573">
              <w:rPr>
                <w:i/>
                <w:sz w:val="20"/>
              </w:rPr>
              <w:t>78,13</w:t>
            </w:r>
          </w:p>
          <w:p w14:paraId="1CA7DE3A" w14:textId="77777777" w:rsidR="0050605D" w:rsidRPr="00B26573" w:rsidRDefault="0050605D" w:rsidP="0050605D">
            <w:pPr>
              <w:jc w:val="right"/>
              <w:rPr>
                <w:i/>
                <w:sz w:val="20"/>
              </w:rPr>
            </w:pPr>
            <w:r w:rsidRPr="00B26573">
              <w:rPr>
                <w:i/>
                <w:sz w:val="20"/>
              </w:rPr>
              <w:t>106,09</w:t>
            </w:r>
          </w:p>
          <w:p w14:paraId="6F05236B" w14:textId="77777777" w:rsidR="0050605D" w:rsidRPr="00B26573" w:rsidRDefault="0050605D" w:rsidP="0050605D">
            <w:pPr>
              <w:jc w:val="right"/>
              <w:rPr>
                <w:i/>
                <w:sz w:val="20"/>
              </w:rPr>
            </w:pPr>
            <w:r w:rsidRPr="00B26573">
              <w:rPr>
                <w:i/>
                <w:sz w:val="20"/>
              </w:rPr>
              <w:t>106,09</w:t>
            </w:r>
          </w:p>
          <w:p w14:paraId="332CC399" w14:textId="77777777" w:rsidR="0050605D" w:rsidRPr="00B26573" w:rsidRDefault="0050605D" w:rsidP="0050605D">
            <w:pPr>
              <w:jc w:val="right"/>
              <w:rPr>
                <w:i/>
                <w:sz w:val="20"/>
              </w:rPr>
            </w:pPr>
            <w:r w:rsidRPr="00B26573">
              <w:rPr>
                <w:i/>
                <w:sz w:val="20"/>
              </w:rPr>
              <w:t>106,09</w:t>
            </w:r>
          </w:p>
          <w:p w14:paraId="575884A5" w14:textId="77777777" w:rsidR="0050605D" w:rsidRPr="00B26573" w:rsidRDefault="0050605D" w:rsidP="0050605D">
            <w:pPr>
              <w:jc w:val="right"/>
              <w:rPr>
                <w:i/>
                <w:sz w:val="20"/>
              </w:rPr>
            </w:pPr>
            <w:r w:rsidRPr="00B26573">
              <w:rPr>
                <w:i/>
                <w:sz w:val="20"/>
              </w:rPr>
              <w:t>124,75</w:t>
            </w:r>
          </w:p>
          <w:p w14:paraId="79E59364" w14:textId="77777777" w:rsidR="0050605D" w:rsidRPr="00B26573" w:rsidRDefault="0050605D" w:rsidP="0050605D">
            <w:pPr>
              <w:jc w:val="right"/>
              <w:rPr>
                <w:i/>
                <w:sz w:val="20"/>
              </w:rPr>
            </w:pPr>
            <w:r w:rsidRPr="00B26573">
              <w:rPr>
                <w:i/>
                <w:sz w:val="20"/>
              </w:rPr>
              <w:t>x</w:t>
            </w:r>
          </w:p>
          <w:p w14:paraId="77546148" w14:textId="77777777" w:rsidR="0050605D" w:rsidRPr="00B26573" w:rsidRDefault="0050605D" w:rsidP="0050605D">
            <w:pPr>
              <w:jc w:val="right"/>
              <w:rPr>
                <w:i/>
                <w:sz w:val="20"/>
              </w:rPr>
            </w:pPr>
            <w:r w:rsidRPr="00B26573">
              <w:rPr>
                <w:i/>
                <w:sz w:val="20"/>
              </w:rPr>
              <w:t>124,75</w:t>
            </w:r>
          </w:p>
          <w:p w14:paraId="7B24EE08" w14:textId="77777777" w:rsidR="0050605D" w:rsidRPr="00B26573" w:rsidRDefault="0050605D" w:rsidP="0050605D">
            <w:pPr>
              <w:jc w:val="right"/>
              <w:rPr>
                <w:i/>
                <w:sz w:val="20"/>
              </w:rPr>
            </w:pPr>
            <w:r w:rsidRPr="00B26573">
              <w:rPr>
                <w:i/>
                <w:sz w:val="20"/>
              </w:rPr>
              <w:t>105,17</w:t>
            </w:r>
          </w:p>
          <w:p w14:paraId="52CC91E1" w14:textId="77777777" w:rsidR="0050605D" w:rsidRPr="00B26573" w:rsidRDefault="0050605D" w:rsidP="0050605D">
            <w:pPr>
              <w:jc w:val="right"/>
              <w:rPr>
                <w:i/>
                <w:sz w:val="20"/>
              </w:rPr>
            </w:pPr>
            <w:r w:rsidRPr="00B26573">
              <w:rPr>
                <w:i/>
                <w:sz w:val="20"/>
              </w:rPr>
              <w:t>x</w:t>
            </w:r>
          </w:p>
          <w:p w14:paraId="184A5E71" w14:textId="0D055103" w:rsidR="0050605D" w:rsidRPr="00B26573" w:rsidRDefault="0050605D" w:rsidP="0050605D">
            <w:pPr>
              <w:jc w:val="right"/>
              <w:rPr>
                <w:i/>
                <w:sz w:val="20"/>
              </w:rPr>
            </w:pPr>
            <w:r w:rsidRPr="00B26573">
              <w:rPr>
                <w:i/>
                <w:sz w:val="20"/>
              </w:rPr>
              <w:t>105,17</w:t>
            </w:r>
          </w:p>
        </w:tc>
      </w:tr>
      <w:tr w:rsidR="00B26573" w:rsidRPr="00B26573" w14:paraId="00BE7007" w14:textId="77777777" w:rsidTr="00C36AC5">
        <w:trPr>
          <w:trHeight w:val="2957"/>
          <w:jc w:val="right"/>
        </w:trPr>
        <w:tc>
          <w:tcPr>
            <w:tcW w:w="2343" w:type="pct"/>
            <w:tcBorders>
              <w:top w:val="single" w:sz="8" w:space="0" w:color="7F7F7F" w:themeColor="text1" w:themeTint="80"/>
              <w:bottom w:val="nil"/>
            </w:tcBorders>
            <w:shd w:val="clear" w:color="auto" w:fill="auto"/>
          </w:tcPr>
          <w:p w14:paraId="4EE0CB3E" w14:textId="77777777" w:rsidR="0050605D" w:rsidRPr="00B26573" w:rsidRDefault="0050605D" w:rsidP="0050605D">
            <w:pPr>
              <w:rPr>
                <w:b/>
                <w:bCs/>
                <w:sz w:val="20"/>
              </w:rPr>
            </w:pPr>
            <w:r w:rsidRPr="00B26573">
              <w:rPr>
                <w:sz w:val="20"/>
              </w:rPr>
              <w:lastRenderedPageBreak/>
              <w:t>povinné pojistné placené zaměstnavatelem</w:t>
            </w:r>
          </w:p>
          <w:p w14:paraId="20E1DF52" w14:textId="77777777" w:rsidR="0050605D" w:rsidRPr="00B26573" w:rsidRDefault="0050605D" w:rsidP="0050605D">
            <w:pPr>
              <w:rPr>
                <w:b/>
                <w:bCs/>
                <w:sz w:val="20"/>
              </w:rPr>
            </w:pPr>
            <w:r w:rsidRPr="00B26573">
              <w:rPr>
                <w:sz w:val="20"/>
              </w:rPr>
              <w:t xml:space="preserve">z toho: </w:t>
            </w:r>
            <w:r w:rsidRPr="00B26573">
              <w:rPr>
                <w:i/>
                <w:sz w:val="20"/>
              </w:rPr>
              <w:t xml:space="preserve">výdaje na programy spolufinancované         </w:t>
            </w:r>
          </w:p>
          <w:p w14:paraId="1440FF72" w14:textId="77777777" w:rsidR="0050605D" w:rsidRPr="00B26573" w:rsidRDefault="0050605D" w:rsidP="0050605D">
            <w:pPr>
              <w:rPr>
                <w:b/>
                <w:bCs/>
                <w:i/>
                <w:sz w:val="20"/>
              </w:rPr>
            </w:pPr>
            <w:r w:rsidRPr="00B26573">
              <w:rPr>
                <w:i/>
                <w:sz w:val="20"/>
              </w:rPr>
              <w:t xml:space="preserve">             z rozpočtu EU v tom:                </w:t>
            </w:r>
          </w:p>
          <w:p w14:paraId="1C9463CD" w14:textId="77777777" w:rsidR="0050605D" w:rsidRPr="00B26573" w:rsidRDefault="0050605D" w:rsidP="0050605D">
            <w:pPr>
              <w:rPr>
                <w:b/>
                <w:bCs/>
                <w:i/>
                <w:sz w:val="20"/>
              </w:rPr>
            </w:pPr>
            <w:r w:rsidRPr="00B26573">
              <w:rPr>
                <w:i/>
                <w:sz w:val="20"/>
              </w:rPr>
              <w:t xml:space="preserve">           Operační program Doprava – CF  2014+</w:t>
            </w:r>
          </w:p>
          <w:p w14:paraId="03C56979" w14:textId="77777777" w:rsidR="0050605D" w:rsidRPr="00B26573" w:rsidRDefault="0050605D" w:rsidP="0050605D">
            <w:pPr>
              <w:rPr>
                <w:b/>
                <w:bCs/>
                <w:i/>
                <w:sz w:val="20"/>
              </w:rPr>
            </w:pPr>
            <w:r w:rsidRPr="00B26573">
              <w:rPr>
                <w:i/>
                <w:sz w:val="20"/>
              </w:rPr>
              <w:t xml:space="preserve">                                            v tom: ze SR</w:t>
            </w:r>
          </w:p>
          <w:p w14:paraId="476BEAB3" w14:textId="77777777" w:rsidR="0050605D" w:rsidRPr="00B26573" w:rsidRDefault="0050605D" w:rsidP="0050605D">
            <w:pPr>
              <w:rPr>
                <w:b/>
                <w:bCs/>
                <w:i/>
                <w:sz w:val="20"/>
              </w:rPr>
            </w:pPr>
            <w:r w:rsidRPr="00B26573">
              <w:rPr>
                <w:i/>
                <w:sz w:val="20"/>
              </w:rPr>
              <w:t xml:space="preserve">                                                       z rozpočtu EU</w:t>
            </w:r>
          </w:p>
          <w:p w14:paraId="1217A128" w14:textId="77777777" w:rsidR="0050605D" w:rsidRPr="00B26573" w:rsidRDefault="0050605D" w:rsidP="0050605D">
            <w:pPr>
              <w:tabs>
                <w:tab w:val="left" w:pos="880"/>
              </w:tabs>
              <w:rPr>
                <w:b/>
                <w:bCs/>
                <w:i/>
                <w:sz w:val="20"/>
              </w:rPr>
            </w:pPr>
            <w:r w:rsidRPr="00B26573">
              <w:rPr>
                <w:i/>
                <w:sz w:val="20"/>
              </w:rPr>
              <w:t xml:space="preserve">           KP Nástroj pro propojení Evropy 2014 +           </w:t>
            </w:r>
          </w:p>
          <w:p w14:paraId="2F8E43FD" w14:textId="77777777" w:rsidR="0050605D" w:rsidRPr="00B26573" w:rsidRDefault="0050605D" w:rsidP="0050605D">
            <w:pPr>
              <w:rPr>
                <w:b/>
                <w:bCs/>
                <w:i/>
                <w:sz w:val="20"/>
              </w:rPr>
            </w:pPr>
            <w:r w:rsidRPr="00B26573">
              <w:rPr>
                <w:i/>
                <w:sz w:val="20"/>
              </w:rPr>
              <w:t xml:space="preserve">                                             v tom: ze SR</w:t>
            </w:r>
          </w:p>
          <w:p w14:paraId="7FD30D2F" w14:textId="77777777" w:rsidR="0050605D" w:rsidRPr="00B26573" w:rsidRDefault="0050605D" w:rsidP="0050605D">
            <w:pPr>
              <w:rPr>
                <w:b/>
                <w:bCs/>
                <w:i/>
                <w:sz w:val="20"/>
              </w:rPr>
            </w:pPr>
            <w:r w:rsidRPr="00B26573">
              <w:rPr>
                <w:i/>
                <w:sz w:val="20"/>
              </w:rPr>
              <w:t xml:space="preserve">                                                        z rozpočtu EU</w:t>
            </w:r>
          </w:p>
          <w:p w14:paraId="5EADC0D4" w14:textId="77777777" w:rsidR="0050605D" w:rsidRPr="00B26573" w:rsidRDefault="0050605D" w:rsidP="0050605D">
            <w:pPr>
              <w:tabs>
                <w:tab w:val="left" w:pos="880"/>
              </w:tabs>
              <w:rPr>
                <w:b/>
                <w:bCs/>
                <w:i/>
                <w:sz w:val="20"/>
              </w:rPr>
            </w:pPr>
            <w:r w:rsidRPr="00B26573">
              <w:rPr>
                <w:i/>
                <w:sz w:val="20"/>
              </w:rPr>
              <w:t xml:space="preserve">          Horizont Evropa </w:t>
            </w:r>
          </w:p>
          <w:p w14:paraId="4ACB6F7D" w14:textId="77777777" w:rsidR="0050605D" w:rsidRPr="00B26573" w:rsidRDefault="0050605D" w:rsidP="0050605D">
            <w:pPr>
              <w:jc w:val="center"/>
              <w:rPr>
                <w:b/>
                <w:bCs/>
                <w:i/>
                <w:sz w:val="20"/>
              </w:rPr>
            </w:pPr>
            <w:r w:rsidRPr="00B26573">
              <w:rPr>
                <w:i/>
                <w:sz w:val="20"/>
              </w:rPr>
              <w:t xml:space="preserve">                         v tom: ze SR</w:t>
            </w:r>
          </w:p>
          <w:p w14:paraId="3119E8CC" w14:textId="7980EC84" w:rsidR="0050605D" w:rsidRPr="00B26573" w:rsidRDefault="0050605D" w:rsidP="0050605D">
            <w:pPr>
              <w:rPr>
                <w:i/>
                <w:sz w:val="20"/>
              </w:rPr>
            </w:pPr>
            <w:r w:rsidRPr="00B26573">
              <w:rPr>
                <w:i/>
                <w:sz w:val="20"/>
              </w:rPr>
              <w:t xml:space="preserve">                                                     z rozpočtu EU     </w:t>
            </w:r>
          </w:p>
        </w:tc>
        <w:tc>
          <w:tcPr>
            <w:tcW w:w="784" w:type="pct"/>
            <w:tcBorders>
              <w:top w:val="single" w:sz="8" w:space="0" w:color="7F7F7F" w:themeColor="text1" w:themeTint="80"/>
              <w:bottom w:val="nil"/>
            </w:tcBorders>
            <w:shd w:val="clear" w:color="auto" w:fill="auto"/>
          </w:tcPr>
          <w:p w14:paraId="7CEFBAF7" w14:textId="77777777" w:rsidR="0050605D" w:rsidRPr="00B26573" w:rsidRDefault="0050605D" w:rsidP="0050605D">
            <w:pPr>
              <w:jc w:val="right"/>
              <w:rPr>
                <w:sz w:val="20"/>
              </w:rPr>
            </w:pPr>
            <w:r w:rsidRPr="00B26573">
              <w:rPr>
                <w:sz w:val="20"/>
              </w:rPr>
              <w:t>108 985</w:t>
            </w:r>
          </w:p>
          <w:p w14:paraId="13E48048" w14:textId="77777777" w:rsidR="0050605D" w:rsidRPr="00B26573" w:rsidRDefault="0050605D" w:rsidP="0050605D">
            <w:pPr>
              <w:jc w:val="right"/>
              <w:rPr>
                <w:sz w:val="20"/>
              </w:rPr>
            </w:pPr>
          </w:p>
          <w:p w14:paraId="401A0905" w14:textId="77777777" w:rsidR="0050605D" w:rsidRPr="00B26573" w:rsidRDefault="0050605D" w:rsidP="0050605D">
            <w:pPr>
              <w:jc w:val="right"/>
              <w:rPr>
                <w:i/>
                <w:sz w:val="20"/>
              </w:rPr>
            </w:pPr>
            <w:r w:rsidRPr="00B26573">
              <w:rPr>
                <w:i/>
                <w:sz w:val="20"/>
              </w:rPr>
              <w:t>20 555</w:t>
            </w:r>
          </w:p>
          <w:p w14:paraId="41D8EDDE" w14:textId="77777777" w:rsidR="0050605D" w:rsidRPr="00B26573" w:rsidRDefault="0050605D" w:rsidP="0050605D">
            <w:pPr>
              <w:jc w:val="right"/>
              <w:rPr>
                <w:i/>
                <w:sz w:val="20"/>
                <w:szCs w:val="20"/>
              </w:rPr>
            </w:pPr>
            <w:r w:rsidRPr="00B26573">
              <w:rPr>
                <w:i/>
                <w:sz w:val="20"/>
                <w:szCs w:val="20"/>
              </w:rPr>
              <w:t>8 839</w:t>
            </w:r>
          </w:p>
          <w:p w14:paraId="3A2A2A73" w14:textId="77777777" w:rsidR="0050605D" w:rsidRPr="00B26573" w:rsidRDefault="0050605D" w:rsidP="0050605D">
            <w:pPr>
              <w:jc w:val="right"/>
              <w:rPr>
                <w:i/>
                <w:sz w:val="20"/>
                <w:szCs w:val="20"/>
              </w:rPr>
            </w:pPr>
            <w:r w:rsidRPr="00B26573">
              <w:rPr>
                <w:i/>
                <w:sz w:val="20"/>
                <w:szCs w:val="20"/>
              </w:rPr>
              <w:t>1 326</w:t>
            </w:r>
          </w:p>
          <w:p w14:paraId="7EAB5E95" w14:textId="77777777" w:rsidR="0050605D" w:rsidRPr="00B26573" w:rsidRDefault="0050605D" w:rsidP="0050605D">
            <w:pPr>
              <w:jc w:val="right"/>
              <w:rPr>
                <w:i/>
                <w:sz w:val="20"/>
                <w:szCs w:val="20"/>
              </w:rPr>
            </w:pPr>
            <w:r w:rsidRPr="00B26573">
              <w:rPr>
                <w:i/>
                <w:sz w:val="20"/>
                <w:szCs w:val="20"/>
              </w:rPr>
              <w:t>7 513</w:t>
            </w:r>
          </w:p>
          <w:p w14:paraId="0F586E0C" w14:textId="77777777" w:rsidR="0050605D" w:rsidRPr="00B26573" w:rsidRDefault="0050605D" w:rsidP="0050605D">
            <w:pPr>
              <w:jc w:val="right"/>
              <w:rPr>
                <w:i/>
                <w:sz w:val="20"/>
                <w:szCs w:val="20"/>
              </w:rPr>
            </w:pPr>
            <w:r w:rsidRPr="00B26573">
              <w:rPr>
                <w:i/>
                <w:sz w:val="20"/>
                <w:szCs w:val="20"/>
              </w:rPr>
              <w:t>128</w:t>
            </w:r>
          </w:p>
          <w:p w14:paraId="4E8275D6" w14:textId="77777777" w:rsidR="0050605D" w:rsidRPr="00B26573" w:rsidRDefault="0050605D" w:rsidP="0050605D">
            <w:pPr>
              <w:jc w:val="right"/>
              <w:rPr>
                <w:i/>
                <w:sz w:val="20"/>
                <w:szCs w:val="20"/>
              </w:rPr>
            </w:pPr>
            <w:r w:rsidRPr="00B26573">
              <w:rPr>
                <w:i/>
                <w:sz w:val="20"/>
                <w:szCs w:val="20"/>
              </w:rPr>
              <w:t>23</w:t>
            </w:r>
          </w:p>
          <w:p w14:paraId="7DEF6469" w14:textId="77777777" w:rsidR="0050605D" w:rsidRPr="00B26573" w:rsidRDefault="0050605D" w:rsidP="0050605D">
            <w:pPr>
              <w:jc w:val="right"/>
              <w:rPr>
                <w:i/>
                <w:sz w:val="20"/>
                <w:szCs w:val="20"/>
              </w:rPr>
            </w:pPr>
            <w:r w:rsidRPr="00B26573">
              <w:rPr>
                <w:i/>
                <w:sz w:val="20"/>
                <w:szCs w:val="20"/>
              </w:rPr>
              <w:t>106</w:t>
            </w:r>
          </w:p>
          <w:p w14:paraId="63EC0FE5" w14:textId="77777777" w:rsidR="0050605D" w:rsidRPr="00B26573" w:rsidRDefault="0050605D" w:rsidP="0050605D">
            <w:pPr>
              <w:jc w:val="right"/>
              <w:rPr>
                <w:i/>
                <w:sz w:val="20"/>
                <w:szCs w:val="20"/>
              </w:rPr>
            </w:pPr>
            <w:r w:rsidRPr="00B26573">
              <w:rPr>
                <w:i/>
                <w:sz w:val="20"/>
                <w:szCs w:val="20"/>
              </w:rPr>
              <w:t>2</w:t>
            </w:r>
          </w:p>
          <w:p w14:paraId="722AB8DA" w14:textId="77777777" w:rsidR="0050605D" w:rsidRPr="00B26573" w:rsidRDefault="0050605D" w:rsidP="0050605D">
            <w:pPr>
              <w:jc w:val="right"/>
              <w:rPr>
                <w:i/>
                <w:sz w:val="20"/>
                <w:szCs w:val="20"/>
              </w:rPr>
            </w:pPr>
            <w:r w:rsidRPr="00B26573">
              <w:rPr>
                <w:i/>
                <w:sz w:val="20"/>
                <w:szCs w:val="20"/>
              </w:rPr>
              <w:t>0</w:t>
            </w:r>
          </w:p>
          <w:p w14:paraId="65DC6DAE" w14:textId="6C027C47" w:rsidR="0050605D" w:rsidRPr="00B26573" w:rsidRDefault="0050605D" w:rsidP="0050605D">
            <w:pPr>
              <w:jc w:val="right"/>
              <w:rPr>
                <w:i/>
                <w:sz w:val="20"/>
                <w:szCs w:val="20"/>
              </w:rPr>
            </w:pPr>
            <w:r w:rsidRPr="00B26573">
              <w:rPr>
                <w:i/>
                <w:sz w:val="20"/>
                <w:szCs w:val="20"/>
              </w:rPr>
              <w:t>2</w:t>
            </w:r>
          </w:p>
        </w:tc>
        <w:tc>
          <w:tcPr>
            <w:tcW w:w="705" w:type="pct"/>
            <w:tcBorders>
              <w:top w:val="single" w:sz="8" w:space="0" w:color="7F7F7F" w:themeColor="text1" w:themeTint="80"/>
              <w:bottom w:val="nil"/>
            </w:tcBorders>
            <w:shd w:val="clear" w:color="auto" w:fill="auto"/>
          </w:tcPr>
          <w:p w14:paraId="36669E03" w14:textId="77777777" w:rsidR="0050605D" w:rsidRPr="00B26573" w:rsidRDefault="0050605D" w:rsidP="0050605D">
            <w:pPr>
              <w:jc w:val="right"/>
              <w:rPr>
                <w:sz w:val="20"/>
              </w:rPr>
            </w:pPr>
            <w:r w:rsidRPr="00B26573">
              <w:rPr>
                <w:sz w:val="20"/>
              </w:rPr>
              <w:t xml:space="preserve">110 185  </w:t>
            </w:r>
          </w:p>
          <w:p w14:paraId="19C8BA6D" w14:textId="77777777" w:rsidR="0050605D" w:rsidRPr="00B26573" w:rsidRDefault="0050605D" w:rsidP="0050605D">
            <w:pPr>
              <w:jc w:val="right"/>
              <w:rPr>
                <w:i/>
                <w:sz w:val="20"/>
              </w:rPr>
            </w:pPr>
          </w:p>
          <w:p w14:paraId="44A49933" w14:textId="77777777" w:rsidR="0050605D" w:rsidRPr="00B26573" w:rsidRDefault="0050605D" w:rsidP="0050605D">
            <w:pPr>
              <w:jc w:val="right"/>
              <w:rPr>
                <w:i/>
                <w:sz w:val="20"/>
              </w:rPr>
            </w:pPr>
            <w:r w:rsidRPr="00B26573">
              <w:rPr>
                <w:i/>
                <w:sz w:val="20"/>
              </w:rPr>
              <w:t xml:space="preserve">24 460 </w:t>
            </w:r>
          </w:p>
          <w:p w14:paraId="79961CCE" w14:textId="77777777" w:rsidR="0050605D" w:rsidRPr="00B26573" w:rsidRDefault="0050605D" w:rsidP="0050605D">
            <w:pPr>
              <w:jc w:val="right"/>
              <w:rPr>
                <w:i/>
                <w:sz w:val="20"/>
              </w:rPr>
            </w:pPr>
            <w:r w:rsidRPr="00B26573">
              <w:rPr>
                <w:i/>
                <w:sz w:val="20"/>
              </w:rPr>
              <w:t xml:space="preserve"> 0</w:t>
            </w:r>
          </w:p>
          <w:p w14:paraId="0EDBFE87" w14:textId="77777777" w:rsidR="0050605D" w:rsidRPr="00B26573" w:rsidRDefault="0050605D" w:rsidP="0050605D">
            <w:pPr>
              <w:jc w:val="right"/>
              <w:rPr>
                <w:i/>
                <w:sz w:val="20"/>
              </w:rPr>
            </w:pPr>
            <w:r w:rsidRPr="00B26573">
              <w:rPr>
                <w:i/>
                <w:sz w:val="20"/>
              </w:rPr>
              <w:t>0</w:t>
            </w:r>
          </w:p>
          <w:p w14:paraId="28C045E7" w14:textId="77777777" w:rsidR="0050605D" w:rsidRPr="00B26573" w:rsidRDefault="0050605D" w:rsidP="0050605D">
            <w:pPr>
              <w:jc w:val="right"/>
              <w:rPr>
                <w:i/>
                <w:sz w:val="20"/>
              </w:rPr>
            </w:pPr>
            <w:r w:rsidRPr="00B26573">
              <w:rPr>
                <w:i/>
                <w:sz w:val="20"/>
              </w:rPr>
              <w:t>0</w:t>
            </w:r>
          </w:p>
          <w:p w14:paraId="734685FB" w14:textId="77777777" w:rsidR="0050605D" w:rsidRPr="00B26573" w:rsidRDefault="0050605D" w:rsidP="0050605D">
            <w:pPr>
              <w:jc w:val="right"/>
              <w:rPr>
                <w:i/>
                <w:sz w:val="20"/>
              </w:rPr>
            </w:pPr>
            <w:r w:rsidRPr="00B26573">
              <w:rPr>
                <w:i/>
                <w:sz w:val="20"/>
              </w:rPr>
              <w:t>285</w:t>
            </w:r>
          </w:p>
          <w:p w14:paraId="738EF0EE" w14:textId="77777777" w:rsidR="0050605D" w:rsidRPr="00B26573" w:rsidRDefault="0050605D" w:rsidP="0050605D">
            <w:pPr>
              <w:jc w:val="right"/>
              <w:rPr>
                <w:i/>
                <w:sz w:val="20"/>
              </w:rPr>
            </w:pPr>
            <w:r w:rsidRPr="00B26573">
              <w:rPr>
                <w:i/>
                <w:sz w:val="20"/>
              </w:rPr>
              <w:t>43</w:t>
            </w:r>
          </w:p>
          <w:p w14:paraId="4DBDD950" w14:textId="77777777" w:rsidR="0050605D" w:rsidRPr="00B26573" w:rsidRDefault="0050605D" w:rsidP="0050605D">
            <w:pPr>
              <w:jc w:val="right"/>
              <w:rPr>
                <w:i/>
                <w:sz w:val="20"/>
              </w:rPr>
            </w:pPr>
            <w:r w:rsidRPr="00B26573">
              <w:rPr>
                <w:i/>
                <w:sz w:val="20"/>
              </w:rPr>
              <w:t>242</w:t>
            </w:r>
          </w:p>
          <w:p w14:paraId="0746BFD6" w14:textId="77777777" w:rsidR="0050605D" w:rsidRPr="00B26573" w:rsidRDefault="0050605D" w:rsidP="0050605D">
            <w:pPr>
              <w:jc w:val="right"/>
              <w:rPr>
                <w:i/>
                <w:sz w:val="20"/>
              </w:rPr>
            </w:pPr>
            <w:r w:rsidRPr="00B26573">
              <w:rPr>
                <w:i/>
                <w:sz w:val="20"/>
              </w:rPr>
              <w:t>106</w:t>
            </w:r>
          </w:p>
          <w:p w14:paraId="403A2C30" w14:textId="77777777" w:rsidR="0050605D" w:rsidRPr="00B26573" w:rsidRDefault="0050605D" w:rsidP="0050605D">
            <w:pPr>
              <w:jc w:val="right"/>
              <w:rPr>
                <w:i/>
                <w:sz w:val="20"/>
              </w:rPr>
            </w:pPr>
            <w:r w:rsidRPr="00B26573">
              <w:rPr>
                <w:i/>
                <w:sz w:val="20"/>
              </w:rPr>
              <w:t>0</w:t>
            </w:r>
          </w:p>
          <w:p w14:paraId="7359B898" w14:textId="12BE172A" w:rsidR="0050605D" w:rsidRPr="00B26573" w:rsidRDefault="0050605D" w:rsidP="0050605D">
            <w:pPr>
              <w:jc w:val="right"/>
              <w:rPr>
                <w:i/>
                <w:sz w:val="20"/>
              </w:rPr>
            </w:pPr>
            <w:r w:rsidRPr="00B26573">
              <w:rPr>
                <w:i/>
                <w:sz w:val="20"/>
              </w:rPr>
              <w:t xml:space="preserve">106        </w:t>
            </w:r>
          </w:p>
        </w:tc>
        <w:tc>
          <w:tcPr>
            <w:tcW w:w="667" w:type="pct"/>
            <w:tcBorders>
              <w:top w:val="single" w:sz="8" w:space="0" w:color="7F7F7F" w:themeColor="text1" w:themeTint="80"/>
              <w:bottom w:val="nil"/>
            </w:tcBorders>
            <w:shd w:val="clear" w:color="auto" w:fill="auto"/>
          </w:tcPr>
          <w:p w14:paraId="7BB05F70" w14:textId="77777777" w:rsidR="0050605D" w:rsidRPr="00B26573" w:rsidRDefault="0050605D" w:rsidP="0050605D">
            <w:pPr>
              <w:jc w:val="right"/>
              <w:rPr>
                <w:sz w:val="20"/>
              </w:rPr>
            </w:pPr>
            <w:r w:rsidRPr="00B26573">
              <w:rPr>
                <w:sz w:val="20"/>
              </w:rPr>
              <w:t xml:space="preserve">114 562  </w:t>
            </w:r>
          </w:p>
          <w:p w14:paraId="384A42F9" w14:textId="77777777" w:rsidR="0050605D" w:rsidRPr="00B26573" w:rsidRDefault="0050605D" w:rsidP="0050605D">
            <w:pPr>
              <w:jc w:val="right"/>
              <w:rPr>
                <w:i/>
                <w:sz w:val="20"/>
              </w:rPr>
            </w:pPr>
          </w:p>
          <w:p w14:paraId="13F82AE5" w14:textId="77777777" w:rsidR="0050605D" w:rsidRPr="00B26573" w:rsidRDefault="0050605D" w:rsidP="0050605D">
            <w:pPr>
              <w:jc w:val="right"/>
              <w:rPr>
                <w:i/>
                <w:sz w:val="20"/>
              </w:rPr>
            </w:pPr>
            <w:r w:rsidRPr="00B26573">
              <w:rPr>
                <w:i/>
                <w:sz w:val="20"/>
              </w:rPr>
              <w:t xml:space="preserve">24 922 </w:t>
            </w:r>
          </w:p>
          <w:p w14:paraId="32923DE7" w14:textId="77777777" w:rsidR="0050605D" w:rsidRPr="00B26573" w:rsidRDefault="0050605D" w:rsidP="0050605D">
            <w:pPr>
              <w:jc w:val="right"/>
              <w:rPr>
                <w:i/>
                <w:sz w:val="20"/>
              </w:rPr>
            </w:pPr>
            <w:r w:rsidRPr="00B26573">
              <w:rPr>
                <w:i/>
                <w:sz w:val="20"/>
              </w:rPr>
              <w:t xml:space="preserve"> 0</w:t>
            </w:r>
          </w:p>
          <w:p w14:paraId="2F5D8EED" w14:textId="77777777" w:rsidR="0050605D" w:rsidRPr="00B26573" w:rsidRDefault="0050605D" w:rsidP="0050605D">
            <w:pPr>
              <w:jc w:val="right"/>
              <w:rPr>
                <w:i/>
                <w:sz w:val="20"/>
              </w:rPr>
            </w:pPr>
            <w:r w:rsidRPr="00B26573">
              <w:rPr>
                <w:i/>
                <w:sz w:val="20"/>
              </w:rPr>
              <w:t>0</w:t>
            </w:r>
          </w:p>
          <w:p w14:paraId="3340E2EE" w14:textId="77777777" w:rsidR="0050605D" w:rsidRPr="00B26573" w:rsidRDefault="0050605D" w:rsidP="0050605D">
            <w:pPr>
              <w:jc w:val="right"/>
              <w:rPr>
                <w:i/>
                <w:sz w:val="20"/>
              </w:rPr>
            </w:pPr>
            <w:r w:rsidRPr="00B26573">
              <w:rPr>
                <w:i/>
                <w:sz w:val="20"/>
              </w:rPr>
              <w:t>0</w:t>
            </w:r>
          </w:p>
          <w:p w14:paraId="5B4E8D37" w14:textId="77777777" w:rsidR="0050605D" w:rsidRPr="00B26573" w:rsidRDefault="0050605D" w:rsidP="0050605D">
            <w:pPr>
              <w:jc w:val="right"/>
              <w:rPr>
                <w:i/>
                <w:sz w:val="20"/>
              </w:rPr>
            </w:pPr>
            <w:r w:rsidRPr="00B26573">
              <w:rPr>
                <w:i/>
                <w:sz w:val="20"/>
              </w:rPr>
              <w:t>0</w:t>
            </w:r>
          </w:p>
          <w:p w14:paraId="6F8C5F21" w14:textId="77777777" w:rsidR="0050605D" w:rsidRPr="00B26573" w:rsidRDefault="0050605D" w:rsidP="0050605D">
            <w:pPr>
              <w:jc w:val="right"/>
              <w:rPr>
                <w:i/>
                <w:sz w:val="20"/>
              </w:rPr>
            </w:pPr>
            <w:r w:rsidRPr="00B26573">
              <w:rPr>
                <w:i/>
                <w:sz w:val="20"/>
              </w:rPr>
              <w:t>0</w:t>
            </w:r>
          </w:p>
          <w:p w14:paraId="772A6142" w14:textId="77777777" w:rsidR="0050605D" w:rsidRPr="00B26573" w:rsidRDefault="0050605D" w:rsidP="0050605D">
            <w:pPr>
              <w:jc w:val="right"/>
              <w:rPr>
                <w:i/>
                <w:sz w:val="20"/>
              </w:rPr>
            </w:pPr>
            <w:r w:rsidRPr="00B26573">
              <w:rPr>
                <w:i/>
                <w:sz w:val="20"/>
              </w:rPr>
              <w:t>0</w:t>
            </w:r>
          </w:p>
          <w:p w14:paraId="2FE20CF3" w14:textId="77777777" w:rsidR="0050605D" w:rsidRPr="00B26573" w:rsidRDefault="0050605D" w:rsidP="0050605D">
            <w:pPr>
              <w:jc w:val="right"/>
              <w:rPr>
                <w:i/>
                <w:sz w:val="20"/>
              </w:rPr>
            </w:pPr>
            <w:r w:rsidRPr="00B26573">
              <w:rPr>
                <w:i/>
                <w:sz w:val="20"/>
              </w:rPr>
              <w:t>63</w:t>
            </w:r>
          </w:p>
          <w:p w14:paraId="0E179661" w14:textId="77777777" w:rsidR="0050605D" w:rsidRPr="00B26573" w:rsidRDefault="0050605D" w:rsidP="0050605D">
            <w:pPr>
              <w:jc w:val="right"/>
              <w:rPr>
                <w:i/>
                <w:sz w:val="20"/>
              </w:rPr>
            </w:pPr>
            <w:r w:rsidRPr="00B26573">
              <w:rPr>
                <w:i/>
                <w:sz w:val="20"/>
              </w:rPr>
              <w:t>0</w:t>
            </w:r>
          </w:p>
          <w:p w14:paraId="0E8776EE" w14:textId="39F0C162" w:rsidR="0050605D" w:rsidRPr="00B26573" w:rsidRDefault="0050605D" w:rsidP="0050605D">
            <w:pPr>
              <w:jc w:val="right"/>
              <w:rPr>
                <w:i/>
                <w:sz w:val="20"/>
              </w:rPr>
            </w:pPr>
            <w:r w:rsidRPr="00B26573">
              <w:rPr>
                <w:i/>
                <w:sz w:val="20"/>
              </w:rPr>
              <w:t xml:space="preserve">63        </w:t>
            </w:r>
          </w:p>
        </w:tc>
        <w:tc>
          <w:tcPr>
            <w:tcW w:w="501" w:type="pct"/>
            <w:tcBorders>
              <w:top w:val="single" w:sz="8" w:space="0" w:color="7F7F7F" w:themeColor="text1" w:themeTint="80"/>
              <w:bottom w:val="nil"/>
            </w:tcBorders>
            <w:shd w:val="clear" w:color="auto" w:fill="auto"/>
          </w:tcPr>
          <w:p w14:paraId="6437A4A4" w14:textId="77777777" w:rsidR="0050605D" w:rsidRPr="00B26573" w:rsidRDefault="0050605D" w:rsidP="0050605D">
            <w:pPr>
              <w:jc w:val="right"/>
              <w:rPr>
                <w:sz w:val="20"/>
              </w:rPr>
            </w:pPr>
            <w:r w:rsidRPr="00B26573">
              <w:rPr>
                <w:sz w:val="20"/>
              </w:rPr>
              <w:t>103,97</w:t>
            </w:r>
          </w:p>
          <w:p w14:paraId="45B411D4" w14:textId="77777777" w:rsidR="0050605D" w:rsidRPr="00B26573" w:rsidRDefault="0050605D" w:rsidP="0050605D">
            <w:pPr>
              <w:jc w:val="right"/>
              <w:rPr>
                <w:i/>
                <w:sz w:val="20"/>
              </w:rPr>
            </w:pPr>
          </w:p>
          <w:p w14:paraId="281CBB39" w14:textId="77777777" w:rsidR="0050605D" w:rsidRPr="00B26573" w:rsidRDefault="0050605D" w:rsidP="0050605D">
            <w:pPr>
              <w:jc w:val="right"/>
              <w:rPr>
                <w:i/>
                <w:sz w:val="20"/>
              </w:rPr>
            </w:pPr>
            <w:r w:rsidRPr="00B26573">
              <w:rPr>
                <w:i/>
                <w:sz w:val="20"/>
              </w:rPr>
              <w:t>101,89</w:t>
            </w:r>
          </w:p>
          <w:p w14:paraId="71473EF0" w14:textId="77777777" w:rsidR="0050605D" w:rsidRPr="00B26573" w:rsidRDefault="0050605D" w:rsidP="0050605D">
            <w:pPr>
              <w:jc w:val="right"/>
              <w:rPr>
                <w:i/>
                <w:sz w:val="20"/>
              </w:rPr>
            </w:pPr>
            <w:r w:rsidRPr="00B26573">
              <w:rPr>
                <w:i/>
                <w:sz w:val="20"/>
              </w:rPr>
              <w:t>x</w:t>
            </w:r>
          </w:p>
          <w:p w14:paraId="55467718" w14:textId="77777777" w:rsidR="0050605D" w:rsidRPr="00B26573" w:rsidRDefault="0050605D" w:rsidP="0050605D">
            <w:pPr>
              <w:jc w:val="right"/>
              <w:rPr>
                <w:i/>
                <w:sz w:val="20"/>
              </w:rPr>
            </w:pPr>
            <w:r w:rsidRPr="00B26573">
              <w:rPr>
                <w:i/>
                <w:sz w:val="20"/>
              </w:rPr>
              <w:t>x</w:t>
            </w:r>
          </w:p>
          <w:p w14:paraId="0B53C1F1" w14:textId="77777777" w:rsidR="0050605D" w:rsidRPr="00B26573" w:rsidRDefault="0050605D" w:rsidP="0050605D">
            <w:pPr>
              <w:jc w:val="right"/>
              <w:rPr>
                <w:i/>
                <w:sz w:val="20"/>
              </w:rPr>
            </w:pPr>
            <w:r w:rsidRPr="00B26573">
              <w:rPr>
                <w:i/>
                <w:sz w:val="20"/>
              </w:rPr>
              <w:t>x</w:t>
            </w:r>
          </w:p>
          <w:p w14:paraId="2743F572" w14:textId="77777777" w:rsidR="0050605D" w:rsidRPr="00B26573" w:rsidRDefault="0050605D" w:rsidP="0050605D">
            <w:pPr>
              <w:jc w:val="right"/>
              <w:rPr>
                <w:i/>
                <w:sz w:val="20"/>
              </w:rPr>
            </w:pPr>
            <w:r w:rsidRPr="00B26573">
              <w:rPr>
                <w:i/>
                <w:sz w:val="20"/>
              </w:rPr>
              <w:t>0,00</w:t>
            </w:r>
          </w:p>
          <w:p w14:paraId="752BE769" w14:textId="77777777" w:rsidR="0050605D" w:rsidRPr="00B26573" w:rsidRDefault="0050605D" w:rsidP="0050605D">
            <w:pPr>
              <w:jc w:val="right"/>
              <w:rPr>
                <w:i/>
                <w:sz w:val="20"/>
              </w:rPr>
            </w:pPr>
            <w:r w:rsidRPr="00B26573">
              <w:rPr>
                <w:i/>
                <w:sz w:val="20"/>
              </w:rPr>
              <w:t>0,00</w:t>
            </w:r>
          </w:p>
          <w:p w14:paraId="30598E8C" w14:textId="77777777" w:rsidR="0050605D" w:rsidRPr="00B26573" w:rsidRDefault="0050605D" w:rsidP="0050605D">
            <w:pPr>
              <w:jc w:val="right"/>
              <w:rPr>
                <w:i/>
                <w:sz w:val="20"/>
              </w:rPr>
            </w:pPr>
            <w:r w:rsidRPr="00B26573">
              <w:rPr>
                <w:i/>
                <w:sz w:val="20"/>
              </w:rPr>
              <w:t>0,00</w:t>
            </w:r>
          </w:p>
          <w:p w14:paraId="76BE5DCF" w14:textId="77777777" w:rsidR="0050605D" w:rsidRPr="00B26573" w:rsidRDefault="0050605D" w:rsidP="0050605D">
            <w:pPr>
              <w:jc w:val="right"/>
              <w:rPr>
                <w:i/>
                <w:sz w:val="20"/>
              </w:rPr>
            </w:pPr>
            <w:r w:rsidRPr="00B26573">
              <w:rPr>
                <w:i/>
                <w:sz w:val="20"/>
              </w:rPr>
              <w:t>59,43</w:t>
            </w:r>
          </w:p>
          <w:p w14:paraId="0021BCF3" w14:textId="753C1AB3" w:rsidR="0050605D" w:rsidRPr="00B26573" w:rsidRDefault="00E43566" w:rsidP="0050605D">
            <w:pPr>
              <w:jc w:val="right"/>
              <w:rPr>
                <w:i/>
                <w:sz w:val="20"/>
              </w:rPr>
            </w:pPr>
            <w:r>
              <w:rPr>
                <w:i/>
                <w:sz w:val="20"/>
              </w:rPr>
              <w:t>x</w:t>
            </w:r>
          </w:p>
          <w:p w14:paraId="6D195AD4" w14:textId="295A5560" w:rsidR="0050605D" w:rsidRPr="00B26573" w:rsidRDefault="0050605D" w:rsidP="0050605D">
            <w:pPr>
              <w:jc w:val="right"/>
              <w:rPr>
                <w:i/>
                <w:sz w:val="20"/>
              </w:rPr>
            </w:pPr>
            <w:r w:rsidRPr="00B26573">
              <w:rPr>
                <w:i/>
                <w:sz w:val="20"/>
              </w:rPr>
              <w:t>59,43</w:t>
            </w:r>
          </w:p>
        </w:tc>
      </w:tr>
      <w:tr w:rsidR="00B26573" w:rsidRPr="00B26573" w14:paraId="18E4A671" w14:textId="77777777" w:rsidTr="00C36AC5">
        <w:trPr>
          <w:trHeight w:val="708"/>
          <w:jc w:val="right"/>
        </w:trPr>
        <w:tc>
          <w:tcPr>
            <w:tcW w:w="2343" w:type="pct"/>
            <w:tcBorders>
              <w:top w:val="nil"/>
            </w:tcBorders>
            <w:shd w:val="clear" w:color="auto" w:fill="auto"/>
          </w:tcPr>
          <w:p w14:paraId="0F139E8A" w14:textId="77777777" w:rsidR="0050605D" w:rsidRPr="00B26573" w:rsidRDefault="0050605D" w:rsidP="0050605D">
            <w:pPr>
              <w:tabs>
                <w:tab w:val="left" w:pos="880"/>
              </w:tabs>
              <w:jc w:val="center"/>
              <w:rPr>
                <w:b/>
                <w:bCs/>
                <w:i/>
                <w:sz w:val="20"/>
              </w:rPr>
            </w:pPr>
            <w:r w:rsidRPr="00B26573">
              <w:rPr>
                <w:i/>
                <w:sz w:val="20"/>
              </w:rPr>
              <w:t xml:space="preserve">         Nástroj pro propojení Evropy (CEF) 2021+ </w:t>
            </w:r>
          </w:p>
          <w:p w14:paraId="7EB5C462" w14:textId="77777777" w:rsidR="0050605D" w:rsidRPr="00B26573" w:rsidRDefault="0050605D" w:rsidP="0050605D">
            <w:pPr>
              <w:jc w:val="center"/>
              <w:rPr>
                <w:b/>
                <w:bCs/>
                <w:i/>
                <w:sz w:val="20"/>
              </w:rPr>
            </w:pPr>
            <w:r w:rsidRPr="00B26573">
              <w:rPr>
                <w:i/>
                <w:sz w:val="20"/>
              </w:rPr>
              <w:t xml:space="preserve">                         v tom: ze SR</w:t>
            </w:r>
          </w:p>
          <w:p w14:paraId="1E3BE2E8" w14:textId="77777777" w:rsidR="0050605D" w:rsidRPr="00B26573" w:rsidRDefault="0050605D" w:rsidP="0050605D">
            <w:pPr>
              <w:rPr>
                <w:b/>
                <w:bCs/>
                <w:i/>
                <w:sz w:val="20"/>
              </w:rPr>
            </w:pPr>
            <w:r w:rsidRPr="00B26573">
              <w:rPr>
                <w:i/>
                <w:sz w:val="20"/>
              </w:rPr>
              <w:t xml:space="preserve">                                                     z rozpočtu EU </w:t>
            </w:r>
          </w:p>
          <w:p w14:paraId="7A7CA922" w14:textId="77777777" w:rsidR="0050605D" w:rsidRPr="00B26573" w:rsidRDefault="0050605D" w:rsidP="0050605D">
            <w:pPr>
              <w:rPr>
                <w:b/>
                <w:bCs/>
                <w:i/>
                <w:sz w:val="20"/>
              </w:rPr>
            </w:pPr>
            <w:r w:rsidRPr="00B26573">
              <w:rPr>
                <w:i/>
                <w:sz w:val="20"/>
              </w:rPr>
              <w:t xml:space="preserve">         Operační program Doprava – CF  2021 +</w:t>
            </w:r>
          </w:p>
          <w:p w14:paraId="1B7168CD" w14:textId="77777777" w:rsidR="0050605D" w:rsidRPr="00B26573" w:rsidRDefault="0050605D" w:rsidP="0050605D">
            <w:pPr>
              <w:rPr>
                <w:b/>
                <w:bCs/>
                <w:i/>
                <w:sz w:val="20"/>
              </w:rPr>
            </w:pPr>
            <w:r w:rsidRPr="00B26573">
              <w:rPr>
                <w:i/>
                <w:sz w:val="20"/>
              </w:rPr>
              <w:t xml:space="preserve">                                            v tom: ze SR</w:t>
            </w:r>
          </w:p>
          <w:p w14:paraId="68CE463B" w14:textId="77777777" w:rsidR="0050605D" w:rsidRPr="00B26573" w:rsidRDefault="0050605D" w:rsidP="0050605D">
            <w:pPr>
              <w:rPr>
                <w:b/>
                <w:bCs/>
                <w:i/>
                <w:sz w:val="20"/>
              </w:rPr>
            </w:pPr>
            <w:r w:rsidRPr="00B26573">
              <w:rPr>
                <w:i/>
                <w:sz w:val="20"/>
              </w:rPr>
              <w:t xml:space="preserve">                                                       z rozpočtu EU  </w:t>
            </w:r>
          </w:p>
          <w:p w14:paraId="4C692365" w14:textId="77777777" w:rsidR="0050605D" w:rsidRPr="00B26573" w:rsidRDefault="0050605D" w:rsidP="0050605D">
            <w:pPr>
              <w:rPr>
                <w:b/>
                <w:bCs/>
                <w:i/>
                <w:sz w:val="20"/>
              </w:rPr>
            </w:pPr>
            <w:r w:rsidRPr="00B26573">
              <w:rPr>
                <w:i/>
                <w:sz w:val="20"/>
              </w:rPr>
              <w:t xml:space="preserve">          Kosmický program Unie</w:t>
            </w:r>
          </w:p>
          <w:p w14:paraId="787FAAFC" w14:textId="77777777" w:rsidR="0050605D" w:rsidRPr="00B26573" w:rsidRDefault="0050605D" w:rsidP="0050605D">
            <w:pPr>
              <w:rPr>
                <w:b/>
                <w:bCs/>
                <w:i/>
                <w:sz w:val="20"/>
              </w:rPr>
            </w:pPr>
            <w:r w:rsidRPr="00B26573">
              <w:rPr>
                <w:i/>
                <w:sz w:val="20"/>
              </w:rPr>
              <w:t xml:space="preserve">                                            v tom: ze SR</w:t>
            </w:r>
          </w:p>
          <w:p w14:paraId="54CF88D2" w14:textId="77777777" w:rsidR="0050605D" w:rsidRPr="00B26573" w:rsidRDefault="0050605D" w:rsidP="0050605D">
            <w:pPr>
              <w:rPr>
                <w:b/>
                <w:bCs/>
                <w:i/>
                <w:sz w:val="20"/>
              </w:rPr>
            </w:pPr>
            <w:r w:rsidRPr="00B26573">
              <w:rPr>
                <w:i/>
                <w:sz w:val="20"/>
              </w:rPr>
              <w:t xml:space="preserve">                                                       z rozpočtu EU </w:t>
            </w:r>
          </w:p>
          <w:p w14:paraId="38C0C31F" w14:textId="77777777" w:rsidR="0050605D" w:rsidRPr="00B26573" w:rsidRDefault="0050605D" w:rsidP="0050605D">
            <w:pPr>
              <w:rPr>
                <w:b/>
                <w:bCs/>
                <w:i/>
                <w:sz w:val="20"/>
              </w:rPr>
            </w:pPr>
            <w:r w:rsidRPr="00B26573">
              <w:rPr>
                <w:i/>
                <w:sz w:val="20"/>
              </w:rPr>
              <w:t xml:space="preserve">        NPO systémová podpora veřejných investic</w:t>
            </w:r>
          </w:p>
          <w:p w14:paraId="560A4624" w14:textId="77777777" w:rsidR="0050605D" w:rsidRPr="00B26573" w:rsidRDefault="0050605D" w:rsidP="0050605D">
            <w:pPr>
              <w:rPr>
                <w:b/>
                <w:bCs/>
                <w:i/>
                <w:sz w:val="20"/>
              </w:rPr>
            </w:pPr>
            <w:r w:rsidRPr="00B26573">
              <w:rPr>
                <w:i/>
                <w:sz w:val="20"/>
              </w:rPr>
              <w:t xml:space="preserve">                                            v tom: ze SR</w:t>
            </w:r>
          </w:p>
          <w:p w14:paraId="17A8AD16" w14:textId="6331B0A9" w:rsidR="0050605D" w:rsidRPr="00B26573" w:rsidRDefault="0050605D" w:rsidP="0050605D">
            <w:pPr>
              <w:rPr>
                <w:i/>
                <w:sz w:val="20"/>
              </w:rPr>
            </w:pPr>
            <w:r w:rsidRPr="00B26573">
              <w:rPr>
                <w:i/>
                <w:sz w:val="20"/>
              </w:rPr>
              <w:t xml:space="preserve">                                                       z rozpočtu EU                                                                                                                                                                                                                                                                                                                                                                                                                                                                                                                                                                                                                                                                                                                                                                                                                                                                                                                                                                                                                                                                                                                                                                                                                                                                                                                                                                                                                                                                                                                                                                                                                                                                                                                                                                                                                                                                                                                                                                                                                                                                                                                                                                                                                                                                                                                                                                                                                                                                                                                                                                                                                                                                                                                                                                                                                                                                                                                                                                                                                                                                                                                                                                                                                                                                                                                                                                                                                                                                                                                                                                                                                                                                                                                                                                                                                                                                                                                                                                                                                                                                                                                                                                                                                                                                                                                                                                                                                                                                                                                                                                                                                                                                                                                                                                                                                                                                                                                                                                                                                                                                                                                                                                                                                                                                                                                                                                                                                                                                                                                                                                                                                                                                                                                                                                                                                                                                                                                                                                                                                                                                                                                                                                                                                                                                                                                                                                                                                                                                                                                                                                                                                                                                                                                                                                                                                                                                                                                                                                                                                                                                                                                                                                                                                                                                                                                                                                                                                                                                                                                                                                                                                                                                                                                                                                                                                                                                                                                                                                                                                                                                                                                                                                                                                                                                                                                                                                                                                                                                                                                                                                                                                                                                                                                                                                                                                                                                                                                                                                                                                                                                                                                                                                                                                                                                                                                                                                                                                                                                                                                                                                                                                                                                                                                                                                                                                                                                                                                                                                                                                                                                                                                                                                                                                                                                                                                                                                                                                                                                                                                                                                                                                                                                                                                                                                                                                                                                                                                                                                                                                                                                                                                                                                                                                                                                                                                                                                                                                                                                                                                                                                                                                                                                                                                                                                                                                                                                                                                                                                                                                                                                                                                                                                                                                                                                                                                                                                                                                                                                                                                                                                                                                                                                                                                                                                                                                                                                                                                                                                                                                                                                                                                                                                                                                                                                                                                                                                                                                                                                                                                                                                                                                                                                                                                                                                                                                                                                                                                                                                                                                                                                                                                                </w:t>
            </w:r>
          </w:p>
        </w:tc>
        <w:tc>
          <w:tcPr>
            <w:tcW w:w="784" w:type="pct"/>
            <w:tcBorders>
              <w:top w:val="nil"/>
            </w:tcBorders>
            <w:shd w:val="clear" w:color="auto" w:fill="auto"/>
          </w:tcPr>
          <w:p w14:paraId="08947EEC" w14:textId="77777777" w:rsidR="0050605D" w:rsidRPr="00B26573" w:rsidRDefault="0050605D" w:rsidP="0050605D">
            <w:pPr>
              <w:rPr>
                <w:i/>
                <w:sz w:val="20"/>
                <w:szCs w:val="20"/>
              </w:rPr>
            </w:pPr>
            <w:r w:rsidRPr="00B26573">
              <w:rPr>
                <w:i/>
                <w:sz w:val="20"/>
                <w:szCs w:val="20"/>
              </w:rPr>
              <w:t xml:space="preserve">               1 255</w:t>
            </w:r>
          </w:p>
          <w:p w14:paraId="43D5DE54" w14:textId="77777777" w:rsidR="0050605D" w:rsidRPr="00B26573" w:rsidRDefault="0050605D" w:rsidP="0050605D">
            <w:pPr>
              <w:jc w:val="right"/>
              <w:rPr>
                <w:i/>
                <w:sz w:val="20"/>
                <w:szCs w:val="20"/>
              </w:rPr>
            </w:pPr>
            <w:r w:rsidRPr="00B26573">
              <w:rPr>
                <w:i/>
                <w:sz w:val="20"/>
                <w:szCs w:val="20"/>
              </w:rPr>
              <w:t>0</w:t>
            </w:r>
          </w:p>
          <w:p w14:paraId="7EBF1800" w14:textId="77777777" w:rsidR="0050605D" w:rsidRPr="00B26573" w:rsidRDefault="0050605D" w:rsidP="0050605D">
            <w:pPr>
              <w:jc w:val="right"/>
              <w:rPr>
                <w:i/>
                <w:sz w:val="20"/>
                <w:szCs w:val="20"/>
              </w:rPr>
            </w:pPr>
            <w:r w:rsidRPr="00B26573">
              <w:rPr>
                <w:i/>
                <w:sz w:val="20"/>
                <w:szCs w:val="20"/>
              </w:rPr>
              <w:t>1 255</w:t>
            </w:r>
          </w:p>
          <w:p w14:paraId="0408AFE4" w14:textId="77777777" w:rsidR="0050605D" w:rsidRPr="00B26573" w:rsidRDefault="0050605D" w:rsidP="0050605D">
            <w:pPr>
              <w:jc w:val="right"/>
              <w:rPr>
                <w:i/>
                <w:sz w:val="20"/>
                <w:szCs w:val="20"/>
              </w:rPr>
            </w:pPr>
            <w:r w:rsidRPr="00B26573">
              <w:rPr>
                <w:i/>
                <w:sz w:val="20"/>
                <w:szCs w:val="20"/>
              </w:rPr>
              <w:t>9 974</w:t>
            </w:r>
          </w:p>
          <w:p w14:paraId="5C5062EB" w14:textId="77777777" w:rsidR="0050605D" w:rsidRPr="00B26573" w:rsidRDefault="0050605D" w:rsidP="0050605D">
            <w:pPr>
              <w:jc w:val="right"/>
              <w:rPr>
                <w:i/>
                <w:sz w:val="20"/>
                <w:szCs w:val="20"/>
              </w:rPr>
            </w:pPr>
            <w:r w:rsidRPr="00B26573">
              <w:rPr>
                <w:i/>
                <w:sz w:val="20"/>
                <w:szCs w:val="20"/>
              </w:rPr>
              <w:t>1 496</w:t>
            </w:r>
          </w:p>
          <w:p w14:paraId="12EFA7D7" w14:textId="77777777" w:rsidR="0050605D" w:rsidRPr="00B26573" w:rsidRDefault="0050605D" w:rsidP="0050605D">
            <w:pPr>
              <w:jc w:val="right"/>
              <w:rPr>
                <w:i/>
                <w:sz w:val="20"/>
                <w:szCs w:val="20"/>
              </w:rPr>
            </w:pPr>
            <w:r w:rsidRPr="00B26573">
              <w:rPr>
                <w:i/>
                <w:sz w:val="20"/>
                <w:szCs w:val="20"/>
              </w:rPr>
              <w:t>8 478</w:t>
            </w:r>
          </w:p>
          <w:p w14:paraId="0F06AE1D" w14:textId="77777777" w:rsidR="0050605D" w:rsidRPr="00B26573" w:rsidRDefault="0050605D" w:rsidP="0050605D">
            <w:pPr>
              <w:jc w:val="right"/>
              <w:rPr>
                <w:i/>
                <w:sz w:val="20"/>
                <w:szCs w:val="20"/>
              </w:rPr>
            </w:pPr>
            <w:r w:rsidRPr="00B26573">
              <w:rPr>
                <w:i/>
                <w:sz w:val="20"/>
                <w:szCs w:val="20"/>
              </w:rPr>
              <w:t>74</w:t>
            </w:r>
          </w:p>
          <w:p w14:paraId="0E523B32" w14:textId="77777777" w:rsidR="0050605D" w:rsidRPr="00B26573" w:rsidRDefault="0050605D" w:rsidP="0050605D">
            <w:pPr>
              <w:jc w:val="right"/>
              <w:rPr>
                <w:i/>
                <w:sz w:val="20"/>
                <w:szCs w:val="20"/>
              </w:rPr>
            </w:pPr>
            <w:r w:rsidRPr="00B26573">
              <w:rPr>
                <w:i/>
                <w:sz w:val="20"/>
                <w:szCs w:val="20"/>
              </w:rPr>
              <w:t>0</w:t>
            </w:r>
          </w:p>
          <w:p w14:paraId="03B5AA89" w14:textId="77777777" w:rsidR="0050605D" w:rsidRPr="00B26573" w:rsidRDefault="0050605D" w:rsidP="0050605D">
            <w:pPr>
              <w:jc w:val="right"/>
              <w:rPr>
                <w:i/>
                <w:sz w:val="20"/>
                <w:szCs w:val="20"/>
              </w:rPr>
            </w:pPr>
            <w:r w:rsidRPr="00B26573">
              <w:rPr>
                <w:i/>
                <w:sz w:val="20"/>
                <w:szCs w:val="20"/>
              </w:rPr>
              <w:t>74</w:t>
            </w:r>
          </w:p>
          <w:p w14:paraId="6B5BF42D" w14:textId="77777777" w:rsidR="0050605D" w:rsidRPr="00B26573" w:rsidRDefault="0050605D" w:rsidP="0050605D">
            <w:pPr>
              <w:jc w:val="right"/>
              <w:rPr>
                <w:i/>
                <w:sz w:val="20"/>
                <w:szCs w:val="20"/>
              </w:rPr>
            </w:pPr>
            <w:r w:rsidRPr="00B26573">
              <w:rPr>
                <w:i/>
                <w:sz w:val="20"/>
                <w:szCs w:val="20"/>
              </w:rPr>
              <w:t>283</w:t>
            </w:r>
          </w:p>
          <w:p w14:paraId="41B35B35" w14:textId="77777777" w:rsidR="0050605D" w:rsidRPr="00B26573" w:rsidRDefault="0050605D" w:rsidP="0050605D">
            <w:pPr>
              <w:jc w:val="right"/>
              <w:rPr>
                <w:i/>
                <w:sz w:val="20"/>
                <w:szCs w:val="20"/>
              </w:rPr>
            </w:pPr>
            <w:r w:rsidRPr="00B26573">
              <w:rPr>
                <w:i/>
                <w:sz w:val="20"/>
                <w:szCs w:val="20"/>
              </w:rPr>
              <w:t>0</w:t>
            </w:r>
          </w:p>
          <w:p w14:paraId="6A052AEB" w14:textId="18BED9A5" w:rsidR="0050605D" w:rsidRPr="00B26573" w:rsidRDefault="0050605D" w:rsidP="0050605D">
            <w:pPr>
              <w:jc w:val="right"/>
              <w:rPr>
                <w:i/>
                <w:sz w:val="20"/>
                <w:szCs w:val="20"/>
              </w:rPr>
            </w:pPr>
            <w:r w:rsidRPr="00B26573">
              <w:rPr>
                <w:i/>
                <w:sz w:val="20"/>
                <w:szCs w:val="20"/>
              </w:rPr>
              <w:t>283</w:t>
            </w:r>
          </w:p>
        </w:tc>
        <w:tc>
          <w:tcPr>
            <w:tcW w:w="705" w:type="pct"/>
            <w:tcBorders>
              <w:top w:val="nil"/>
            </w:tcBorders>
            <w:shd w:val="clear" w:color="auto" w:fill="auto"/>
          </w:tcPr>
          <w:p w14:paraId="44F30660" w14:textId="77777777" w:rsidR="0050605D" w:rsidRPr="00B26573" w:rsidRDefault="0050605D" w:rsidP="0050605D">
            <w:pPr>
              <w:jc w:val="right"/>
              <w:rPr>
                <w:i/>
                <w:sz w:val="20"/>
              </w:rPr>
            </w:pPr>
            <w:r w:rsidRPr="00B26573">
              <w:rPr>
                <w:i/>
                <w:sz w:val="20"/>
              </w:rPr>
              <w:t>2 316</w:t>
            </w:r>
          </w:p>
          <w:p w14:paraId="3A485CEE" w14:textId="77777777" w:rsidR="0050605D" w:rsidRPr="00B26573" w:rsidRDefault="0050605D" w:rsidP="0050605D">
            <w:pPr>
              <w:jc w:val="right"/>
              <w:rPr>
                <w:i/>
                <w:sz w:val="20"/>
              </w:rPr>
            </w:pPr>
            <w:r w:rsidRPr="00B26573">
              <w:rPr>
                <w:i/>
                <w:sz w:val="20"/>
              </w:rPr>
              <w:t>143</w:t>
            </w:r>
          </w:p>
          <w:p w14:paraId="0521D7F4" w14:textId="77777777" w:rsidR="0050605D" w:rsidRPr="00B26573" w:rsidRDefault="0050605D" w:rsidP="0050605D">
            <w:pPr>
              <w:jc w:val="right"/>
              <w:rPr>
                <w:i/>
                <w:sz w:val="20"/>
              </w:rPr>
            </w:pPr>
            <w:r w:rsidRPr="00B26573">
              <w:rPr>
                <w:i/>
                <w:sz w:val="20"/>
              </w:rPr>
              <w:t>2 173</w:t>
            </w:r>
          </w:p>
          <w:p w14:paraId="7E6655AC" w14:textId="77777777" w:rsidR="0050605D" w:rsidRPr="00B26573" w:rsidRDefault="0050605D" w:rsidP="0050605D">
            <w:pPr>
              <w:jc w:val="right"/>
              <w:rPr>
                <w:i/>
                <w:sz w:val="20"/>
              </w:rPr>
            </w:pPr>
            <w:r w:rsidRPr="00B26573">
              <w:rPr>
                <w:i/>
                <w:sz w:val="20"/>
              </w:rPr>
              <w:t>19 608</w:t>
            </w:r>
          </w:p>
          <w:p w14:paraId="36F1A3DE" w14:textId="77777777" w:rsidR="0050605D" w:rsidRPr="00B26573" w:rsidRDefault="0050605D" w:rsidP="0050605D">
            <w:pPr>
              <w:jc w:val="right"/>
              <w:rPr>
                <w:i/>
                <w:sz w:val="20"/>
              </w:rPr>
            </w:pPr>
            <w:r w:rsidRPr="00B26573">
              <w:rPr>
                <w:i/>
                <w:sz w:val="20"/>
              </w:rPr>
              <w:t>2 941</w:t>
            </w:r>
          </w:p>
          <w:p w14:paraId="6F284334" w14:textId="77777777" w:rsidR="0050605D" w:rsidRPr="00B26573" w:rsidRDefault="0050605D" w:rsidP="0050605D">
            <w:pPr>
              <w:jc w:val="right"/>
              <w:rPr>
                <w:i/>
                <w:sz w:val="20"/>
              </w:rPr>
            </w:pPr>
            <w:r w:rsidRPr="00B26573">
              <w:rPr>
                <w:i/>
                <w:sz w:val="20"/>
              </w:rPr>
              <w:t>16 667</w:t>
            </w:r>
          </w:p>
          <w:p w14:paraId="76A70DA2" w14:textId="77777777" w:rsidR="0050605D" w:rsidRPr="00B26573" w:rsidRDefault="0050605D" w:rsidP="0050605D">
            <w:pPr>
              <w:jc w:val="right"/>
              <w:rPr>
                <w:i/>
                <w:sz w:val="20"/>
              </w:rPr>
            </w:pPr>
            <w:r w:rsidRPr="00B26573">
              <w:rPr>
                <w:i/>
                <w:sz w:val="20"/>
              </w:rPr>
              <w:t>302</w:t>
            </w:r>
          </w:p>
          <w:p w14:paraId="01C307DA" w14:textId="77777777" w:rsidR="0050605D" w:rsidRPr="00B26573" w:rsidRDefault="0050605D" w:rsidP="0050605D">
            <w:pPr>
              <w:jc w:val="right"/>
              <w:rPr>
                <w:i/>
                <w:sz w:val="20"/>
              </w:rPr>
            </w:pPr>
            <w:r w:rsidRPr="00B26573">
              <w:rPr>
                <w:i/>
                <w:sz w:val="20"/>
              </w:rPr>
              <w:t>0</w:t>
            </w:r>
          </w:p>
          <w:p w14:paraId="3210DD62" w14:textId="77777777" w:rsidR="0050605D" w:rsidRPr="00B26573" w:rsidRDefault="0050605D" w:rsidP="0050605D">
            <w:pPr>
              <w:jc w:val="right"/>
              <w:rPr>
                <w:i/>
                <w:sz w:val="20"/>
              </w:rPr>
            </w:pPr>
            <w:r w:rsidRPr="00B26573">
              <w:rPr>
                <w:i/>
                <w:sz w:val="20"/>
              </w:rPr>
              <w:t>302</w:t>
            </w:r>
          </w:p>
          <w:p w14:paraId="4C09D25E" w14:textId="77777777" w:rsidR="0050605D" w:rsidRPr="00B26573" w:rsidRDefault="0050605D" w:rsidP="0050605D">
            <w:pPr>
              <w:jc w:val="right"/>
              <w:rPr>
                <w:i/>
                <w:sz w:val="20"/>
              </w:rPr>
            </w:pPr>
            <w:r w:rsidRPr="00B26573">
              <w:rPr>
                <w:i/>
                <w:sz w:val="20"/>
              </w:rPr>
              <w:t>1 844</w:t>
            </w:r>
          </w:p>
          <w:p w14:paraId="2FD841DB" w14:textId="77777777" w:rsidR="0050605D" w:rsidRPr="00B26573" w:rsidRDefault="0050605D" w:rsidP="0050605D">
            <w:pPr>
              <w:jc w:val="right"/>
              <w:rPr>
                <w:i/>
                <w:sz w:val="20"/>
              </w:rPr>
            </w:pPr>
            <w:r w:rsidRPr="00B26573">
              <w:rPr>
                <w:i/>
                <w:sz w:val="20"/>
              </w:rPr>
              <w:t>0</w:t>
            </w:r>
          </w:p>
          <w:p w14:paraId="4FF1B3CC" w14:textId="16634301" w:rsidR="0050605D" w:rsidRPr="00B26573" w:rsidRDefault="0050605D" w:rsidP="0050605D">
            <w:pPr>
              <w:jc w:val="right"/>
              <w:rPr>
                <w:i/>
                <w:sz w:val="20"/>
              </w:rPr>
            </w:pPr>
            <w:r w:rsidRPr="00B26573">
              <w:rPr>
                <w:i/>
                <w:sz w:val="20"/>
              </w:rPr>
              <w:t>1 844</w:t>
            </w:r>
          </w:p>
        </w:tc>
        <w:tc>
          <w:tcPr>
            <w:tcW w:w="667" w:type="pct"/>
            <w:tcBorders>
              <w:top w:val="nil"/>
            </w:tcBorders>
            <w:shd w:val="clear" w:color="auto" w:fill="auto"/>
          </w:tcPr>
          <w:p w14:paraId="3487EAD5" w14:textId="77777777" w:rsidR="0050605D" w:rsidRPr="00B26573" w:rsidRDefault="0050605D" w:rsidP="0050605D">
            <w:pPr>
              <w:jc w:val="right"/>
              <w:rPr>
                <w:i/>
                <w:sz w:val="20"/>
              </w:rPr>
            </w:pPr>
            <w:r w:rsidRPr="00B26573">
              <w:rPr>
                <w:i/>
                <w:sz w:val="20"/>
              </w:rPr>
              <w:t>1 741</w:t>
            </w:r>
          </w:p>
          <w:p w14:paraId="5D48C711" w14:textId="77777777" w:rsidR="0050605D" w:rsidRPr="00B26573" w:rsidRDefault="0050605D" w:rsidP="0050605D">
            <w:pPr>
              <w:jc w:val="right"/>
              <w:rPr>
                <w:i/>
                <w:sz w:val="20"/>
              </w:rPr>
            </w:pPr>
            <w:r w:rsidRPr="00B26573">
              <w:rPr>
                <w:i/>
                <w:sz w:val="20"/>
              </w:rPr>
              <w:t>44</w:t>
            </w:r>
          </w:p>
          <w:p w14:paraId="4C09C146" w14:textId="77777777" w:rsidR="0050605D" w:rsidRPr="00B26573" w:rsidRDefault="0050605D" w:rsidP="0050605D">
            <w:pPr>
              <w:jc w:val="right"/>
              <w:rPr>
                <w:i/>
                <w:sz w:val="20"/>
              </w:rPr>
            </w:pPr>
            <w:r w:rsidRPr="00B26573">
              <w:rPr>
                <w:i/>
                <w:sz w:val="20"/>
              </w:rPr>
              <w:t>1 697</w:t>
            </w:r>
          </w:p>
          <w:p w14:paraId="2D487C10" w14:textId="77777777" w:rsidR="0050605D" w:rsidRPr="00B26573" w:rsidRDefault="0050605D" w:rsidP="0050605D">
            <w:pPr>
              <w:jc w:val="right"/>
              <w:rPr>
                <w:i/>
                <w:sz w:val="20"/>
              </w:rPr>
            </w:pPr>
            <w:r w:rsidRPr="00B26573">
              <w:rPr>
                <w:i/>
                <w:sz w:val="20"/>
              </w:rPr>
              <w:t>20 802</w:t>
            </w:r>
          </w:p>
          <w:p w14:paraId="50CC3F4A" w14:textId="77777777" w:rsidR="0050605D" w:rsidRPr="00B26573" w:rsidRDefault="0050605D" w:rsidP="0050605D">
            <w:pPr>
              <w:jc w:val="right"/>
              <w:rPr>
                <w:i/>
                <w:sz w:val="20"/>
              </w:rPr>
            </w:pPr>
            <w:r w:rsidRPr="00B26573">
              <w:rPr>
                <w:i/>
                <w:sz w:val="20"/>
              </w:rPr>
              <w:t>3 120</w:t>
            </w:r>
          </w:p>
          <w:p w14:paraId="46A4CCAE" w14:textId="77777777" w:rsidR="0050605D" w:rsidRPr="00B26573" w:rsidRDefault="0050605D" w:rsidP="0050605D">
            <w:pPr>
              <w:jc w:val="right"/>
              <w:rPr>
                <w:i/>
                <w:sz w:val="20"/>
              </w:rPr>
            </w:pPr>
            <w:r w:rsidRPr="00B26573">
              <w:rPr>
                <w:i/>
                <w:sz w:val="20"/>
              </w:rPr>
              <w:t>17 682</w:t>
            </w:r>
          </w:p>
          <w:p w14:paraId="3B4CFE09" w14:textId="77777777" w:rsidR="0050605D" w:rsidRPr="00B26573" w:rsidRDefault="0050605D" w:rsidP="0050605D">
            <w:pPr>
              <w:jc w:val="right"/>
              <w:rPr>
                <w:i/>
                <w:sz w:val="20"/>
              </w:rPr>
            </w:pPr>
            <w:r w:rsidRPr="00B26573">
              <w:rPr>
                <w:i/>
                <w:sz w:val="20"/>
              </w:rPr>
              <w:t>377</w:t>
            </w:r>
          </w:p>
          <w:p w14:paraId="13BA7C69" w14:textId="77777777" w:rsidR="0050605D" w:rsidRPr="00B26573" w:rsidRDefault="0050605D" w:rsidP="0050605D">
            <w:pPr>
              <w:jc w:val="right"/>
              <w:rPr>
                <w:i/>
                <w:sz w:val="20"/>
              </w:rPr>
            </w:pPr>
            <w:r w:rsidRPr="00B26573">
              <w:rPr>
                <w:i/>
                <w:sz w:val="20"/>
              </w:rPr>
              <w:t>0</w:t>
            </w:r>
          </w:p>
          <w:p w14:paraId="74437327" w14:textId="77777777" w:rsidR="0050605D" w:rsidRPr="00B26573" w:rsidRDefault="0050605D" w:rsidP="0050605D">
            <w:pPr>
              <w:jc w:val="right"/>
              <w:rPr>
                <w:i/>
                <w:sz w:val="20"/>
              </w:rPr>
            </w:pPr>
            <w:r w:rsidRPr="00B26573">
              <w:rPr>
                <w:i/>
                <w:sz w:val="20"/>
              </w:rPr>
              <w:t>377</w:t>
            </w:r>
          </w:p>
          <w:p w14:paraId="5AA5830C" w14:textId="77777777" w:rsidR="0050605D" w:rsidRPr="00B26573" w:rsidRDefault="0050605D" w:rsidP="0050605D">
            <w:pPr>
              <w:jc w:val="right"/>
              <w:rPr>
                <w:i/>
                <w:sz w:val="20"/>
              </w:rPr>
            </w:pPr>
            <w:r w:rsidRPr="00B26573">
              <w:rPr>
                <w:i/>
                <w:sz w:val="20"/>
              </w:rPr>
              <w:t>1 939</w:t>
            </w:r>
          </w:p>
          <w:p w14:paraId="1AA14225" w14:textId="77777777" w:rsidR="0050605D" w:rsidRPr="00B26573" w:rsidRDefault="0050605D" w:rsidP="0050605D">
            <w:pPr>
              <w:jc w:val="right"/>
              <w:rPr>
                <w:i/>
                <w:sz w:val="20"/>
              </w:rPr>
            </w:pPr>
            <w:r w:rsidRPr="00B26573">
              <w:rPr>
                <w:i/>
                <w:sz w:val="20"/>
              </w:rPr>
              <w:t>0</w:t>
            </w:r>
          </w:p>
          <w:p w14:paraId="5EA5B3DC" w14:textId="377356AA" w:rsidR="0050605D" w:rsidRPr="00B26573" w:rsidRDefault="0050605D" w:rsidP="0050605D">
            <w:pPr>
              <w:jc w:val="right"/>
              <w:rPr>
                <w:i/>
                <w:sz w:val="20"/>
              </w:rPr>
            </w:pPr>
            <w:r w:rsidRPr="00B26573">
              <w:rPr>
                <w:i/>
                <w:sz w:val="20"/>
              </w:rPr>
              <w:t>1 939</w:t>
            </w:r>
          </w:p>
        </w:tc>
        <w:tc>
          <w:tcPr>
            <w:tcW w:w="501" w:type="pct"/>
            <w:tcBorders>
              <w:top w:val="nil"/>
            </w:tcBorders>
            <w:shd w:val="clear" w:color="auto" w:fill="auto"/>
          </w:tcPr>
          <w:p w14:paraId="01D8F2FC" w14:textId="77777777" w:rsidR="0050605D" w:rsidRPr="00B26573" w:rsidRDefault="0050605D" w:rsidP="0050605D">
            <w:pPr>
              <w:jc w:val="right"/>
              <w:rPr>
                <w:i/>
                <w:sz w:val="20"/>
              </w:rPr>
            </w:pPr>
            <w:r w:rsidRPr="00B26573">
              <w:rPr>
                <w:i/>
                <w:sz w:val="20"/>
              </w:rPr>
              <w:t>75,17</w:t>
            </w:r>
          </w:p>
          <w:p w14:paraId="7AEE50AF" w14:textId="77777777" w:rsidR="0050605D" w:rsidRPr="00B26573" w:rsidRDefault="0050605D" w:rsidP="0050605D">
            <w:pPr>
              <w:jc w:val="right"/>
              <w:rPr>
                <w:i/>
                <w:sz w:val="20"/>
              </w:rPr>
            </w:pPr>
            <w:r w:rsidRPr="00B26573">
              <w:rPr>
                <w:i/>
                <w:sz w:val="20"/>
              </w:rPr>
              <w:t>30,77</w:t>
            </w:r>
          </w:p>
          <w:p w14:paraId="239A510D" w14:textId="77777777" w:rsidR="0050605D" w:rsidRPr="00B26573" w:rsidRDefault="0050605D" w:rsidP="0050605D">
            <w:pPr>
              <w:jc w:val="right"/>
              <w:rPr>
                <w:i/>
                <w:sz w:val="20"/>
              </w:rPr>
            </w:pPr>
            <w:r w:rsidRPr="00B26573">
              <w:rPr>
                <w:i/>
                <w:sz w:val="20"/>
              </w:rPr>
              <w:t>78,09</w:t>
            </w:r>
          </w:p>
          <w:p w14:paraId="7224137F" w14:textId="77777777" w:rsidR="0050605D" w:rsidRPr="00B26573" w:rsidRDefault="0050605D" w:rsidP="0050605D">
            <w:pPr>
              <w:jc w:val="right"/>
              <w:rPr>
                <w:i/>
                <w:sz w:val="20"/>
              </w:rPr>
            </w:pPr>
            <w:r w:rsidRPr="00B26573">
              <w:rPr>
                <w:i/>
                <w:sz w:val="20"/>
              </w:rPr>
              <w:t>106,09</w:t>
            </w:r>
          </w:p>
          <w:p w14:paraId="6D0CDCAE" w14:textId="77777777" w:rsidR="0050605D" w:rsidRPr="00B26573" w:rsidRDefault="0050605D" w:rsidP="0050605D">
            <w:pPr>
              <w:jc w:val="right"/>
              <w:rPr>
                <w:i/>
                <w:sz w:val="20"/>
              </w:rPr>
            </w:pPr>
            <w:r w:rsidRPr="00B26573">
              <w:rPr>
                <w:i/>
                <w:sz w:val="20"/>
              </w:rPr>
              <w:t>106,09</w:t>
            </w:r>
          </w:p>
          <w:p w14:paraId="217AEEA2" w14:textId="77777777" w:rsidR="0050605D" w:rsidRPr="00B26573" w:rsidRDefault="0050605D" w:rsidP="0050605D">
            <w:pPr>
              <w:jc w:val="right"/>
              <w:rPr>
                <w:i/>
                <w:sz w:val="20"/>
              </w:rPr>
            </w:pPr>
            <w:r w:rsidRPr="00B26573">
              <w:rPr>
                <w:i/>
                <w:sz w:val="20"/>
              </w:rPr>
              <w:t>106,09</w:t>
            </w:r>
          </w:p>
          <w:p w14:paraId="0421743A" w14:textId="77777777" w:rsidR="0050605D" w:rsidRPr="00B26573" w:rsidRDefault="0050605D" w:rsidP="0050605D">
            <w:pPr>
              <w:jc w:val="right"/>
              <w:rPr>
                <w:i/>
                <w:sz w:val="20"/>
              </w:rPr>
            </w:pPr>
            <w:r w:rsidRPr="00B26573">
              <w:rPr>
                <w:i/>
                <w:sz w:val="20"/>
              </w:rPr>
              <w:t>124,83</w:t>
            </w:r>
          </w:p>
          <w:p w14:paraId="12749177" w14:textId="77777777" w:rsidR="0050605D" w:rsidRPr="00B26573" w:rsidRDefault="0050605D" w:rsidP="0050605D">
            <w:pPr>
              <w:jc w:val="right"/>
              <w:rPr>
                <w:i/>
                <w:sz w:val="20"/>
              </w:rPr>
            </w:pPr>
            <w:r w:rsidRPr="00B26573">
              <w:rPr>
                <w:i/>
                <w:sz w:val="20"/>
              </w:rPr>
              <w:t>x</w:t>
            </w:r>
          </w:p>
          <w:p w14:paraId="1CFD4525" w14:textId="77777777" w:rsidR="0050605D" w:rsidRPr="00B26573" w:rsidRDefault="0050605D" w:rsidP="0050605D">
            <w:pPr>
              <w:jc w:val="right"/>
              <w:rPr>
                <w:i/>
                <w:sz w:val="20"/>
              </w:rPr>
            </w:pPr>
            <w:r w:rsidRPr="00B26573">
              <w:rPr>
                <w:i/>
                <w:sz w:val="20"/>
              </w:rPr>
              <w:t>124,83</w:t>
            </w:r>
          </w:p>
          <w:p w14:paraId="3B5257C9" w14:textId="77777777" w:rsidR="0050605D" w:rsidRPr="00B26573" w:rsidRDefault="0050605D" w:rsidP="0050605D">
            <w:pPr>
              <w:jc w:val="right"/>
              <w:rPr>
                <w:i/>
                <w:sz w:val="20"/>
              </w:rPr>
            </w:pPr>
            <w:r w:rsidRPr="00B26573">
              <w:rPr>
                <w:i/>
                <w:sz w:val="20"/>
              </w:rPr>
              <w:t>105,15</w:t>
            </w:r>
          </w:p>
          <w:p w14:paraId="60FE8E76" w14:textId="77777777" w:rsidR="0050605D" w:rsidRPr="00B26573" w:rsidRDefault="0050605D" w:rsidP="0050605D">
            <w:pPr>
              <w:jc w:val="right"/>
              <w:rPr>
                <w:i/>
                <w:sz w:val="20"/>
              </w:rPr>
            </w:pPr>
            <w:r w:rsidRPr="00B26573">
              <w:rPr>
                <w:i/>
                <w:sz w:val="20"/>
              </w:rPr>
              <w:t>x</w:t>
            </w:r>
          </w:p>
          <w:p w14:paraId="475B6954" w14:textId="20AC39E8" w:rsidR="0050605D" w:rsidRPr="00B26573" w:rsidRDefault="0050605D" w:rsidP="0050605D">
            <w:pPr>
              <w:jc w:val="right"/>
              <w:rPr>
                <w:i/>
                <w:sz w:val="20"/>
              </w:rPr>
            </w:pPr>
            <w:r w:rsidRPr="00B26573">
              <w:rPr>
                <w:i/>
                <w:sz w:val="20"/>
              </w:rPr>
              <w:t>105,15</w:t>
            </w:r>
          </w:p>
        </w:tc>
      </w:tr>
      <w:tr w:rsidR="00B26573" w:rsidRPr="00B26573" w14:paraId="7F6480AF" w14:textId="77777777" w:rsidTr="00C36AC5">
        <w:trPr>
          <w:trHeight w:val="4809"/>
          <w:jc w:val="right"/>
        </w:trPr>
        <w:tc>
          <w:tcPr>
            <w:tcW w:w="2343" w:type="pct"/>
            <w:tcBorders>
              <w:bottom w:val="single" w:sz="4" w:space="0" w:color="7F7F7F" w:themeColor="text1" w:themeTint="80"/>
            </w:tcBorders>
            <w:shd w:val="clear" w:color="auto" w:fill="auto"/>
          </w:tcPr>
          <w:p w14:paraId="4892985A" w14:textId="77777777" w:rsidR="0050605D" w:rsidRPr="00B26573" w:rsidRDefault="0050605D" w:rsidP="0050605D">
            <w:pPr>
              <w:rPr>
                <w:b/>
                <w:bCs/>
                <w:sz w:val="20"/>
              </w:rPr>
            </w:pPr>
            <w:r w:rsidRPr="00B26573">
              <w:rPr>
                <w:sz w:val="20"/>
              </w:rPr>
              <w:t>příděl FKSP</w:t>
            </w:r>
          </w:p>
          <w:p w14:paraId="3AEB8D1D" w14:textId="77777777" w:rsidR="0050605D" w:rsidRPr="00B26573" w:rsidRDefault="0050605D" w:rsidP="0050605D">
            <w:pPr>
              <w:rPr>
                <w:b/>
                <w:bCs/>
                <w:i/>
                <w:sz w:val="20"/>
              </w:rPr>
            </w:pPr>
            <w:r w:rsidRPr="00B26573">
              <w:rPr>
                <w:i/>
                <w:sz w:val="20"/>
              </w:rPr>
              <w:t xml:space="preserve">z toho: výdaje na programy spolufinancované         </w:t>
            </w:r>
          </w:p>
          <w:p w14:paraId="799151E5" w14:textId="77777777" w:rsidR="0050605D" w:rsidRPr="00B26573" w:rsidRDefault="0050605D" w:rsidP="0050605D">
            <w:pPr>
              <w:rPr>
                <w:b/>
                <w:bCs/>
                <w:i/>
                <w:sz w:val="20"/>
              </w:rPr>
            </w:pPr>
            <w:r w:rsidRPr="00B26573">
              <w:rPr>
                <w:i/>
                <w:sz w:val="20"/>
              </w:rPr>
              <w:t xml:space="preserve">            z rozpočtu EU v tom:                                      </w:t>
            </w:r>
          </w:p>
          <w:p w14:paraId="56FFBF84" w14:textId="77777777" w:rsidR="0050605D" w:rsidRPr="00B26573" w:rsidRDefault="0050605D" w:rsidP="0050605D">
            <w:pPr>
              <w:rPr>
                <w:b/>
                <w:bCs/>
                <w:i/>
                <w:sz w:val="20"/>
              </w:rPr>
            </w:pPr>
            <w:r w:rsidRPr="00B26573">
              <w:rPr>
                <w:i/>
                <w:sz w:val="20"/>
              </w:rPr>
              <w:t xml:space="preserve">           Operační program Doprava – CF  2014+</w:t>
            </w:r>
          </w:p>
          <w:p w14:paraId="2C631893" w14:textId="77777777" w:rsidR="0050605D" w:rsidRPr="00B26573" w:rsidRDefault="0050605D" w:rsidP="0050605D">
            <w:pPr>
              <w:rPr>
                <w:b/>
                <w:bCs/>
                <w:i/>
                <w:sz w:val="20"/>
              </w:rPr>
            </w:pPr>
            <w:r w:rsidRPr="00B26573">
              <w:rPr>
                <w:i/>
                <w:sz w:val="20"/>
              </w:rPr>
              <w:t xml:space="preserve">                                            v tom: ze SR</w:t>
            </w:r>
          </w:p>
          <w:p w14:paraId="70B28F46" w14:textId="77777777" w:rsidR="0050605D" w:rsidRPr="00B26573" w:rsidRDefault="0050605D" w:rsidP="0050605D">
            <w:pPr>
              <w:rPr>
                <w:b/>
                <w:bCs/>
                <w:i/>
                <w:sz w:val="20"/>
              </w:rPr>
            </w:pPr>
            <w:r w:rsidRPr="00B26573">
              <w:rPr>
                <w:i/>
                <w:sz w:val="20"/>
              </w:rPr>
              <w:t xml:space="preserve">                                                       z rozpočtu EU</w:t>
            </w:r>
          </w:p>
          <w:p w14:paraId="0D2F6266" w14:textId="77777777" w:rsidR="0050605D" w:rsidRPr="00B26573" w:rsidRDefault="0050605D" w:rsidP="0050605D">
            <w:pPr>
              <w:tabs>
                <w:tab w:val="left" w:pos="880"/>
              </w:tabs>
              <w:rPr>
                <w:b/>
                <w:bCs/>
                <w:i/>
                <w:sz w:val="20"/>
              </w:rPr>
            </w:pPr>
            <w:r w:rsidRPr="00B26573">
              <w:rPr>
                <w:i/>
                <w:sz w:val="20"/>
              </w:rPr>
              <w:t xml:space="preserve">          KP Nástroj pro propojení Evropy 2014 +           </w:t>
            </w:r>
          </w:p>
          <w:p w14:paraId="6DDEA12B" w14:textId="77777777" w:rsidR="0050605D" w:rsidRPr="00B26573" w:rsidRDefault="0050605D" w:rsidP="0050605D">
            <w:pPr>
              <w:rPr>
                <w:b/>
                <w:bCs/>
                <w:i/>
                <w:sz w:val="20"/>
              </w:rPr>
            </w:pPr>
            <w:r w:rsidRPr="00B26573">
              <w:rPr>
                <w:i/>
                <w:sz w:val="20"/>
              </w:rPr>
              <w:t xml:space="preserve">                                             v tom: ze SR</w:t>
            </w:r>
          </w:p>
          <w:p w14:paraId="10D9DEB8" w14:textId="77777777" w:rsidR="0050605D" w:rsidRPr="00B26573" w:rsidRDefault="0050605D" w:rsidP="0050605D">
            <w:pPr>
              <w:rPr>
                <w:b/>
                <w:bCs/>
                <w:i/>
                <w:sz w:val="20"/>
              </w:rPr>
            </w:pPr>
            <w:r w:rsidRPr="00B26573">
              <w:rPr>
                <w:i/>
                <w:sz w:val="20"/>
              </w:rPr>
              <w:t xml:space="preserve">                                                        z rozpočtu EU</w:t>
            </w:r>
          </w:p>
          <w:p w14:paraId="1141E222" w14:textId="77777777" w:rsidR="0050605D" w:rsidRPr="00B26573" w:rsidRDefault="0050605D" w:rsidP="0050605D">
            <w:pPr>
              <w:tabs>
                <w:tab w:val="left" w:pos="880"/>
              </w:tabs>
              <w:rPr>
                <w:b/>
                <w:bCs/>
                <w:i/>
                <w:sz w:val="20"/>
              </w:rPr>
            </w:pPr>
            <w:r w:rsidRPr="00B26573">
              <w:rPr>
                <w:i/>
                <w:sz w:val="20"/>
              </w:rPr>
              <w:t xml:space="preserve">          Horizont Evropa </w:t>
            </w:r>
          </w:p>
          <w:p w14:paraId="278CE90D" w14:textId="77777777" w:rsidR="0050605D" w:rsidRPr="00B26573" w:rsidRDefault="0050605D" w:rsidP="0050605D">
            <w:pPr>
              <w:jc w:val="center"/>
              <w:rPr>
                <w:b/>
                <w:bCs/>
                <w:i/>
                <w:sz w:val="20"/>
              </w:rPr>
            </w:pPr>
            <w:r w:rsidRPr="00B26573">
              <w:rPr>
                <w:i/>
                <w:sz w:val="20"/>
              </w:rPr>
              <w:t xml:space="preserve">                         v tom: ze SR</w:t>
            </w:r>
          </w:p>
          <w:p w14:paraId="63D56220" w14:textId="77777777" w:rsidR="0050605D" w:rsidRPr="00B26573" w:rsidRDefault="0050605D" w:rsidP="0050605D">
            <w:pPr>
              <w:tabs>
                <w:tab w:val="left" w:pos="880"/>
              </w:tabs>
              <w:jc w:val="center"/>
              <w:rPr>
                <w:b/>
                <w:bCs/>
                <w:i/>
                <w:sz w:val="20"/>
              </w:rPr>
            </w:pPr>
            <w:r w:rsidRPr="00B26573">
              <w:rPr>
                <w:i/>
                <w:sz w:val="20"/>
              </w:rPr>
              <w:t xml:space="preserve">                                                  z rozpočtu EU   </w:t>
            </w:r>
          </w:p>
          <w:p w14:paraId="0C224DA1" w14:textId="77777777" w:rsidR="0050605D" w:rsidRPr="00B26573" w:rsidRDefault="0050605D" w:rsidP="0050605D">
            <w:pPr>
              <w:tabs>
                <w:tab w:val="left" w:pos="880"/>
              </w:tabs>
              <w:jc w:val="center"/>
              <w:rPr>
                <w:b/>
                <w:bCs/>
                <w:i/>
                <w:sz w:val="20"/>
              </w:rPr>
            </w:pPr>
            <w:r w:rsidRPr="00B26573">
              <w:rPr>
                <w:i/>
                <w:sz w:val="20"/>
              </w:rPr>
              <w:t xml:space="preserve">         Nástroj pro propojení Evropy (CEF) 2021+ </w:t>
            </w:r>
          </w:p>
          <w:p w14:paraId="1B08D176" w14:textId="77777777" w:rsidR="0050605D" w:rsidRPr="00B26573" w:rsidRDefault="0050605D" w:rsidP="0050605D">
            <w:pPr>
              <w:jc w:val="center"/>
              <w:rPr>
                <w:b/>
                <w:bCs/>
                <w:i/>
                <w:sz w:val="20"/>
              </w:rPr>
            </w:pPr>
            <w:r w:rsidRPr="00B26573">
              <w:rPr>
                <w:i/>
                <w:sz w:val="20"/>
              </w:rPr>
              <w:t xml:space="preserve">                         v tom: ze SR</w:t>
            </w:r>
          </w:p>
          <w:p w14:paraId="3C5869A5" w14:textId="77777777" w:rsidR="0050605D" w:rsidRPr="00B26573" w:rsidRDefault="0050605D" w:rsidP="0050605D">
            <w:pPr>
              <w:rPr>
                <w:b/>
                <w:bCs/>
                <w:i/>
                <w:sz w:val="20"/>
              </w:rPr>
            </w:pPr>
            <w:r w:rsidRPr="00B26573">
              <w:rPr>
                <w:i/>
                <w:sz w:val="20"/>
              </w:rPr>
              <w:t xml:space="preserve">                                                      z rozpočtu EU     </w:t>
            </w:r>
          </w:p>
          <w:p w14:paraId="26D9A740" w14:textId="77777777" w:rsidR="0050605D" w:rsidRPr="00B26573" w:rsidRDefault="0050605D" w:rsidP="0050605D">
            <w:pPr>
              <w:rPr>
                <w:b/>
                <w:bCs/>
                <w:i/>
                <w:sz w:val="20"/>
              </w:rPr>
            </w:pPr>
            <w:r w:rsidRPr="00B26573">
              <w:rPr>
                <w:i/>
                <w:sz w:val="20"/>
              </w:rPr>
              <w:t xml:space="preserve">         Operační program Doprava – CF  2021+</w:t>
            </w:r>
          </w:p>
          <w:p w14:paraId="06F20098" w14:textId="77777777" w:rsidR="0050605D" w:rsidRPr="00B26573" w:rsidRDefault="0050605D" w:rsidP="0050605D">
            <w:pPr>
              <w:rPr>
                <w:b/>
                <w:bCs/>
                <w:i/>
                <w:sz w:val="20"/>
              </w:rPr>
            </w:pPr>
            <w:r w:rsidRPr="00B26573">
              <w:rPr>
                <w:i/>
                <w:sz w:val="20"/>
              </w:rPr>
              <w:t xml:space="preserve">                                            v tom: ze SR</w:t>
            </w:r>
          </w:p>
          <w:p w14:paraId="0D0D7F7E" w14:textId="77777777" w:rsidR="0050605D" w:rsidRPr="00B26573" w:rsidRDefault="0050605D" w:rsidP="0050605D">
            <w:pPr>
              <w:rPr>
                <w:b/>
                <w:bCs/>
                <w:i/>
                <w:sz w:val="20"/>
              </w:rPr>
            </w:pPr>
            <w:r w:rsidRPr="00B26573">
              <w:rPr>
                <w:i/>
                <w:sz w:val="20"/>
              </w:rPr>
              <w:t xml:space="preserve">                                                       z rozpočtu EU   </w:t>
            </w:r>
          </w:p>
          <w:p w14:paraId="59E0C80F" w14:textId="77777777" w:rsidR="0050605D" w:rsidRPr="00B26573" w:rsidRDefault="0050605D" w:rsidP="0050605D">
            <w:pPr>
              <w:rPr>
                <w:b/>
                <w:bCs/>
                <w:i/>
                <w:sz w:val="20"/>
              </w:rPr>
            </w:pPr>
            <w:r w:rsidRPr="00B26573">
              <w:rPr>
                <w:i/>
                <w:sz w:val="20"/>
              </w:rPr>
              <w:t xml:space="preserve">          Kosmický program Unie</w:t>
            </w:r>
          </w:p>
          <w:p w14:paraId="1F67C5A3" w14:textId="77777777" w:rsidR="0050605D" w:rsidRPr="00B26573" w:rsidRDefault="0050605D" w:rsidP="0050605D">
            <w:pPr>
              <w:rPr>
                <w:b/>
                <w:bCs/>
                <w:i/>
                <w:sz w:val="20"/>
              </w:rPr>
            </w:pPr>
            <w:r w:rsidRPr="00B26573">
              <w:rPr>
                <w:i/>
                <w:sz w:val="20"/>
              </w:rPr>
              <w:t xml:space="preserve">                                            v tom: ze SR</w:t>
            </w:r>
          </w:p>
          <w:p w14:paraId="6B15BE0D" w14:textId="77777777" w:rsidR="0050605D" w:rsidRPr="00B26573" w:rsidRDefault="0050605D" w:rsidP="0050605D">
            <w:pPr>
              <w:rPr>
                <w:b/>
                <w:bCs/>
                <w:i/>
                <w:sz w:val="20"/>
              </w:rPr>
            </w:pPr>
            <w:r w:rsidRPr="00B26573">
              <w:rPr>
                <w:i/>
                <w:sz w:val="20"/>
              </w:rPr>
              <w:t xml:space="preserve">                                                       z rozpočtu EU </w:t>
            </w:r>
          </w:p>
          <w:p w14:paraId="3C28EFA2" w14:textId="77777777" w:rsidR="0050605D" w:rsidRPr="00B26573" w:rsidRDefault="0050605D" w:rsidP="0050605D">
            <w:pPr>
              <w:rPr>
                <w:b/>
                <w:bCs/>
                <w:i/>
                <w:sz w:val="20"/>
              </w:rPr>
            </w:pPr>
            <w:r w:rsidRPr="00B26573">
              <w:rPr>
                <w:i/>
                <w:sz w:val="20"/>
              </w:rPr>
              <w:t xml:space="preserve">        NPO systémová podpora veřejných investic</w:t>
            </w:r>
          </w:p>
          <w:p w14:paraId="097DFDE2" w14:textId="77777777" w:rsidR="0050605D" w:rsidRPr="00B26573" w:rsidRDefault="0050605D" w:rsidP="0050605D">
            <w:pPr>
              <w:rPr>
                <w:b/>
                <w:bCs/>
                <w:i/>
                <w:sz w:val="20"/>
              </w:rPr>
            </w:pPr>
            <w:r w:rsidRPr="00B26573">
              <w:rPr>
                <w:i/>
                <w:sz w:val="20"/>
              </w:rPr>
              <w:t xml:space="preserve">                                            v tom: ze SR</w:t>
            </w:r>
          </w:p>
          <w:p w14:paraId="4E8C7D58" w14:textId="41818D62" w:rsidR="0050605D" w:rsidRPr="00B26573" w:rsidRDefault="0050605D" w:rsidP="0050605D">
            <w:pPr>
              <w:rPr>
                <w:i/>
                <w:sz w:val="20"/>
              </w:rPr>
            </w:pPr>
            <w:r w:rsidRPr="00B26573">
              <w:rPr>
                <w:i/>
                <w:sz w:val="20"/>
              </w:rPr>
              <w:t xml:space="preserve">                                                       z rozpočtu EU                                                                                                                                                                                                                                                                                                                                                                                                                                                                                                                                                                                                                                                                                                                                                                                                                                                                                                                                                                                                                                                                                                                                                                                                                                                                                                                                                                                                                                                                                                                                                                                                                                                                                                                                                                                                                                                                                                                                                                                                                                                                                                                                                                                                                                                                                                                                                                                                                                                                                                                                                                                                                                                                                                                                                                                                                                                                                                                                                                                                                                                                                                                                                                                                                                                                                                                                                                                                                                                                                                                                                                                                                                                                                                                                                                                                                                                                                                                                                                                                                                                                                                                                                                                                                                                                                                                                                                                                                                                                                                                                                                                                                                                                                                                                                                                                                                                                                                                                                                                                                                                                                                                                                                                                                                                                                                                                                                                                                                                                                                                                                                                                                                                                                                                                                                                                                                                                                                                                                                                                                                                                                                                                                                                                                                                                                                                                                                                                                                                                                                                                                                                                                                                                                                                                                                                                                                                                                                                                                                                                                                                                                                                                                                                                                                                                                                                                                                                                                                                                                                                                                                                                                                                                                                                                                                                                                                                                                                                                                                                                                                                                                                                                                                                                                                                                                                                                                                                                                                                                                                                                                                                                                                                                                                                                                                                                                                                                                                                                                                                                                                                                                                                                                                                                                                                                                                                                                                                                                                                                                                                                                                                                                                                                                                                                                                                                                                                                                                                                                                                                                                                                                                                                                                                                                                                                                                                                                                                                                                                                                                                                                                                                                                                                                                                                                                                                                                                                                                                                                                                                                                                                                                                                                                                                                                                                                                                                                                                                                                                                                                                                                                                                                                                                                                                                                                                                                                                                                                                                                                                                                                                                                                                                                                                                                                                                                                                                                                                                                                                                                                                                                                                                                                                                                                                                                                                                                                                                                                                                                                                                                                                                                                                                                                                                                                                                                                                                                                                                                                                                                                                                                                                                                                                                                                                                                                                                                                                                                                                                                                                                                                                                                                                                                                                                                                                                                                                                                                                                                                                                                                                                                                                                                                                                                                                                                                                                                                                                                                                                                                                                                                                                                                                                                                                                                                                                                                                                                                                                                                                                                                                                                                                                                                                                                                                                                                                                                                                                                                                                                                                                                                                                                                                                                                                                                                                                                                                                                                                                                                                                                                                                                                                                                                                                                                                                                                                                                                                                                                                                             </w:t>
            </w:r>
          </w:p>
        </w:tc>
        <w:tc>
          <w:tcPr>
            <w:tcW w:w="784" w:type="pct"/>
            <w:tcBorders>
              <w:bottom w:val="single" w:sz="4" w:space="0" w:color="7F7F7F" w:themeColor="text1" w:themeTint="80"/>
            </w:tcBorders>
            <w:shd w:val="clear" w:color="auto" w:fill="auto"/>
          </w:tcPr>
          <w:p w14:paraId="5372E1A2" w14:textId="77777777" w:rsidR="0050605D" w:rsidRPr="00B26573" w:rsidRDefault="0050605D" w:rsidP="0050605D">
            <w:pPr>
              <w:jc w:val="right"/>
              <w:rPr>
                <w:sz w:val="20"/>
              </w:rPr>
            </w:pPr>
            <w:r w:rsidRPr="00B26573">
              <w:rPr>
                <w:sz w:val="20"/>
              </w:rPr>
              <w:t>6 374</w:t>
            </w:r>
          </w:p>
          <w:p w14:paraId="7946E362" w14:textId="77777777" w:rsidR="0050605D" w:rsidRPr="00B26573" w:rsidRDefault="0050605D" w:rsidP="0050605D">
            <w:pPr>
              <w:jc w:val="right"/>
              <w:rPr>
                <w:i/>
                <w:sz w:val="20"/>
              </w:rPr>
            </w:pPr>
          </w:p>
          <w:p w14:paraId="2F8E1725" w14:textId="77777777" w:rsidR="0050605D" w:rsidRPr="00B26573" w:rsidRDefault="0050605D" w:rsidP="0050605D">
            <w:pPr>
              <w:jc w:val="right"/>
              <w:rPr>
                <w:i/>
                <w:sz w:val="20"/>
              </w:rPr>
            </w:pPr>
            <w:r w:rsidRPr="00B26573">
              <w:rPr>
                <w:i/>
                <w:sz w:val="20"/>
              </w:rPr>
              <w:t>1 195</w:t>
            </w:r>
          </w:p>
          <w:p w14:paraId="791AB9AF" w14:textId="77777777" w:rsidR="0050605D" w:rsidRPr="00B26573" w:rsidRDefault="0050605D" w:rsidP="0050605D">
            <w:pPr>
              <w:jc w:val="right"/>
              <w:rPr>
                <w:i/>
                <w:sz w:val="20"/>
                <w:szCs w:val="20"/>
              </w:rPr>
            </w:pPr>
            <w:r w:rsidRPr="00B26573">
              <w:rPr>
                <w:i/>
                <w:sz w:val="20"/>
                <w:szCs w:val="20"/>
              </w:rPr>
              <w:t>519</w:t>
            </w:r>
          </w:p>
          <w:p w14:paraId="11526736" w14:textId="77777777" w:rsidR="0050605D" w:rsidRPr="00B26573" w:rsidRDefault="0050605D" w:rsidP="0050605D">
            <w:pPr>
              <w:jc w:val="right"/>
              <w:rPr>
                <w:i/>
                <w:sz w:val="20"/>
                <w:szCs w:val="20"/>
              </w:rPr>
            </w:pPr>
            <w:r w:rsidRPr="00B26573">
              <w:rPr>
                <w:i/>
                <w:sz w:val="20"/>
                <w:szCs w:val="20"/>
              </w:rPr>
              <w:t>78</w:t>
            </w:r>
          </w:p>
          <w:p w14:paraId="214E472E" w14:textId="77777777" w:rsidR="0050605D" w:rsidRPr="00B26573" w:rsidRDefault="0050605D" w:rsidP="0050605D">
            <w:pPr>
              <w:jc w:val="right"/>
              <w:rPr>
                <w:i/>
                <w:sz w:val="20"/>
                <w:szCs w:val="20"/>
              </w:rPr>
            </w:pPr>
            <w:r w:rsidRPr="00B26573">
              <w:rPr>
                <w:i/>
                <w:sz w:val="20"/>
                <w:szCs w:val="20"/>
              </w:rPr>
              <w:t xml:space="preserve">     441            </w:t>
            </w:r>
          </w:p>
          <w:p w14:paraId="530D6AE7" w14:textId="77777777" w:rsidR="0050605D" w:rsidRPr="00B26573" w:rsidRDefault="0050605D" w:rsidP="0050605D">
            <w:pPr>
              <w:jc w:val="right"/>
              <w:rPr>
                <w:i/>
                <w:sz w:val="20"/>
                <w:szCs w:val="20"/>
              </w:rPr>
            </w:pPr>
            <w:r w:rsidRPr="00B26573">
              <w:rPr>
                <w:i/>
                <w:sz w:val="20"/>
                <w:szCs w:val="20"/>
              </w:rPr>
              <w:t>3</w:t>
            </w:r>
          </w:p>
          <w:p w14:paraId="44CB0CCA" w14:textId="77777777" w:rsidR="0050605D" w:rsidRPr="00B26573" w:rsidRDefault="0050605D" w:rsidP="0050605D">
            <w:pPr>
              <w:jc w:val="right"/>
              <w:rPr>
                <w:i/>
                <w:sz w:val="20"/>
                <w:szCs w:val="20"/>
              </w:rPr>
            </w:pPr>
            <w:r w:rsidRPr="00B26573">
              <w:rPr>
                <w:i/>
                <w:sz w:val="20"/>
                <w:szCs w:val="20"/>
              </w:rPr>
              <w:t>1</w:t>
            </w:r>
          </w:p>
          <w:p w14:paraId="3CB6784D" w14:textId="77777777" w:rsidR="0050605D" w:rsidRPr="00B26573" w:rsidRDefault="0050605D" w:rsidP="0050605D">
            <w:pPr>
              <w:jc w:val="right"/>
              <w:rPr>
                <w:i/>
                <w:sz w:val="20"/>
                <w:szCs w:val="20"/>
              </w:rPr>
            </w:pPr>
            <w:r w:rsidRPr="00B26573">
              <w:rPr>
                <w:i/>
                <w:sz w:val="20"/>
                <w:szCs w:val="20"/>
              </w:rPr>
              <w:t>2</w:t>
            </w:r>
          </w:p>
          <w:p w14:paraId="3F31F06C" w14:textId="77777777" w:rsidR="0050605D" w:rsidRPr="00B26573" w:rsidRDefault="0050605D" w:rsidP="0050605D">
            <w:pPr>
              <w:jc w:val="right"/>
              <w:rPr>
                <w:i/>
                <w:sz w:val="20"/>
                <w:szCs w:val="20"/>
              </w:rPr>
            </w:pPr>
            <w:r w:rsidRPr="00B26573">
              <w:rPr>
                <w:i/>
                <w:sz w:val="20"/>
                <w:szCs w:val="20"/>
              </w:rPr>
              <w:t>0</w:t>
            </w:r>
          </w:p>
          <w:p w14:paraId="79E13FE3" w14:textId="77777777" w:rsidR="0050605D" w:rsidRPr="00B26573" w:rsidRDefault="0050605D" w:rsidP="0050605D">
            <w:pPr>
              <w:jc w:val="right"/>
              <w:rPr>
                <w:i/>
                <w:sz w:val="20"/>
                <w:szCs w:val="20"/>
              </w:rPr>
            </w:pPr>
            <w:r w:rsidRPr="00B26573">
              <w:rPr>
                <w:i/>
                <w:sz w:val="20"/>
                <w:szCs w:val="20"/>
              </w:rPr>
              <w:t>0</w:t>
            </w:r>
          </w:p>
          <w:p w14:paraId="515CF3CE" w14:textId="77777777" w:rsidR="0050605D" w:rsidRPr="00B26573" w:rsidRDefault="0050605D" w:rsidP="0050605D">
            <w:pPr>
              <w:jc w:val="right"/>
              <w:rPr>
                <w:i/>
                <w:sz w:val="20"/>
                <w:szCs w:val="20"/>
              </w:rPr>
            </w:pPr>
            <w:r w:rsidRPr="00B26573">
              <w:rPr>
                <w:i/>
                <w:sz w:val="20"/>
                <w:szCs w:val="20"/>
              </w:rPr>
              <w:t>0</w:t>
            </w:r>
          </w:p>
          <w:p w14:paraId="760207EA" w14:textId="77777777" w:rsidR="0050605D" w:rsidRPr="00B26573" w:rsidRDefault="0050605D" w:rsidP="0050605D">
            <w:pPr>
              <w:jc w:val="right"/>
              <w:rPr>
                <w:i/>
                <w:sz w:val="20"/>
                <w:szCs w:val="20"/>
              </w:rPr>
            </w:pPr>
            <w:r w:rsidRPr="00B26573">
              <w:rPr>
                <w:i/>
                <w:sz w:val="20"/>
                <w:szCs w:val="20"/>
              </w:rPr>
              <w:t>74</w:t>
            </w:r>
          </w:p>
          <w:p w14:paraId="46F6934B" w14:textId="77777777" w:rsidR="0050605D" w:rsidRPr="00B26573" w:rsidRDefault="0050605D" w:rsidP="0050605D">
            <w:pPr>
              <w:jc w:val="right"/>
              <w:rPr>
                <w:i/>
                <w:sz w:val="20"/>
                <w:szCs w:val="20"/>
              </w:rPr>
            </w:pPr>
            <w:r w:rsidRPr="00B26573">
              <w:rPr>
                <w:i/>
                <w:sz w:val="20"/>
                <w:szCs w:val="20"/>
              </w:rPr>
              <w:t>0</w:t>
            </w:r>
          </w:p>
          <w:p w14:paraId="7C7D84AD" w14:textId="77777777" w:rsidR="0050605D" w:rsidRPr="00B26573" w:rsidRDefault="0050605D" w:rsidP="0050605D">
            <w:pPr>
              <w:jc w:val="right"/>
              <w:rPr>
                <w:i/>
                <w:sz w:val="20"/>
                <w:szCs w:val="20"/>
              </w:rPr>
            </w:pPr>
            <w:r w:rsidRPr="00B26573">
              <w:rPr>
                <w:i/>
                <w:sz w:val="20"/>
                <w:szCs w:val="20"/>
              </w:rPr>
              <w:t>74</w:t>
            </w:r>
          </w:p>
          <w:p w14:paraId="7657D848" w14:textId="77777777" w:rsidR="0050605D" w:rsidRPr="00B26573" w:rsidRDefault="0050605D" w:rsidP="0050605D">
            <w:pPr>
              <w:jc w:val="right"/>
              <w:rPr>
                <w:i/>
                <w:sz w:val="20"/>
                <w:szCs w:val="20"/>
              </w:rPr>
            </w:pPr>
            <w:r w:rsidRPr="00B26573">
              <w:rPr>
                <w:i/>
                <w:sz w:val="20"/>
                <w:szCs w:val="20"/>
              </w:rPr>
              <w:t>578</w:t>
            </w:r>
          </w:p>
          <w:p w14:paraId="231130AD" w14:textId="77777777" w:rsidR="0050605D" w:rsidRPr="00B26573" w:rsidRDefault="0050605D" w:rsidP="0050605D">
            <w:pPr>
              <w:jc w:val="right"/>
              <w:rPr>
                <w:i/>
                <w:sz w:val="20"/>
                <w:szCs w:val="20"/>
              </w:rPr>
            </w:pPr>
            <w:r w:rsidRPr="00B26573">
              <w:rPr>
                <w:i/>
                <w:sz w:val="20"/>
                <w:szCs w:val="20"/>
              </w:rPr>
              <w:t>87</w:t>
            </w:r>
          </w:p>
          <w:p w14:paraId="658533B0" w14:textId="77777777" w:rsidR="0050605D" w:rsidRPr="00B26573" w:rsidRDefault="0050605D" w:rsidP="0050605D">
            <w:pPr>
              <w:jc w:val="right"/>
              <w:rPr>
                <w:i/>
                <w:sz w:val="20"/>
                <w:szCs w:val="20"/>
              </w:rPr>
            </w:pPr>
            <w:r w:rsidRPr="00B26573">
              <w:rPr>
                <w:i/>
                <w:sz w:val="20"/>
                <w:szCs w:val="20"/>
              </w:rPr>
              <w:t>491</w:t>
            </w:r>
          </w:p>
          <w:p w14:paraId="421CD4C8" w14:textId="77777777" w:rsidR="0050605D" w:rsidRPr="00B26573" w:rsidRDefault="0050605D" w:rsidP="0050605D">
            <w:pPr>
              <w:jc w:val="right"/>
              <w:rPr>
                <w:i/>
                <w:sz w:val="20"/>
                <w:szCs w:val="20"/>
              </w:rPr>
            </w:pPr>
            <w:r w:rsidRPr="00B26573">
              <w:rPr>
                <w:i/>
                <w:sz w:val="20"/>
                <w:szCs w:val="20"/>
              </w:rPr>
              <w:t>4</w:t>
            </w:r>
          </w:p>
          <w:p w14:paraId="671BE16F" w14:textId="77777777" w:rsidR="0050605D" w:rsidRPr="00B26573" w:rsidRDefault="0050605D" w:rsidP="0050605D">
            <w:pPr>
              <w:jc w:val="right"/>
              <w:rPr>
                <w:i/>
                <w:sz w:val="20"/>
                <w:szCs w:val="20"/>
              </w:rPr>
            </w:pPr>
            <w:r w:rsidRPr="00B26573">
              <w:rPr>
                <w:i/>
                <w:sz w:val="20"/>
                <w:szCs w:val="20"/>
              </w:rPr>
              <w:t>0</w:t>
            </w:r>
          </w:p>
          <w:p w14:paraId="33A444EE" w14:textId="77777777" w:rsidR="0050605D" w:rsidRPr="00B26573" w:rsidRDefault="0050605D" w:rsidP="0050605D">
            <w:pPr>
              <w:jc w:val="right"/>
              <w:rPr>
                <w:i/>
                <w:sz w:val="20"/>
                <w:szCs w:val="20"/>
              </w:rPr>
            </w:pPr>
            <w:r w:rsidRPr="00B26573">
              <w:rPr>
                <w:i/>
                <w:sz w:val="20"/>
                <w:szCs w:val="20"/>
              </w:rPr>
              <w:t>4</w:t>
            </w:r>
          </w:p>
          <w:p w14:paraId="3FF51DA0" w14:textId="77777777" w:rsidR="0050605D" w:rsidRPr="00B26573" w:rsidRDefault="0050605D" w:rsidP="0050605D">
            <w:pPr>
              <w:jc w:val="right"/>
              <w:rPr>
                <w:i/>
                <w:sz w:val="20"/>
                <w:szCs w:val="20"/>
              </w:rPr>
            </w:pPr>
            <w:r w:rsidRPr="00B26573">
              <w:rPr>
                <w:i/>
                <w:sz w:val="20"/>
                <w:szCs w:val="20"/>
              </w:rPr>
              <w:t>17</w:t>
            </w:r>
          </w:p>
          <w:p w14:paraId="397E61AF" w14:textId="77777777" w:rsidR="0050605D" w:rsidRPr="00B26573" w:rsidRDefault="0050605D" w:rsidP="0050605D">
            <w:pPr>
              <w:jc w:val="right"/>
              <w:rPr>
                <w:i/>
                <w:sz w:val="20"/>
                <w:szCs w:val="20"/>
              </w:rPr>
            </w:pPr>
            <w:r w:rsidRPr="00B26573">
              <w:rPr>
                <w:i/>
                <w:sz w:val="20"/>
                <w:szCs w:val="20"/>
              </w:rPr>
              <w:t>0</w:t>
            </w:r>
          </w:p>
          <w:p w14:paraId="5FC286F4" w14:textId="40765941" w:rsidR="0050605D" w:rsidRPr="00B26573" w:rsidRDefault="0050605D" w:rsidP="0050605D">
            <w:pPr>
              <w:jc w:val="right"/>
              <w:rPr>
                <w:i/>
                <w:sz w:val="20"/>
              </w:rPr>
            </w:pPr>
            <w:r w:rsidRPr="00B26573">
              <w:rPr>
                <w:i/>
                <w:sz w:val="20"/>
                <w:szCs w:val="20"/>
              </w:rPr>
              <w:t xml:space="preserve">17  </w:t>
            </w:r>
            <w:r w:rsidRPr="00B26573">
              <w:rPr>
                <w:i/>
                <w:sz w:val="20"/>
              </w:rPr>
              <w:t xml:space="preserve"> </w:t>
            </w:r>
          </w:p>
        </w:tc>
        <w:tc>
          <w:tcPr>
            <w:tcW w:w="705" w:type="pct"/>
            <w:tcBorders>
              <w:bottom w:val="single" w:sz="4" w:space="0" w:color="7F7F7F" w:themeColor="text1" w:themeTint="80"/>
            </w:tcBorders>
            <w:shd w:val="clear" w:color="auto" w:fill="auto"/>
          </w:tcPr>
          <w:p w14:paraId="31A2C133" w14:textId="77777777" w:rsidR="0050605D" w:rsidRPr="00B26573" w:rsidRDefault="0050605D" w:rsidP="0050605D">
            <w:pPr>
              <w:jc w:val="right"/>
              <w:rPr>
                <w:i/>
                <w:sz w:val="20"/>
              </w:rPr>
            </w:pPr>
            <w:r w:rsidRPr="00B26573">
              <w:rPr>
                <w:i/>
                <w:sz w:val="20"/>
              </w:rPr>
              <w:t>3 145</w:t>
            </w:r>
          </w:p>
          <w:p w14:paraId="4BDA9599" w14:textId="77777777" w:rsidR="0050605D" w:rsidRPr="00B26573" w:rsidRDefault="0050605D" w:rsidP="0050605D">
            <w:pPr>
              <w:jc w:val="right"/>
              <w:rPr>
                <w:i/>
                <w:sz w:val="20"/>
              </w:rPr>
            </w:pPr>
            <w:r w:rsidRPr="00B26573">
              <w:rPr>
                <w:i/>
                <w:sz w:val="20"/>
              </w:rPr>
              <w:t xml:space="preserve">     </w:t>
            </w:r>
          </w:p>
          <w:p w14:paraId="1BA9E0C8" w14:textId="77777777" w:rsidR="0050605D" w:rsidRPr="00B26573" w:rsidRDefault="0050605D" w:rsidP="0050605D">
            <w:pPr>
              <w:jc w:val="right"/>
              <w:rPr>
                <w:i/>
                <w:sz w:val="20"/>
              </w:rPr>
            </w:pPr>
            <w:r w:rsidRPr="00B26573">
              <w:rPr>
                <w:i/>
                <w:sz w:val="20"/>
              </w:rPr>
              <w:t>674</w:t>
            </w:r>
          </w:p>
          <w:p w14:paraId="5F211619" w14:textId="77777777" w:rsidR="0050605D" w:rsidRPr="00B26573" w:rsidRDefault="0050605D" w:rsidP="0050605D">
            <w:pPr>
              <w:jc w:val="right"/>
              <w:rPr>
                <w:i/>
                <w:sz w:val="20"/>
              </w:rPr>
            </w:pPr>
            <w:r w:rsidRPr="00B26573">
              <w:rPr>
                <w:i/>
                <w:sz w:val="20"/>
              </w:rPr>
              <w:t>0</w:t>
            </w:r>
          </w:p>
          <w:p w14:paraId="135994D3" w14:textId="77777777" w:rsidR="0050605D" w:rsidRPr="00B26573" w:rsidRDefault="0050605D" w:rsidP="0050605D">
            <w:pPr>
              <w:jc w:val="right"/>
              <w:rPr>
                <w:i/>
                <w:sz w:val="20"/>
              </w:rPr>
            </w:pPr>
            <w:r w:rsidRPr="00B26573">
              <w:rPr>
                <w:i/>
                <w:sz w:val="20"/>
              </w:rPr>
              <w:t>0</w:t>
            </w:r>
          </w:p>
          <w:p w14:paraId="6EAF3106" w14:textId="77777777" w:rsidR="0050605D" w:rsidRPr="00B26573" w:rsidRDefault="0050605D" w:rsidP="0050605D">
            <w:pPr>
              <w:jc w:val="right"/>
              <w:rPr>
                <w:i/>
                <w:sz w:val="20"/>
              </w:rPr>
            </w:pPr>
            <w:r w:rsidRPr="00B26573">
              <w:rPr>
                <w:i/>
                <w:sz w:val="20"/>
              </w:rPr>
              <w:t>0</w:t>
            </w:r>
          </w:p>
          <w:p w14:paraId="51F8B33B" w14:textId="77777777" w:rsidR="0050605D" w:rsidRPr="00B26573" w:rsidRDefault="0050605D" w:rsidP="0050605D">
            <w:pPr>
              <w:jc w:val="right"/>
              <w:rPr>
                <w:i/>
                <w:sz w:val="20"/>
              </w:rPr>
            </w:pPr>
            <w:r w:rsidRPr="00B26573">
              <w:rPr>
                <w:i/>
                <w:sz w:val="20"/>
              </w:rPr>
              <w:t>4</w:t>
            </w:r>
          </w:p>
          <w:p w14:paraId="4D00C89B" w14:textId="77777777" w:rsidR="0050605D" w:rsidRPr="00B26573" w:rsidRDefault="0050605D" w:rsidP="0050605D">
            <w:pPr>
              <w:jc w:val="right"/>
              <w:rPr>
                <w:i/>
                <w:sz w:val="20"/>
              </w:rPr>
            </w:pPr>
            <w:r w:rsidRPr="00B26573">
              <w:rPr>
                <w:i/>
                <w:sz w:val="20"/>
              </w:rPr>
              <w:t>1</w:t>
            </w:r>
          </w:p>
          <w:p w14:paraId="321CCAE9" w14:textId="77777777" w:rsidR="0050605D" w:rsidRPr="00B26573" w:rsidRDefault="0050605D" w:rsidP="0050605D">
            <w:pPr>
              <w:jc w:val="right"/>
              <w:rPr>
                <w:i/>
                <w:sz w:val="20"/>
              </w:rPr>
            </w:pPr>
            <w:r w:rsidRPr="00B26573">
              <w:rPr>
                <w:i/>
                <w:sz w:val="20"/>
              </w:rPr>
              <w:t>3</w:t>
            </w:r>
          </w:p>
          <w:p w14:paraId="15A11601" w14:textId="77777777" w:rsidR="0050605D" w:rsidRPr="00B26573" w:rsidRDefault="0050605D" w:rsidP="0050605D">
            <w:pPr>
              <w:jc w:val="right"/>
              <w:rPr>
                <w:i/>
                <w:sz w:val="20"/>
              </w:rPr>
            </w:pPr>
            <w:r w:rsidRPr="00B26573">
              <w:rPr>
                <w:i/>
                <w:sz w:val="20"/>
              </w:rPr>
              <w:t>2</w:t>
            </w:r>
          </w:p>
          <w:p w14:paraId="5FD5D12B" w14:textId="77777777" w:rsidR="0050605D" w:rsidRPr="00B26573" w:rsidRDefault="0050605D" w:rsidP="0050605D">
            <w:pPr>
              <w:jc w:val="right"/>
              <w:rPr>
                <w:i/>
                <w:sz w:val="20"/>
              </w:rPr>
            </w:pPr>
            <w:r w:rsidRPr="00B26573">
              <w:rPr>
                <w:i/>
                <w:sz w:val="20"/>
              </w:rPr>
              <w:t>0</w:t>
            </w:r>
          </w:p>
          <w:p w14:paraId="28C6504A" w14:textId="77777777" w:rsidR="0050605D" w:rsidRPr="00B26573" w:rsidRDefault="0050605D" w:rsidP="0050605D">
            <w:pPr>
              <w:jc w:val="right"/>
              <w:rPr>
                <w:i/>
                <w:sz w:val="20"/>
              </w:rPr>
            </w:pPr>
            <w:r w:rsidRPr="00B26573">
              <w:rPr>
                <w:i/>
                <w:sz w:val="20"/>
              </w:rPr>
              <w:t>2</w:t>
            </w:r>
          </w:p>
          <w:p w14:paraId="5B02EF69" w14:textId="77777777" w:rsidR="0050605D" w:rsidRPr="00B26573" w:rsidRDefault="0050605D" w:rsidP="0050605D">
            <w:pPr>
              <w:jc w:val="right"/>
              <w:rPr>
                <w:i/>
                <w:sz w:val="20"/>
              </w:rPr>
            </w:pPr>
            <w:r w:rsidRPr="00B26573">
              <w:rPr>
                <w:i/>
                <w:sz w:val="20"/>
              </w:rPr>
              <w:t>54</w:t>
            </w:r>
          </w:p>
          <w:p w14:paraId="1AA788C1" w14:textId="77777777" w:rsidR="0050605D" w:rsidRPr="00B26573" w:rsidRDefault="0050605D" w:rsidP="0050605D">
            <w:pPr>
              <w:jc w:val="right"/>
              <w:rPr>
                <w:i/>
                <w:sz w:val="20"/>
              </w:rPr>
            </w:pPr>
            <w:r w:rsidRPr="00B26573">
              <w:rPr>
                <w:i/>
                <w:sz w:val="20"/>
              </w:rPr>
              <w:t>2</w:t>
            </w:r>
          </w:p>
          <w:p w14:paraId="28362663" w14:textId="77777777" w:rsidR="0050605D" w:rsidRPr="00B26573" w:rsidRDefault="0050605D" w:rsidP="0050605D">
            <w:pPr>
              <w:jc w:val="right"/>
              <w:rPr>
                <w:i/>
                <w:sz w:val="20"/>
              </w:rPr>
            </w:pPr>
            <w:r w:rsidRPr="00B26573">
              <w:rPr>
                <w:i/>
                <w:sz w:val="20"/>
              </w:rPr>
              <w:t>52</w:t>
            </w:r>
          </w:p>
          <w:p w14:paraId="406B6860" w14:textId="77777777" w:rsidR="0050605D" w:rsidRPr="00B26573" w:rsidRDefault="0050605D" w:rsidP="0050605D">
            <w:pPr>
              <w:jc w:val="right"/>
              <w:rPr>
                <w:i/>
                <w:sz w:val="20"/>
              </w:rPr>
            </w:pPr>
            <w:r w:rsidRPr="00B26573">
              <w:rPr>
                <w:i/>
                <w:sz w:val="20"/>
              </w:rPr>
              <w:t>560</w:t>
            </w:r>
          </w:p>
          <w:p w14:paraId="738FFE7E" w14:textId="77777777" w:rsidR="0050605D" w:rsidRPr="00B26573" w:rsidRDefault="0050605D" w:rsidP="0050605D">
            <w:pPr>
              <w:jc w:val="right"/>
              <w:rPr>
                <w:i/>
                <w:sz w:val="20"/>
              </w:rPr>
            </w:pPr>
            <w:r w:rsidRPr="00B26573">
              <w:rPr>
                <w:i/>
                <w:sz w:val="20"/>
              </w:rPr>
              <w:t>84</w:t>
            </w:r>
          </w:p>
          <w:p w14:paraId="76231CE2" w14:textId="77777777" w:rsidR="0050605D" w:rsidRPr="00B26573" w:rsidRDefault="0050605D" w:rsidP="0050605D">
            <w:pPr>
              <w:jc w:val="right"/>
              <w:rPr>
                <w:i/>
                <w:sz w:val="20"/>
              </w:rPr>
            </w:pPr>
            <w:r w:rsidRPr="00B26573">
              <w:rPr>
                <w:i/>
                <w:sz w:val="20"/>
              </w:rPr>
              <w:t>476</w:t>
            </w:r>
          </w:p>
          <w:p w14:paraId="3C1806B5" w14:textId="77777777" w:rsidR="0050605D" w:rsidRPr="00B26573" w:rsidRDefault="0050605D" w:rsidP="0050605D">
            <w:pPr>
              <w:jc w:val="right"/>
              <w:rPr>
                <w:i/>
                <w:sz w:val="20"/>
              </w:rPr>
            </w:pPr>
            <w:r w:rsidRPr="00B26573">
              <w:rPr>
                <w:i/>
                <w:sz w:val="20"/>
              </w:rPr>
              <w:t>9</w:t>
            </w:r>
          </w:p>
          <w:p w14:paraId="00C62A4B" w14:textId="77777777" w:rsidR="0050605D" w:rsidRPr="00B26573" w:rsidRDefault="0050605D" w:rsidP="0050605D">
            <w:pPr>
              <w:jc w:val="right"/>
              <w:rPr>
                <w:i/>
                <w:sz w:val="20"/>
              </w:rPr>
            </w:pPr>
            <w:r w:rsidRPr="00B26573">
              <w:rPr>
                <w:i/>
                <w:sz w:val="20"/>
              </w:rPr>
              <w:t>0</w:t>
            </w:r>
          </w:p>
          <w:p w14:paraId="4D513F3C" w14:textId="77777777" w:rsidR="0050605D" w:rsidRPr="00B26573" w:rsidRDefault="0050605D" w:rsidP="0050605D">
            <w:pPr>
              <w:jc w:val="right"/>
              <w:rPr>
                <w:i/>
                <w:sz w:val="20"/>
              </w:rPr>
            </w:pPr>
            <w:r w:rsidRPr="00B26573">
              <w:rPr>
                <w:i/>
                <w:sz w:val="20"/>
              </w:rPr>
              <w:t>9</w:t>
            </w:r>
          </w:p>
          <w:p w14:paraId="40F3BF48" w14:textId="77777777" w:rsidR="0050605D" w:rsidRPr="00B26573" w:rsidRDefault="0050605D" w:rsidP="0050605D">
            <w:pPr>
              <w:jc w:val="right"/>
              <w:rPr>
                <w:i/>
                <w:sz w:val="20"/>
              </w:rPr>
            </w:pPr>
            <w:r w:rsidRPr="00B26573">
              <w:rPr>
                <w:i/>
                <w:sz w:val="20"/>
              </w:rPr>
              <w:t>47</w:t>
            </w:r>
          </w:p>
          <w:p w14:paraId="61FE1455" w14:textId="77777777" w:rsidR="0050605D" w:rsidRPr="00B26573" w:rsidRDefault="0050605D" w:rsidP="0050605D">
            <w:pPr>
              <w:jc w:val="right"/>
              <w:rPr>
                <w:i/>
                <w:sz w:val="20"/>
              </w:rPr>
            </w:pPr>
            <w:r w:rsidRPr="00B26573">
              <w:rPr>
                <w:i/>
                <w:sz w:val="20"/>
              </w:rPr>
              <w:t>0</w:t>
            </w:r>
          </w:p>
          <w:p w14:paraId="13ED9D6B" w14:textId="6B5EDF49" w:rsidR="0050605D" w:rsidRPr="00B26573" w:rsidRDefault="0050605D" w:rsidP="0050605D">
            <w:pPr>
              <w:jc w:val="right"/>
              <w:rPr>
                <w:i/>
                <w:sz w:val="20"/>
              </w:rPr>
            </w:pPr>
            <w:r w:rsidRPr="00B26573">
              <w:rPr>
                <w:i/>
                <w:sz w:val="20"/>
              </w:rPr>
              <w:t>47</w:t>
            </w:r>
          </w:p>
        </w:tc>
        <w:tc>
          <w:tcPr>
            <w:tcW w:w="667" w:type="pct"/>
            <w:tcBorders>
              <w:bottom w:val="single" w:sz="4" w:space="0" w:color="7F7F7F" w:themeColor="text1" w:themeTint="80"/>
            </w:tcBorders>
            <w:shd w:val="clear" w:color="auto" w:fill="auto"/>
          </w:tcPr>
          <w:p w14:paraId="38D75AC0" w14:textId="77777777" w:rsidR="0050605D" w:rsidRPr="00B26573" w:rsidRDefault="0050605D" w:rsidP="0050605D">
            <w:pPr>
              <w:jc w:val="right"/>
              <w:rPr>
                <w:i/>
                <w:sz w:val="20"/>
              </w:rPr>
            </w:pPr>
            <w:r w:rsidRPr="00B26573">
              <w:rPr>
                <w:i/>
                <w:sz w:val="20"/>
              </w:rPr>
              <w:t>3 282</w:t>
            </w:r>
          </w:p>
          <w:p w14:paraId="38C13D6F" w14:textId="77777777" w:rsidR="0050605D" w:rsidRPr="00B26573" w:rsidRDefault="0050605D" w:rsidP="0050605D">
            <w:pPr>
              <w:jc w:val="right"/>
              <w:rPr>
                <w:i/>
                <w:sz w:val="20"/>
              </w:rPr>
            </w:pPr>
            <w:r w:rsidRPr="00B26573">
              <w:rPr>
                <w:i/>
                <w:sz w:val="20"/>
              </w:rPr>
              <w:t xml:space="preserve">     </w:t>
            </w:r>
          </w:p>
          <w:p w14:paraId="685EA250" w14:textId="77777777" w:rsidR="0050605D" w:rsidRPr="00B26573" w:rsidRDefault="0050605D" w:rsidP="0050605D">
            <w:pPr>
              <w:jc w:val="right"/>
              <w:rPr>
                <w:i/>
                <w:sz w:val="20"/>
              </w:rPr>
            </w:pPr>
            <w:r w:rsidRPr="00B26573">
              <w:rPr>
                <w:i/>
                <w:sz w:val="20"/>
              </w:rPr>
              <w:t>698</w:t>
            </w:r>
          </w:p>
          <w:p w14:paraId="1185D2D9" w14:textId="77777777" w:rsidR="0050605D" w:rsidRPr="00B26573" w:rsidRDefault="0050605D" w:rsidP="0050605D">
            <w:pPr>
              <w:jc w:val="right"/>
              <w:rPr>
                <w:i/>
                <w:sz w:val="20"/>
              </w:rPr>
            </w:pPr>
            <w:r w:rsidRPr="00B26573">
              <w:rPr>
                <w:i/>
                <w:sz w:val="20"/>
              </w:rPr>
              <w:t>0</w:t>
            </w:r>
          </w:p>
          <w:p w14:paraId="55F68501" w14:textId="77777777" w:rsidR="0050605D" w:rsidRPr="00B26573" w:rsidRDefault="0050605D" w:rsidP="0050605D">
            <w:pPr>
              <w:jc w:val="right"/>
              <w:rPr>
                <w:i/>
                <w:sz w:val="20"/>
              </w:rPr>
            </w:pPr>
            <w:r w:rsidRPr="00B26573">
              <w:rPr>
                <w:i/>
                <w:sz w:val="20"/>
              </w:rPr>
              <w:t>0</w:t>
            </w:r>
          </w:p>
          <w:p w14:paraId="6D595DB6" w14:textId="77777777" w:rsidR="0050605D" w:rsidRPr="00B26573" w:rsidRDefault="0050605D" w:rsidP="0050605D">
            <w:pPr>
              <w:jc w:val="right"/>
              <w:rPr>
                <w:i/>
                <w:sz w:val="20"/>
              </w:rPr>
            </w:pPr>
            <w:r w:rsidRPr="00B26573">
              <w:rPr>
                <w:i/>
                <w:sz w:val="20"/>
              </w:rPr>
              <w:t>0</w:t>
            </w:r>
          </w:p>
          <w:p w14:paraId="186D13F8" w14:textId="77777777" w:rsidR="0050605D" w:rsidRPr="00B26573" w:rsidRDefault="0050605D" w:rsidP="0050605D">
            <w:pPr>
              <w:jc w:val="right"/>
              <w:rPr>
                <w:i/>
                <w:sz w:val="20"/>
              </w:rPr>
            </w:pPr>
            <w:r w:rsidRPr="00B26573">
              <w:rPr>
                <w:i/>
                <w:sz w:val="20"/>
              </w:rPr>
              <w:t>0</w:t>
            </w:r>
          </w:p>
          <w:p w14:paraId="2BA3C685" w14:textId="77777777" w:rsidR="0050605D" w:rsidRPr="00B26573" w:rsidRDefault="0050605D" w:rsidP="0050605D">
            <w:pPr>
              <w:jc w:val="right"/>
              <w:rPr>
                <w:i/>
                <w:sz w:val="20"/>
              </w:rPr>
            </w:pPr>
            <w:r w:rsidRPr="00B26573">
              <w:rPr>
                <w:i/>
                <w:sz w:val="20"/>
              </w:rPr>
              <w:t>0</w:t>
            </w:r>
          </w:p>
          <w:p w14:paraId="4503A359" w14:textId="77777777" w:rsidR="0050605D" w:rsidRPr="00B26573" w:rsidRDefault="0050605D" w:rsidP="0050605D">
            <w:pPr>
              <w:jc w:val="right"/>
              <w:rPr>
                <w:i/>
                <w:sz w:val="20"/>
              </w:rPr>
            </w:pPr>
            <w:r w:rsidRPr="00B26573">
              <w:rPr>
                <w:i/>
                <w:sz w:val="20"/>
              </w:rPr>
              <w:t>0</w:t>
            </w:r>
          </w:p>
          <w:p w14:paraId="379E6EAA" w14:textId="77777777" w:rsidR="0050605D" w:rsidRPr="00B26573" w:rsidRDefault="0050605D" w:rsidP="0050605D">
            <w:pPr>
              <w:jc w:val="right"/>
              <w:rPr>
                <w:i/>
                <w:sz w:val="20"/>
              </w:rPr>
            </w:pPr>
            <w:r w:rsidRPr="00B26573">
              <w:rPr>
                <w:i/>
                <w:sz w:val="20"/>
              </w:rPr>
              <w:t>1</w:t>
            </w:r>
          </w:p>
          <w:p w14:paraId="540847B9" w14:textId="77777777" w:rsidR="0050605D" w:rsidRPr="00B26573" w:rsidRDefault="0050605D" w:rsidP="0050605D">
            <w:pPr>
              <w:jc w:val="right"/>
              <w:rPr>
                <w:i/>
                <w:sz w:val="20"/>
              </w:rPr>
            </w:pPr>
            <w:r w:rsidRPr="00B26573">
              <w:rPr>
                <w:i/>
                <w:sz w:val="20"/>
              </w:rPr>
              <w:t>0</w:t>
            </w:r>
          </w:p>
          <w:p w14:paraId="5CB4677C" w14:textId="77777777" w:rsidR="0050605D" w:rsidRPr="00B26573" w:rsidRDefault="0050605D" w:rsidP="0050605D">
            <w:pPr>
              <w:jc w:val="right"/>
              <w:rPr>
                <w:i/>
                <w:sz w:val="20"/>
              </w:rPr>
            </w:pPr>
            <w:r w:rsidRPr="00B26573">
              <w:rPr>
                <w:i/>
                <w:sz w:val="20"/>
              </w:rPr>
              <w:t>1</w:t>
            </w:r>
          </w:p>
          <w:p w14:paraId="0FF2F3BD" w14:textId="77777777" w:rsidR="0050605D" w:rsidRPr="00B26573" w:rsidRDefault="0050605D" w:rsidP="0050605D">
            <w:pPr>
              <w:jc w:val="right"/>
              <w:rPr>
                <w:i/>
                <w:sz w:val="20"/>
              </w:rPr>
            </w:pPr>
            <w:r w:rsidRPr="00B26573">
              <w:rPr>
                <w:i/>
                <w:sz w:val="20"/>
              </w:rPr>
              <w:t>51</w:t>
            </w:r>
          </w:p>
          <w:p w14:paraId="767D5E84" w14:textId="77777777" w:rsidR="0050605D" w:rsidRPr="00B26573" w:rsidRDefault="0050605D" w:rsidP="0050605D">
            <w:pPr>
              <w:jc w:val="right"/>
              <w:rPr>
                <w:i/>
                <w:sz w:val="20"/>
              </w:rPr>
            </w:pPr>
            <w:r w:rsidRPr="00B26573">
              <w:rPr>
                <w:i/>
                <w:sz w:val="20"/>
              </w:rPr>
              <w:t>1</w:t>
            </w:r>
          </w:p>
          <w:p w14:paraId="429FEB62" w14:textId="77777777" w:rsidR="0050605D" w:rsidRPr="00B26573" w:rsidRDefault="0050605D" w:rsidP="0050605D">
            <w:pPr>
              <w:jc w:val="right"/>
              <w:rPr>
                <w:i/>
                <w:sz w:val="20"/>
              </w:rPr>
            </w:pPr>
            <w:r w:rsidRPr="00B26573">
              <w:rPr>
                <w:i/>
                <w:sz w:val="20"/>
              </w:rPr>
              <w:t>50</w:t>
            </w:r>
          </w:p>
          <w:p w14:paraId="0C15EB24" w14:textId="77777777" w:rsidR="0050605D" w:rsidRPr="00B26573" w:rsidRDefault="0050605D" w:rsidP="0050605D">
            <w:pPr>
              <w:jc w:val="right"/>
              <w:rPr>
                <w:i/>
                <w:sz w:val="20"/>
              </w:rPr>
            </w:pPr>
            <w:r w:rsidRPr="00B26573">
              <w:rPr>
                <w:i/>
                <w:sz w:val="20"/>
              </w:rPr>
              <w:t>595</w:t>
            </w:r>
          </w:p>
          <w:p w14:paraId="3FEA8411" w14:textId="77777777" w:rsidR="0050605D" w:rsidRPr="00B26573" w:rsidRDefault="0050605D" w:rsidP="0050605D">
            <w:pPr>
              <w:jc w:val="right"/>
              <w:rPr>
                <w:i/>
                <w:sz w:val="20"/>
              </w:rPr>
            </w:pPr>
            <w:r w:rsidRPr="00B26573">
              <w:rPr>
                <w:i/>
                <w:sz w:val="20"/>
              </w:rPr>
              <w:t>89</w:t>
            </w:r>
          </w:p>
          <w:p w14:paraId="22D95EAA" w14:textId="77777777" w:rsidR="0050605D" w:rsidRPr="00B26573" w:rsidRDefault="0050605D" w:rsidP="0050605D">
            <w:pPr>
              <w:jc w:val="right"/>
              <w:rPr>
                <w:i/>
                <w:sz w:val="20"/>
              </w:rPr>
            </w:pPr>
            <w:r w:rsidRPr="00B26573">
              <w:rPr>
                <w:i/>
                <w:sz w:val="20"/>
              </w:rPr>
              <w:t>506</w:t>
            </w:r>
          </w:p>
          <w:p w14:paraId="0811551C" w14:textId="77777777" w:rsidR="0050605D" w:rsidRPr="00B26573" w:rsidRDefault="0050605D" w:rsidP="0050605D">
            <w:pPr>
              <w:jc w:val="right"/>
              <w:rPr>
                <w:i/>
                <w:sz w:val="20"/>
              </w:rPr>
            </w:pPr>
            <w:r w:rsidRPr="00B26573">
              <w:rPr>
                <w:i/>
                <w:sz w:val="20"/>
              </w:rPr>
              <w:t>11</w:t>
            </w:r>
          </w:p>
          <w:p w14:paraId="1BFAD33D" w14:textId="77777777" w:rsidR="0050605D" w:rsidRPr="00B26573" w:rsidRDefault="0050605D" w:rsidP="0050605D">
            <w:pPr>
              <w:jc w:val="right"/>
              <w:rPr>
                <w:i/>
                <w:sz w:val="20"/>
              </w:rPr>
            </w:pPr>
            <w:r w:rsidRPr="00B26573">
              <w:rPr>
                <w:i/>
                <w:sz w:val="20"/>
              </w:rPr>
              <w:t>0</w:t>
            </w:r>
          </w:p>
          <w:p w14:paraId="00868A41" w14:textId="77777777" w:rsidR="0050605D" w:rsidRPr="00B26573" w:rsidRDefault="0050605D" w:rsidP="0050605D">
            <w:pPr>
              <w:jc w:val="right"/>
              <w:rPr>
                <w:i/>
                <w:sz w:val="20"/>
              </w:rPr>
            </w:pPr>
            <w:r w:rsidRPr="00B26573">
              <w:rPr>
                <w:i/>
                <w:sz w:val="20"/>
              </w:rPr>
              <w:t>11</w:t>
            </w:r>
          </w:p>
          <w:p w14:paraId="447290D7" w14:textId="77777777" w:rsidR="0050605D" w:rsidRPr="00B26573" w:rsidRDefault="0050605D" w:rsidP="0050605D">
            <w:pPr>
              <w:jc w:val="right"/>
              <w:rPr>
                <w:i/>
                <w:sz w:val="20"/>
              </w:rPr>
            </w:pPr>
            <w:r w:rsidRPr="00B26573">
              <w:rPr>
                <w:i/>
                <w:sz w:val="20"/>
              </w:rPr>
              <w:t>40</w:t>
            </w:r>
          </w:p>
          <w:p w14:paraId="7A2B6EE8" w14:textId="77777777" w:rsidR="0050605D" w:rsidRPr="00B26573" w:rsidRDefault="0050605D" w:rsidP="0050605D">
            <w:pPr>
              <w:jc w:val="right"/>
              <w:rPr>
                <w:i/>
                <w:sz w:val="20"/>
              </w:rPr>
            </w:pPr>
            <w:r w:rsidRPr="00B26573">
              <w:rPr>
                <w:i/>
                <w:sz w:val="20"/>
              </w:rPr>
              <w:t>0</w:t>
            </w:r>
          </w:p>
          <w:p w14:paraId="01481975" w14:textId="6F4AA7AD" w:rsidR="0050605D" w:rsidRPr="00B26573" w:rsidRDefault="0050605D" w:rsidP="0050605D">
            <w:pPr>
              <w:jc w:val="right"/>
              <w:rPr>
                <w:i/>
                <w:sz w:val="20"/>
              </w:rPr>
            </w:pPr>
            <w:r w:rsidRPr="00B26573">
              <w:rPr>
                <w:i/>
                <w:sz w:val="20"/>
              </w:rPr>
              <w:t>40</w:t>
            </w:r>
          </w:p>
        </w:tc>
        <w:tc>
          <w:tcPr>
            <w:tcW w:w="501" w:type="pct"/>
            <w:tcBorders>
              <w:bottom w:val="single" w:sz="4" w:space="0" w:color="7F7F7F" w:themeColor="text1" w:themeTint="80"/>
            </w:tcBorders>
            <w:shd w:val="clear" w:color="auto" w:fill="auto"/>
          </w:tcPr>
          <w:p w14:paraId="52A8B1C0" w14:textId="77777777" w:rsidR="0050605D" w:rsidRPr="00B26573" w:rsidRDefault="0050605D" w:rsidP="0050605D">
            <w:pPr>
              <w:jc w:val="right"/>
              <w:rPr>
                <w:sz w:val="20"/>
              </w:rPr>
            </w:pPr>
            <w:r w:rsidRPr="00B26573">
              <w:rPr>
                <w:sz w:val="20"/>
              </w:rPr>
              <w:t>104,36</w:t>
            </w:r>
          </w:p>
          <w:p w14:paraId="2CB7FD00" w14:textId="77777777" w:rsidR="0050605D" w:rsidRPr="00B26573" w:rsidRDefault="0050605D" w:rsidP="0050605D">
            <w:pPr>
              <w:jc w:val="right"/>
              <w:rPr>
                <w:sz w:val="20"/>
              </w:rPr>
            </w:pPr>
          </w:p>
          <w:p w14:paraId="2971B235" w14:textId="77777777" w:rsidR="0050605D" w:rsidRPr="00B26573" w:rsidRDefault="0050605D" w:rsidP="0050605D">
            <w:pPr>
              <w:jc w:val="right"/>
              <w:rPr>
                <w:i/>
                <w:sz w:val="20"/>
              </w:rPr>
            </w:pPr>
            <w:r w:rsidRPr="00B26573">
              <w:rPr>
                <w:i/>
                <w:sz w:val="20"/>
              </w:rPr>
              <w:t>103,56</w:t>
            </w:r>
          </w:p>
          <w:p w14:paraId="09CE607E" w14:textId="77777777" w:rsidR="0050605D" w:rsidRPr="00B26573" w:rsidRDefault="0050605D" w:rsidP="0050605D">
            <w:pPr>
              <w:jc w:val="right"/>
              <w:rPr>
                <w:i/>
                <w:sz w:val="20"/>
              </w:rPr>
            </w:pPr>
            <w:r w:rsidRPr="00B26573">
              <w:rPr>
                <w:i/>
                <w:sz w:val="20"/>
              </w:rPr>
              <w:t>x</w:t>
            </w:r>
          </w:p>
          <w:p w14:paraId="4D586EF4" w14:textId="77777777" w:rsidR="0050605D" w:rsidRPr="00B26573" w:rsidRDefault="0050605D" w:rsidP="0050605D">
            <w:pPr>
              <w:jc w:val="right"/>
              <w:rPr>
                <w:i/>
                <w:sz w:val="20"/>
              </w:rPr>
            </w:pPr>
            <w:r w:rsidRPr="00B26573">
              <w:rPr>
                <w:i/>
                <w:sz w:val="20"/>
              </w:rPr>
              <w:t>x</w:t>
            </w:r>
          </w:p>
          <w:p w14:paraId="54A574C9" w14:textId="77777777" w:rsidR="0050605D" w:rsidRPr="00B26573" w:rsidRDefault="0050605D" w:rsidP="0050605D">
            <w:pPr>
              <w:jc w:val="right"/>
              <w:rPr>
                <w:i/>
                <w:sz w:val="20"/>
              </w:rPr>
            </w:pPr>
            <w:r w:rsidRPr="00B26573">
              <w:rPr>
                <w:i/>
                <w:sz w:val="20"/>
              </w:rPr>
              <w:t>x</w:t>
            </w:r>
          </w:p>
          <w:p w14:paraId="6A7E1D4E" w14:textId="77777777" w:rsidR="0050605D" w:rsidRPr="00B26573" w:rsidRDefault="0050605D" w:rsidP="0050605D">
            <w:pPr>
              <w:jc w:val="right"/>
              <w:rPr>
                <w:i/>
                <w:sz w:val="20"/>
              </w:rPr>
            </w:pPr>
            <w:r w:rsidRPr="00B26573">
              <w:rPr>
                <w:i/>
                <w:sz w:val="20"/>
              </w:rPr>
              <w:t xml:space="preserve">0,00  </w:t>
            </w:r>
          </w:p>
          <w:p w14:paraId="033734D2" w14:textId="77777777" w:rsidR="0050605D" w:rsidRPr="00B26573" w:rsidRDefault="0050605D" w:rsidP="0050605D">
            <w:pPr>
              <w:jc w:val="right"/>
              <w:rPr>
                <w:i/>
                <w:sz w:val="20"/>
              </w:rPr>
            </w:pPr>
            <w:r w:rsidRPr="00B26573">
              <w:rPr>
                <w:i/>
                <w:sz w:val="20"/>
              </w:rPr>
              <w:t xml:space="preserve"> 0,00</w:t>
            </w:r>
          </w:p>
          <w:p w14:paraId="77F21CF3" w14:textId="77777777" w:rsidR="0050605D" w:rsidRPr="00B26573" w:rsidRDefault="0050605D" w:rsidP="0050605D">
            <w:pPr>
              <w:jc w:val="right"/>
              <w:rPr>
                <w:i/>
                <w:sz w:val="20"/>
              </w:rPr>
            </w:pPr>
            <w:r w:rsidRPr="00B26573">
              <w:rPr>
                <w:i/>
                <w:sz w:val="20"/>
              </w:rPr>
              <w:t xml:space="preserve">0,00      </w:t>
            </w:r>
          </w:p>
          <w:p w14:paraId="1E4D8D1E" w14:textId="77777777" w:rsidR="0050605D" w:rsidRPr="00B26573" w:rsidRDefault="0050605D" w:rsidP="0050605D">
            <w:pPr>
              <w:jc w:val="right"/>
              <w:rPr>
                <w:i/>
                <w:sz w:val="20"/>
              </w:rPr>
            </w:pPr>
            <w:r w:rsidRPr="00B26573">
              <w:rPr>
                <w:i/>
                <w:sz w:val="20"/>
              </w:rPr>
              <w:t>50,00</w:t>
            </w:r>
          </w:p>
          <w:p w14:paraId="202B859A" w14:textId="77777777" w:rsidR="0050605D" w:rsidRPr="00B26573" w:rsidRDefault="0050605D" w:rsidP="0050605D">
            <w:pPr>
              <w:jc w:val="right"/>
              <w:rPr>
                <w:i/>
                <w:sz w:val="20"/>
              </w:rPr>
            </w:pPr>
            <w:r w:rsidRPr="00B26573">
              <w:rPr>
                <w:i/>
                <w:sz w:val="20"/>
              </w:rPr>
              <w:t>x</w:t>
            </w:r>
          </w:p>
          <w:p w14:paraId="40B12648" w14:textId="77777777" w:rsidR="0050605D" w:rsidRPr="00B26573" w:rsidRDefault="0050605D" w:rsidP="0050605D">
            <w:pPr>
              <w:jc w:val="right"/>
              <w:rPr>
                <w:i/>
                <w:sz w:val="20"/>
              </w:rPr>
            </w:pPr>
            <w:r w:rsidRPr="00B26573">
              <w:rPr>
                <w:i/>
                <w:sz w:val="20"/>
              </w:rPr>
              <w:t>50,00</w:t>
            </w:r>
          </w:p>
          <w:p w14:paraId="671680FB" w14:textId="77777777" w:rsidR="0050605D" w:rsidRPr="00B26573" w:rsidRDefault="0050605D" w:rsidP="0050605D">
            <w:pPr>
              <w:jc w:val="right"/>
              <w:rPr>
                <w:i/>
                <w:sz w:val="20"/>
              </w:rPr>
            </w:pPr>
            <w:r w:rsidRPr="00B26573">
              <w:rPr>
                <w:i/>
                <w:sz w:val="20"/>
              </w:rPr>
              <w:t>94,44</w:t>
            </w:r>
          </w:p>
          <w:p w14:paraId="655EFB71" w14:textId="77777777" w:rsidR="0050605D" w:rsidRPr="00B26573" w:rsidRDefault="0050605D" w:rsidP="0050605D">
            <w:pPr>
              <w:jc w:val="right"/>
              <w:rPr>
                <w:i/>
                <w:sz w:val="20"/>
              </w:rPr>
            </w:pPr>
            <w:r w:rsidRPr="00B26573">
              <w:rPr>
                <w:i/>
                <w:sz w:val="20"/>
              </w:rPr>
              <w:t>50,00</w:t>
            </w:r>
          </w:p>
          <w:p w14:paraId="07E10B3A" w14:textId="77777777" w:rsidR="0050605D" w:rsidRPr="00B26573" w:rsidRDefault="0050605D" w:rsidP="0050605D">
            <w:pPr>
              <w:jc w:val="right"/>
              <w:rPr>
                <w:i/>
                <w:sz w:val="20"/>
              </w:rPr>
            </w:pPr>
            <w:r w:rsidRPr="00B26573">
              <w:rPr>
                <w:i/>
                <w:sz w:val="20"/>
              </w:rPr>
              <w:t>96,15</w:t>
            </w:r>
          </w:p>
          <w:p w14:paraId="5F785622" w14:textId="77777777" w:rsidR="0050605D" w:rsidRPr="00B26573" w:rsidRDefault="0050605D" w:rsidP="0050605D">
            <w:pPr>
              <w:jc w:val="right"/>
              <w:rPr>
                <w:i/>
                <w:sz w:val="20"/>
              </w:rPr>
            </w:pPr>
            <w:r w:rsidRPr="00B26573">
              <w:rPr>
                <w:i/>
                <w:sz w:val="20"/>
              </w:rPr>
              <w:t>106,25</w:t>
            </w:r>
          </w:p>
          <w:p w14:paraId="268D3AAF" w14:textId="77777777" w:rsidR="0050605D" w:rsidRPr="00B26573" w:rsidRDefault="0050605D" w:rsidP="0050605D">
            <w:pPr>
              <w:jc w:val="right"/>
              <w:rPr>
                <w:i/>
                <w:sz w:val="20"/>
              </w:rPr>
            </w:pPr>
            <w:r w:rsidRPr="00B26573">
              <w:rPr>
                <w:i/>
                <w:sz w:val="20"/>
              </w:rPr>
              <w:t>105,95</w:t>
            </w:r>
          </w:p>
          <w:p w14:paraId="1311075F" w14:textId="77777777" w:rsidR="0050605D" w:rsidRPr="00B26573" w:rsidRDefault="0050605D" w:rsidP="0050605D">
            <w:pPr>
              <w:jc w:val="right"/>
              <w:rPr>
                <w:i/>
                <w:sz w:val="20"/>
              </w:rPr>
            </w:pPr>
            <w:r w:rsidRPr="00B26573">
              <w:rPr>
                <w:i/>
                <w:sz w:val="20"/>
              </w:rPr>
              <w:t>106,30</w:t>
            </w:r>
          </w:p>
          <w:p w14:paraId="0F54790B" w14:textId="77777777" w:rsidR="0050605D" w:rsidRPr="00B26573" w:rsidRDefault="0050605D" w:rsidP="0050605D">
            <w:pPr>
              <w:jc w:val="right"/>
              <w:rPr>
                <w:i/>
                <w:sz w:val="20"/>
              </w:rPr>
            </w:pPr>
            <w:r w:rsidRPr="00B26573">
              <w:rPr>
                <w:i/>
                <w:sz w:val="20"/>
              </w:rPr>
              <w:t>122,22</w:t>
            </w:r>
          </w:p>
          <w:p w14:paraId="36B450F2" w14:textId="77777777" w:rsidR="0050605D" w:rsidRPr="00B26573" w:rsidRDefault="0050605D" w:rsidP="0050605D">
            <w:pPr>
              <w:jc w:val="right"/>
              <w:rPr>
                <w:i/>
                <w:sz w:val="20"/>
              </w:rPr>
            </w:pPr>
            <w:r w:rsidRPr="00B26573">
              <w:rPr>
                <w:i/>
                <w:sz w:val="20"/>
              </w:rPr>
              <w:t>x</w:t>
            </w:r>
          </w:p>
          <w:p w14:paraId="3E92255D" w14:textId="77777777" w:rsidR="0050605D" w:rsidRPr="00B26573" w:rsidRDefault="0050605D" w:rsidP="0050605D">
            <w:pPr>
              <w:jc w:val="right"/>
              <w:rPr>
                <w:i/>
                <w:sz w:val="20"/>
              </w:rPr>
            </w:pPr>
            <w:r w:rsidRPr="00B26573">
              <w:rPr>
                <w:i/>
                <w:sz w:val="20"/>
              </w:rPr>
              <w:t>122,22</w:t>
            </w:r>
          </w:p>
          <w:p w14:paraId="07B02546" w14:textId="77777777" w:rsidR="0050605D" w:rsidRPr="00B26573" w:rsidRDefault="0050605D" w:rsidP="0050605D">
            <w:pPr>
              <w:jc w:val="right"/>
              <w:rPr>
                <w:i/>
                <w:sz w:val="20"/>
              </w:rPr>
            </w:pPr>
            <w:r w:rsidRPr="00B26573">
              <w:rPr>
                <w:i/>
                <w:sz w:val="20"/>
              </w:rPr>
              <w:t>85,11</w:t>
            </w:r>
          </w:p>
          <w:p w14:paraId="0B92A2A9" w14:textId="77777777" w:rsidR="0050605D" w:rsidRPr="00B26573" w:rsidRDefault="0050605D" w:rsidP="0050605D">
            <w:pPr>
              <w:jc w:val="right"/>
              <w:rPr>
                <w:i/>
                <w:sz w:val="20"/>
              </w:rPr>
            </w:pPr>
            <w:r w:rsidRPr="00B26573">
              <w:rPr>
                <w:i/>
                <w:sz w:val="20"/>
              </w:rPr>
              <w:t>x</w:t>
            </w:r>
          </w:p>
          <w:p w14:paraId="0856A780" w14:textId="1376D1AA" w:rsidR="0050605D" w:rsidRPr="00B26573" w:rsidRDefault="0050605D" w:rsidP="0050605D">
            <w:pPr>
              <w:jc w:val="right"/>
              <w:rPr>
                <w:sz w:val="20"/>
              </w:rPr>
            </w:pPr>
            <w:r w:rsidRPr="00B26573">
              <w:rPr>
                <w:sz w:val="20"/>
              </w:rPr>
              <w:t>85,11</w:t>
            </w:r>
          </w:p>
        </w:tc>
      </w:tr>
      <w:tr w:rsidR="00B26573" w:rsidRPr="00B26573" w14:paraId="7C7AFA5C" w14:textId="77777777" w:rsidTr="00C36AC5">
        <w:trPr>
          <w:trHeight w:val="70"/>
          <w:jc w:val="right"/>
        </w:trPr>
        <w:tc>
          <w:tcPr>
            <w:tcW w:w="2343" w:type="pct"/>
            <w:tcBorders>
              <w:top w:val="single" w:sz="4" w:space="0" w:color="7F7F7F" w:themeColor="text1" w:themeTint="80"/>
              <w:bottom w:val="nil"/>
            </w:tcBorders>
            <w:shd w:val="clear" w:color="auto" w:fill="auto"/>
          </w:tcPr>
          <w:p w14:paraId="4DA9B9B3" w14:textId="6F91DC27" w:rsidR="0050605D" w:rsidRPr="00B26573" w:rsidRDefault="0050605D" w:rsidP="0050605D">
            <w:pPr>
              <w:rPr>
                <w:sz w:val="20"/>
              </w:rPr>
            </w:pPr>
            <w:r w:rsidRPr="00B26573">
              <w:rPr>
                <w:sz w:val="20"/>
              </w:rPr>
              <w:t>ostatní neinvestiční výdaje</w:t>
            </w:r>
          </w:p>
        </w:tc>
        <w:tc>
          <w:tcPr>
            <w:tcW w:w="784" w:type="pct"/>
            <w:tcBorders>
              <w:top w:val="single" w:sz="4" w:space="0" w:color="7F7F7F" w:themeColor="text1" w:themeTint="80"/>
              <w:bottom w:val="nil"/>
            </w:tcBorders>
            <w:shd w:val="clear" w:color="auto" w:fill="auto"/>
          </w:tcPr>
          <w:p w14:paraId="0345F93F" w14:textId="286E53D9" w:rsidR="0050605D" w:rsidRPr="00B26573" w:rsidRDefault="0050605D" w:rsidP="0050605D">
            <w:pPr>
              <w:jc w:val="right"/>
              <w:rPr>
                <w:sz w:val="20"/>
              </w:rPr>
            </w:pPr>
            <w:r w:rsidRPr="00B26573">
              <w:rPr>
                <w:sz w:val="20"/>
              </w:rPr>
              <w:t>5 383 432</w:t>
            </w:r>
          </w:p>
        </w:tc>
        <w:tc>
          <w:tcPr>
            <w:tcW w:w="705" w:type="pct"/>
            <w:tcBorders>
              <w:top w:val="single" w:sz="4" w:space="0" w:color="7F7F7F" w:themeColor="text1" w:themeTint="80"/>
              <w:bottom w:val="nil"/>
            </w:tcBorders>
            <w:shd w:val="clear" w:color="auto" w:fill="auto"/>
          </w:tcPr>
          <w:p w14:paraId="2E77AAF9" w14:textId="543717C5" w:rsidR="0050605D" w:rsidRPr="00B26573" w:rsidRDefault="0050605D" w:rsidP="0050605D">
            <w:pPr>
              <w:jc w:val="right"/>
              <w:rPr>
                <w:sz w:val="20"/>
              </w:rPr>
            </w:pPr>
            <w:r w:rsidRPr="00B26573">
              <w:rPr>
                <w:sz w:val="20"/>
              </w:rPr>
              <w:t xml:space="preserve">6 401 966 </w:t>
            </w:r>
          </w:p>
        </w:tc>
        <w:tc>
          <w:tcPr>
            <w:tcW w:w="667" w:type="pct"/>
            <w:tcBorders>
              <w:top w:val="single" w:sz="4" w:space="0" w:color="7F7F7F" w:themeColor="text1" w:themeTint="80"/>
              <w:bottom w:val="nil"/>
            </w:tcBorders>
            <w:shd w:val="clear" w:color="auto" w:fill="auto"/>
          </w:tcPr>
          <w:p w14:paraId="3FE6D811" w14:textId="3891D10C" w:rsidR="0050605D" w:rsidRPr="00B26573" w:rsidRDefault="0050605D" w:rsidP="0050605D">
            <w:pPr>
              <w:jc w:val="right"/>
              <w:rPr>
                <w:sz w:val="20"/>
              </w:rPr>
            </w:pPr>
            <w:r w:rsidRPr="00B26573">
              <w:rPr>
                <w:sz w:val="20"/>
              </w:rPr>
              <w:t xml:space="preserve">6 494 250 </w:t>
            </w:r>
          </w:p>
        </w:tc>
        <w:tc>
          <w:tcPr>
            <w:tcW w:w="501" w:type="pct"/>
            <w:tcBorders>
              <w:top w:val="single" w:sz="4" w:space="0" w:color="7F7F7F" w:themeColor="text1" w:themeTint="80"/>
              <w:bottom w:val="nil"/>
            </w:tcBorders>
            <w:shd w:val="clear" w:color="auto" w:fill="auto"/>
          </w:tcPr>
          <w:p w14:paraId="15FBEB34" w14:textId="1CDD7CD0" w:rsidR="0050605D" w:rsidRPr="00B26573" w:rsidRDefault="0050605D" w:rsidP="0050605D">
            <w:pPr>
              <w:jc w:val="right"/>
              <w:rPr>
                <w:sz w:val="20"/>
              </w:rPr>
            </w:pPr>
            <w:r w:rsidRPr="00B26573">
              <w:rPr>
                <w:sz w:val="20"/>
              </w:rPr>
              <w:t xml:space="preserve"> 101,44</w:t>
            </w:r>
          </w:p>
        </w:tc>
      </w:tr>
      <w:tr w:rsidR="00B26573" w:rsidRPr="00B26573" w14:paraId="323179B1" w14:textId="77777777" w:rsidTr="00C36AC5">
        <w:trPr>
          <w:trHeight w:val="228"/>
          <w:jc w:val="right"/>
        </w:trPr>
        <w:tc>
          <w:tcPr>
            <w:tcW w:w="2343" w:type="pct"/>
            <w:tcBorders>
              <w:top w:val="nil"/>
              <w:bottom w:val="nil"/>
            </w:tcBorders>
            <w:shd w:val="clear" w:color="auto" w:fill="auto"/>
          </w:tcPr>
          <w:p w14:paraId="335EE435" w14:textId="77777777" w:rsidR="0050605D" w:rsidRPr="00B26573" w:rsidRDefault="0050605D" w:rsidP="0050605D">
            <w:pPr>
              <w:ind w:left="398" w:hanging="398"/>
              <w:jc w:val="left"/>
              <w:rPr>
                <w:b/>
                <w:bCs/>
                <w:i/>
                <w:sz w:val="20"/>
              </w:rPr>
            </w:pPr>
            <w:r w:rsidRPr="00B26573">
              <w:rPr>
                <w:i/>
                <w:sz w:val="20"/>
              </w:rPr>
              <w:t>z toho: dopravně správní agendy (nákup</w:t>
            </w:r>
            <w:r w:rsidRPr="00B26573">
              <w:rPr>
                <w:i/>
                <w:sz w:val="20"/>
              </w:rPr>
              <w:br/>
              <w:t>materiálu)</w:t>
            </w:r>
          </w:p>
          <w:p w14:paraId="7B4ED570" w14:textId="5A658684" w:rsidR="0050605D" w:rsidRPr="00B26573" w:rsidRDefault="0050605D" w:rsidP="0050605D">
            <w:pPr>
              <w:rPr>
                <w:i/>
                <w:sz w:val="20"/>
              </w:rPr>
            </w:pPr>
            <w:r w:rsidRPr="00B26573">
              <w:rPr>
                <w:i/>
                <w:sz w:val="20"/>
              </w:rPr>
              <w:t xml:space="preserve">            kompenzace slev jízdného </w:t>
            </w:r>
          </w:p>
        </w:tc>
        <w:tc>
          <w:tcPr>
            <w:tcW w:w="784" w:type="pct"/>
            <w:tcBorders>
              <w:top w:val="nil"/>
              <w:bottom w:val="nil"/>
            </w:tcBorders>
            <w:shd w:val="clear" w:color="auto" w:fill="auto"/>
          </w:tcPr>
          <w:p w14:paraId="36C38295" w14:textId="77777777" w:rsidR="0050605D" w:rsidRPr="00B26573" w:rsidRDefault="0050605D" w:rsidP="0050605D">
            <w:pPr>
              <w:jc w:val="right"/>
              <w:rPr>
                <w:i/>
                <w:sz w:val="20"/>
                <w:szCs w:val="20"/>
              </w:rPr>
            </w:pPr>
            <w:r w:rsidRPr="00B26573">
              <w:rPr>
                <w:i/>
                <w:sz w:val="20"/>
                <w:szCs w:val="20"/>
              </w:rPr>
              <w:t xml:space="preserve">         </w:t>
            </w:r>
          </w:p>
          <w:p w14:paraId="05755491" w14:textId="77777777" w:rsidR="0050605D" w:rsidRPr="00B26573" w:rsidRDefault="0050605D" w:rsidP="0050605D">
            <w:pPr>
              <w:jc w:val="right"/>
              <w:rPr>
                <w:i/>
                <w:sz w:val="20"/>
                <w:szCs w:val="20"/>
              </w:rPr>
            </w:pPr>
            <w:r w:rsidRPr="00B26573">
              <w:rPr>
                <w:i/>
                <w:sz w:val="20"/>
                <w:szCs w:val="20"/>
              </w:rPr>
              <w:t>199 230</w:t>
            </w:r>
          </w:p>
          <w:p w14:paraId="1F736207" w14:textId="0139E844" w:rsidR="0050605D" w:rsidRPr="00B26573" w:rsidRDefault="0050605D" w:rsidP="0050605D">
            <w:pPr>
              <w:jc w:val="right"/>
              <w:rPr>
                <w:i/>
                <w:sz w:val="20"/>
                <w:szCs w:val="20"/>
              </w:rPr>
            </w:pPr>
            <w:r w:rsidRPr="00B26573">
              <w:rPr>
                <w:i/>
                <w:sz w:val="20"/>
                <w:szCs w:val="20"/>
              </w:rPr>
              <w:t>4 663 026</w:t>
            </w:r>
          </w:p>
        </w:tc>
        <w:tc>
          <w:tcPr>
            <w:tcW w:w="705" w:type="pct"/>
            <w:tcBorders>
              <w:top w:val="nil"/>
              <w:bottom w:val="nil"/>
            </w:tcBorders>
            <w:shd w:val="clear" w:color="auto" w:fill="auto"/>
          </w:tcPr>
          <w:p w14:paraId="25E4DEEE" w14:textId="77777777" w:rsidR="0050605D" w:rsidRPr="00B26573" w:rsidRDefault="0050605D" w:rsidP="0050605D">
            <w:pPr>
              <w:jc w:val="right"/>
              <w:rPr>
                <w:i/>
                <w:sz w:val="20"/>
              </w:rPr>
            </w:pPr>
          </w:p>
          <w:p w14:paraId="58491F19" w14:textId="77777777" w:rsidR="0050605D" w:rsidRPr="00B26573" w:rsidRDefault="0050605D" w:rsidP="0050605D">
            <w:pPr>
              <w:jc w:val="right"/>
              <w:rPr>
                <w:i/>
                <w:sz w:val="20"/>
              </w:rPr>
            </w:pPr>
            <w:r w:rsidRPr="00B26573">
              <w:rPr>
                <w:i/>
                <w:sz w:val="20"/>
              </w:rPr>
              <w:t>228 371</w:t>
            </w:r>
          </w:p>
          <w:p w14:paraId="09497076" w14:textId="083AE0FC" w:rsidR="0050605D" w:rsidRPr="00B26573" w:rsidRDefault="0050605D" w:rsidP="0050605D">
            <w:pPr>
              <w:jc w:val="right"/>
              <w:rPr>
                <w:i/>
                <w:sz w:val="20"/>
              </w:rPr>
            </w:pPr>
            <w:r w:rsidRPr="00B26573">
              <w:rPr>
                <w:i/>
                <w:sz w:val="20"/>
              </w:rPr>
              <w:t>5 550 000</w:t>
            </w:r>
          </w:p>
        </w:tc>
        <w:tc>
          <w:tcPr>
            <w:tcW w:w="667" w:type="pct"/>
            <w:tcBorders>
              <w:top w:val="nil"/>
              <w:bottom w:val="nil"/>
            </w:tcBorders>
            <w:shd w:val="clear" w:color="auto" w:fill="auto"/>
          </w:tcPr>
          <w:p w14:paraId="050ED0BB" w14:textId="77777777" w:rsidR="0050605D" w:rsidRPr="00B26573" w:rsidRDefault="0050605D" w:rsidP="0050605D">
            <w:pPr>
              <w:jc w:val="right"/>
              <w:rPr>
                <w:i/>
                <w:sz w:val="20"/>
              </w:rPr>
            </w:pPr>
          </w:p>
          <w:p w14:paraId="246A41D8" w14:textId="77777777" w:rsidR="0050605D" w:rsidRPr="00B26573" w:rsidRDefault="0050605D" w:rsidP="0050605D">
            <w:pPr>
              <w:jc w:val="right"/>
              <w:rPr>
                <w:i/>
                <w:sz w:val="20"/>
              </w:rPr>
            </w:pPr>
            <w:r w:rsidRPr="00B26573">
              <w:rPr>
                <w:i/>
                <w:sz w:val="20"/>
              </w:rPr>
              <w:t>246 100</w:t>
            </w:r>
          </w:p>
          <w:p w14:paraId="4245D016" w14:textId="1B6CBFE1" w:rsidR="0050605D" w:rsidRPr="00B26573" w:rsidRDefault="0050605D" w:rsidP="0050605D">
            <w:pPr>
              <w:jc w:val="right"/>
              <w:rPr>
                <w:i/>
                <w:sz w:val="20"/>
              </w:rPr>
            </w:pPr>
            <w:r w:rsidRPr="00B26573">
              <w:rPr>
                <w:i/>
                <w:sz w:val="20"/>
              </w:rPr>
              <w:t>5 550 000</w:t>
            </w:r>
          </w:p>
        </w:tc>
        <w:tc>
          <w:tcPr>
            <w:tcW w:w="501" w:type="pct"/>
            <w:tcBorders>
              <w:top w:val="nil"/>
              <w:bottom w:val="nil"/>
            </w:tcBorders>
            <w:shd w:val="clear" w:color="auto" w:fill="auto"/>
          </w:tcPr>
          <w:p w14:paraId="360A0E2C" w14:textId="77777777" w:rsidR="0050605D" w:rsidRPr="00B26573" w:rsidRDefault="0050605D" w:rsidP="0050605D">
            <w:pPr>
              <w:jc w:val="right"/>
              <w:rPr>
                <w:i/>
                <w:sz w:val="20"/>
              </w:rPr>
            </w:pPr>
          </w:p>
          <w:p w14:paraId="1855E4A6" w14:textId="3ACE8427" w:rsidR="0050605D" w:rsidRPr="00B26573" w:rsidRDefault="0050605D" w:rsidP="0050605D">
            <w:pPr>
              <w:jc w:val="right"/>
              <w:rPr>
                <w:i/>
                <w:sz w:val="20"/>
              </w:rPr>
            </w:pPr>
            <w:r w:rsidRPr="00B26573">
              <w:rPr>
                <w:i/>
                <w:sz w:val="20"/>
              </w:rPr>
              <w:t>107,76 100,00</w:t>
            </w:r>
          </w:p>
        </w:tc>
      </w:tr>
      <w:tr w:rsidR="00B26573" w:rsidRPr="00B26573" w14:paraId="6DB287FD" w14:textId="77777777" w:rsidTr="0071173B">
        <w:trPr>
          <w:trHeight w:val="228"/>
          <w:jc w:val="right"/>
        </w:trPr>
        <w:tc>
          <w:tcPr>
            <w:tcW w:w="2343" w:type="pct"/>
            <w:tcBorders>
              <w:top w:val="nil"/>
              <w:bottom w:val="nil"/>
            </w:tcBorders>
            <w:shd w:val="clear" w:color="auto" w:fill="auto"/>
          </w:tcPr>
          <w:p w14:paraId="2F16366C" w14:textId="5636B3E6" w:rsidR="0050605D" w:rsidRPr="00B26573" w:rsidRDefault="0050605D" w:rsidP="0050605D">
            <w:pPr>
              <w:rPr>
                <w:i/>
                <w:sz w:val="20"/>
              </w:rPr>
            </w:pPr>
            <w:r w:rsidRPr="00B26573">
              <w:rPr>
                <w:i/>
                <w:sz w:val="20"/>
              </w:rPr>
              <w:t xml:space="preserve">            programové financování (EDS/SMVS)</w:t>
            </w:r>
          </w:p>
        </w:tc>
        <w:tc>
          <w:tcPr>
            <w:tcW w:w="784" w:type="pct"/>
            <w:tcBorders>
              <w:top w:val="nil"/>
              <w:bottom w:val="nil"/>
            </w:tcBorders>
            <w:shd w:val="clear" w:color="auto" w:fill="auto"/>
          </w:tcPr>
          <w:p w14:paraId="02328CC7" w14:textId="7F1A5A4B" w:rsidR="0050605D" w:rsidRPr="00B26573" w:rsidRDefault="0050605D" w:rsidP="0050605D">
            <w:pPr>
              <w:jc w:val="center"/>
              <w:rPr>
                <w:i/>
                <w:sz w:val="20"/>
                <w:szCs w:val="20"/>
              </w:rPr>
            </w:pPr>
            <w:r w:rsidRPr="00B26573">
              <w:rPr>
                <w:i/>
                <w:sz w:val="20"/>
                <w:szCs w:val="20"/>
              </w:rPr>
              <w:t xml:space="preserve">           152 65</w:t>
            </w:r>
            <w:r w:rsidR="00C2534B">
              <w:rPr>
                <w:i/>
                <w:sz w:val="20"/>
                <w:szCs w:val="20"/>
              </w:rPr>
              <w:t>7</w:t>
            </w:r>
          </w:p>
        </w:tc>
        <w:tc>
          <w:tcPr>
            <w:tcW w:w="705" w:type="pct"/>
            <w:tcBorders>
              <w:top w:val="nil"/>
              <w:bottom w:val="nil"/>
            </w:tcBorders>
            <w:shd w:val="clear" w:color="auto" w:fill="auto"/>
          </w:tcPr>
          <w:p w14:paraId="684F62F7" w14:textId="5DFFF448" w:rsidR="0050605D" w:rsidRPr="00B26573" w:rsidRDefault="0050605D" w:rsidP="0050605D">
            <w:pPr>
              <w:jc w:val="right"/>
              <w:rPr>
                <w:i/>
                <w:sz w:val="20"/>
              </w:rPr>
            </w:pPr>
            <w:r w:rsidRPr="00B26573">
              <w:rPr>
                <w:i/>
                <w:sz w:val="20"/>
              </w:rPr>
              <w:t>98 256</w:t>
            </w:r>
          </w:p>
        </w:tc>
        <w:tc>
          <w:tcPr>
            <w:tcW w:w="667" w:type="pct"/>
            <w:tcBorders>
              <w:top w:val="nil"/>
              <w:bottom w:val="nil"/>
            </w:tcBorders>
            <w:shd w:val="clear" w:color="auto" w:fill="auto"/>
          </w:tcPr>
          <w:p w14:paraId="4894922C" w14:textId="481B5308" w:rsidR="0050605D" w:rsidRPr="00B26573" w:rsidRDefault="0050605D" w:rsidP="0050605D">
            <w:pPr>
              <w:jc w:val="right"/>
              <w:rPr>
                <w:i/>
                <w:sz w:val="20"/>
              </w:rPr>
            </w:pPr>
            <w:r w:rsidRPr="00B26573">
              <w:rPr>
                <w:i/>
                <w:sz w:val="20"/>
              </w:rPr>
              <w:t>139 569</w:t>
            </w:r>
          </w:p>
        </w:tc>
        <w:tc>
          <w:tcPr>
            <w:tcW w:w="501" w:type="pct"/>
            <w:tcBorders>
              <w:top w:val="nil"/>
              <w:bottom w:val="nil"/>
            </w:tcBorders>
            <w:shd w:val="clear" w:color="auto" w:fill="auto"/>
          </w:tcPr>
          <w:p w14:paraId="06B876CF" w14:textId="3E2B3C83" w:rsidR="0050605D" w:rsidRPr="00B26573" w:rsidRDefault="0050605D" w:rsidP="0050605D">
            <w:pPr>
              <w:jc w:val="right"/>
              <w:rPr>
                <w:i/>
                <w:sz w:val="20"/>
              </w:rPr>
            </w:pPr>
            <w:r w:rsidRPr="00B26573">
              <w:rPr>
                <w:i/>
                <w:sz w:val="20"/>
              </w:rPr>
              <w:t>142,05</w:t>
            </w:r>
          </w:p>
        </w:tc>
      </w:tr>
      <w:tr w:rsidR="00B26573" w:rsidRPr="00B26573" w14:paraId="6E162E1E" w14:textId="77777777" w:rsidTr="0071173B">
        <w:trPr>
          <w:trHeight w:val="243"/>
          <w:jc w:val="right"/>
        </w:trPr>
        <w:tc>
          <w:tcPr>
            <w:tcW w:w="2343" w:type="pct"/>
            <w:tcBorders>
              <w:top w:val="nil"/>
              <w:bottom w:val="nil"/>
            </w:tcBorders>
            <w:shd w:val="clear" w:color="auto" w:fill="auto"/>
          </w:tcPr>
          <w:p w14:paraId="48083185" w14:textId="77777777" w:rsidR="0050605D" w:rsidRPr="00B26573" w:rsidRDefault="0050605D" w:rsidP="0050605D">
            <w:pPr>
              <w:rPr>
                <w:b/>
                <w:bCs/>
                <w:i/>
                <w:sz w:val="20"/>
              </w:rPr>
            </w:pPr>
            <w:r w:rsidRPr="00B26573">
              <w:rPr>
                <w:i/>
                <w:sz w:val="20"/>
              </w:rPr>
              <w:t xml:space="preserve">            výdaje na programy spolufinancované  </w:t>
            </w:r>
          </w:p>
          <w:p w14:paraId="2E74814A" w14:textId="7D609839" w:rsidR="0050605D" w:rsidRPr="00B26573" w:rsidRDefault="0050605D" w:rsidP="0050605D">
            <w:pPr>
              <w:rPr>
                <w:i/>
                <w:sz w:val="20"/>
              </w:rPr>
            </w:pPr>
            <w:r w:rsidRPr="00B26573">
              <w:rPr>
                <w:i/>
                <w:sz w:val="20"/>
              </w:rPr>
              <w:t xml:space="preserve">            z rozpočtu EU v tom:</w:t>
            </w:r>
          </w:p>
        </w:tc>
        <w:tc>
          <w:tcPr>
            <w:tcW w:w="784" w:type="pct"/>
            <w:tcBorders>
              <w:top w:val="nil"/>
              <w:bottom w:val="nil"/>
            </w:tcBorders>
            <w:shd w:val="clear" w:color="auto" w:fill="auto"/>
          </w:tcPr>
          <w:p w14:paraId="4EE726DF" w14:textId="77777777" w:rsidR="0050605D" w:rsidRPr="00B26573" w:rsidRDefault="0050605D" w:rsidP="0050605D">
            <w:pPr>
              <w:jc w:val="right"/>
              <w:rPr>
                <w:i/>
                <w:sz w:val="20"/>
              </w:rPr>
            </w:pPr>
          </w:p>
          <w:p w14:paraId="374BBC44" w14:textId="14CB1DA5" w:rsidR="0050605D" w:rsidRPr="00B26573" w:rsidRDefault="0050605D" w:rsidP="0050605D">
            <w:pPr>
              <w:jc w:val="right"/>
              <w:rPr>
                <w:i/>
                <w:sz w:val="20"/>
              </w:rPr>
            </w:pPr>
            <w:r w:rsidRPr="00B26573">
              <w:rPr>
                <w:i/>
                <w:sz w:val="20"/>
              </w:rPr>
              <w:t>7 560</w:t>
            </w:r>
          </w:p>
        </w:tc>
        <w:tc>
          <w:tcPr>
            <w:tcW w:w="705" w:type="pct"/>
            <w:tcBorders>
              <w:top w:val="nil"/>
              <w:bottom w:val="nil"/>
            </w:tcBorders>
            <w:shd w:val="clear" w:color="auto" w:fill="auto"/>
          </w:tcPr>
          <w:p w14:paraId="7072DC4A" w14:textId="77777777" w:rsidR="0050605D" w:rsidRPr="00B26573" w:rsidRDefault="0050605D" w:rsidP="0050605D">
            <w:pPr>
              <w:jc w:val="right"/>
              <w:rPr>
                <w:i/>
                <w:sz w:val="20"/>
              </w:rPr>
            </w:pPr>
          </w:p>
          <w:p w14:paraId="753C2FCE" w14:textId="017A070F" w:rsidR="0050605D" w:rsidRPr="00B26573" w:rsidRDefault="0050605D" w:rsidP="0050605D">
            <w:pPr>
              <w:jc w:val="right"/>
              <w:rPr>
                <w:i/>
                <w:sz w:val="20"/>
              </w:rPr>
            </w:pPr>
            <w:r w:rsidRPr="00B26573">
              <w:rPr>
                <w:i/>
                <w:sz w:val="20"/>
              </w:rPr>
              <w:t>8 967</w:t>
            </w:r>
          </w:p>
        </w:tc>
        <w:tc>
          <w:tcPr>
            <w:tcW w:w="667" w:type="pct"/>
            <w:tcBorders>
              <w:top w:val="nil"/>
              <w:bottom w:val="nil"/>
            </w:tcBorders>
            <w:shd w:val="clear" w:color="auto" w:fill="auto"/>
          </w:tcPr>
          <w:p w14:paraId="22E6235B" w14:textId="77777777" w:rsidR="0050605D" w:rsidRPr="00B26573" w:rsidRDefault="0050605D" w:rsidP="0050605D">
            <w:pPr>
              <w:jc w:val="right"/>
              <w:rPr>
                <w:i/>
                <w:sz w:val="20"/>
              </w:rPr>
            </w:pPr>
          </w:p>
          <w:p w14:paraId="07125225" w14:textId="71E7213D" w:rsidR="0050605D" w:rsidRPr="00B26573" w:rsidRDefault="0050605D" w:rsidP="0050605D">
            <w:pPr>
              <w:jc w:val="right"/>
              <w:rPr>
                <w:i/>
                <w:sz w:val="20"/>
              </w:rPr>
            </w:pPr>
            <w:r w:rsidRPr="00B26573">
              <w:rPr>
                <w:i/>
                <w:sz w:val="20"/>
              </w:rPr>
              <w:t>8 140</w:t>
            </w:r>
          </w:p>
        </w:tc>
        <w:tc>
          <w:tcPr>
            <w:tcW w:w="501" w:type="pct"/>
            <w:tcBorders>
              <w:top w:val="nil"/>
              <w:bottom w:val="nil"/>
            </w:tcBorders>
            <w:shd w:val="clear" w:color="auto" w:fill="auto"/>
          </w:tcPr>
          <w:p w14:paraId="69CA1BC2" w14:textId="77777777" w:rsidR="0050605D" w:rsidRPr="00B26573" w:rsidRDefault="0050605D" w:rsidP="0050605D">
            <w:pPr>
              <w:rPr>
                <w:i/>
                <w:sz w:val="20"/>
              </w:rPr>
            </w:pPr>
          </w:p>
          <w:p w14:paraId="68610BFF" w14:textId="0997CC7A" w:rsidR="0050605D" w:rsidRPr="00B26573" w:rsidRDefault="0050605D" w:rsidP="0050605D">
            <w:pPr>
              <w:jc w:val="right"/>
              <w:rPr>
                <w:i/>
                <w:sz w:val="20"/>
              </w:rPr>
            </w:pPr>
            <w:r w:rsidRPr="00B26573">
              <w:rPr>
                <w:i/>
                <w:sz w:val="20"/>
              </w:rPr>
              <w:t>90,78</w:t>
            </w:r>
          </w:p>
        </w:tc>
      </w:tr>
      <w:tr w:rsidR="00B26573" w:rsidRPr="00B26573" w14:paraId="45BA6193" w14:textId="77777777" w:rsidTr="00C36AC5">
        <w:trPr>
          <w:trHeight w:val="243"/>
          <w:jc w:val="right"/>
        </w:trPr>
        <w:tc>
          <w:tcPr>
            <w:tcW w:w="2343" w:type="pct"/>
            <w:tcBorders>
              <w:top w:val="nil"/>
              <w:bottom w:val="nil"/>
            </w:tcBorders>
            <w:shd w:val="clear" w:color="auto" w:fill="auto"/>
          </w:tcPr>
          <w:p w14:paraId="63F43819" w14:textId="77777777" w:rsidR="0050605D" w:rsidRPr="00B26573" w:rsidRDefault="0050605D" w:rsidP="0050605D">
            <w:pPr>
              <w:rPr>
                <w:i/>
                <w:sz w:val="20"/>
              </w:rPr>
            </w:pPr>
          </w:p>
        </w:tc>
        <w:tc>
          <w:tcPr>
            <w:tcW w:w="784" w:type="pct"/>
            <w:tcBorders>
              <w:top w:val="nil"/>
              <w:bottom w:val="nil"/>
            </w:tcBorders>
            <w:shd w:val="clear" w:color="auto" w:fill="auto"/>
          </w:tcPr>
          <w:p w14:paraId="2B18F305" w14:textId="5EAD256F" w:rsidR="0050605D" w:rsidRPr="00B26573" w:rsidRDefault="0050605D" w:rsidP="0050605D">
            <w:pPr>
              <w:rPr>
                <w:i/>
                <w:sz w:val="20"/>
                <w:szCs w:val="20"/>
              </w:rPr>
            </w:pPr>
            <w:r w:rsidRPr="00B26573">
              <w:rPr>
                <w:i/>
                <w:sz w:val="20"/>
                <w:szCs w:val="20"/>
              </w:rPr>
              <w:t xml:space="preserve">                  </w:t>
            </w:r>
          </w:p>
        </w:tc>
        <w:tc>
          <w:tcPr>
            <w:tcW w:w="705" w:type="pct"/>
            <w:tcBorders>
              <w:top w:val="nil"/>
              <w:bottom w:val="nil"/>
            </w:tcBorders>
            <w:shd w:val="clear" w:color="auto" w:fill="auto"/>
          </w:tcPr>
          <w:p w14:paraId="772FDBC8" w14:textId="77777777" w:rsidR="0050605D" w:rsidRPr="00B26573" w:rsidRDefault="0050605D" w:rsidP="0050605D">
            <w:pPr>
              <w:rPr>
                <w:i/>
                <w:sz w:val="20"/>
              </w:rPr>
            </w:pPr>
          </w:p>
        </w:tc>
        <w:tc>
          <w:tcPr>
            <w:tcW w:w="667" w:type="pct"/>
            <w:tcBorders>
              <w:top w:val="nil"/>
              <w:bottom w:val="nil"/>
            </w:tcBorders>
            <w:shd w:val="clear" w:color="auto" w:fill="auto"/>
          </w:tcPr>
          <w:p w14:paraId="020F871D" w14:textId="77777777" w:rsidR="0050605D" w:rsidRPr="00B26573" w:rsidRDefault="0050605D" w:rsidP="0050605D">
            <w:pPr>
              <w:rPr>
                <w:i/>
                <w:sz w:val="20"/>
              </w:rPr>
            </w:pPr>
          </w:p>
        </w:tc>
        <w:tc>
          <w:tcPr>
            <w:tcW w:w="501" w:type="pct"/>
            <w:tcBorders>
              <w:top w:val="nil"/>
              <w:bottom w:val="nil"/>
            </w:tcBorders>
            <w:shd w:val="clear" w:color="auto" w:fill="auto"/>
          </w:tcPr>
          <w:p w14:paraId="28BF15F7" w14:textId="77777777" w:rsidR="0050605D" w:rsidRPr="00B26573" w:rsidRDefault="0050605D" w:rsidP="0050605D">
            <w:pPr>
              <w:rPr>
                <w:i/>
                <w:sz w:val="20"/>
              </w:rPr>
            </w:pPr>
          </w:p>
        </w:tc>
      </w:tr>
      <w:tr w:rsidR="00B26573" w:rsidRPr="00B26573" w14:paraId="5DFDC501" w14:textId="77777777" w:rsidTr="00C36AC5">
        <w:trPr>
          <w:trHeight w:val="243"/>
          <w:jc w:val="right"/>
        </w:trPr>
        <w:tc>
          <w:tcPr>
            <w:tcW w:w="2343" w:type="pct"/>
            <w:tcBorders>
              <w:top w:val="nil"/>
              <w:bottom w:val="nil"/>
            </w:tcBorders>
            <w:shd w:val="clear" w:color="auto" w:fill="auto"/>
          </w:tcPr>
          <w:p w14:paraId="1A3E21C4" w14:textId="1A127A54" w:rsidR="0050605D" w:rsidRPr="00B26573" w:rsidRDefault="0050605D" w:rsidP="0050605D">
            <w:pPr>
              <w:rPr>
                <w:i/>
                <w:sz w:val="20"/>
              </w:rPr>
            </w:pPr>
            <w:r w:rsidRPr="00B26573">
              <w:rPr>
                <w:i/>
                <w:sz w:val="20"/>
              </w:rPr>
              <w:t xml:space="preserve">          Operační program Doprava – CF  2014 +</w:t>
            </w:r>
          </w:p>
        </w:tc>
        <w:tc>
          <w:tcPr>
            <w:tcW w:w="784" w:type="pct"/>
            <w:tcBorders>
              <w:top w:val="nil"/>
              <w:bottom w:val="nil"/>
            </w:tcBorders>
            <w:shd w:val="clear" w:color="auto" w:fill="auto"/>
          </w:tcPr>
          <w:p w14:paraId="5CA21C1E" w14:textId="5A7B0686" w:rsidR="0050605D" w:rsidRPr="00B26573" w:rsidRDefault="0050605D" w:rsidP="0050605D">
            <w:pPr>
              <w:jc w:val="right"/>
              <w:rPr>
                <w:i/>
                <w:sz w:val="20"/>
                <w:szCs w:val="20"/>
              </w:rPr>
            </w:pPr>
            <w:r w:rsidRPr="00B26573">
              <w:rPr>
                <w:i/>
                <w:sz w:val="20"/>
                <w:szCs w:val="20"/>
              </w:rPr>
              <w:t>4 771</w:t>
            </w:r>
          </w:p>
        </w:tc>
        <w:tc>
          <w:tcPr>
            <w:tcW w:w="705" w:type="pct"/>
            <w:tcBorders>
              <w:top w:val="nil"/>
              <w:bottom w:val="nil"/>
            </w:tcBorders>
            <w:shd w:val="clear" w:color="auto" w:fill="auto"/>
          </w:tcPr>
          <w:p w14:paraId="521D826A" w14:textId="35C67A12" w:rsidR="0050605D" w:rsidRPr="00B26573" w:rsidRDefault="0050605D" w:rsidP="0050605D">
            <w:pPr>
              <w:jc w:val="right"/>
              <w:rPr>
                <w:i/>
                <w:sz w:val="20"/>
              </w:rPr>
            </w:pPr>
            <w:r w:rsidRPr="00B26573">
              <w:rPr>
                <w:i/>
                <w:sz w:val="20"/>
              </w:rPr>
              <w:t>0</w:t>
            </w:r>
          </w:p>
        </w:tc>
        <w:tc>
          <w:tcPr>
            <w:tcW w:w="667" w:type="pct"/>
            <w:tcBorders>
              <w:top w:val="nil"/>
              <w:bottom w:val="nil"/>
            </w:tcBorders>
            <w:shd w:val="clear" w:color="auto" w:fill="auto"/>
          </w:tcPr>
          <w:p w14:paraId="5120FC57" w14:textId="02B3A078" w:rsidR="0050605D" w:rsidRPr="00B26573" w:rsidRDefault="0050605D" w:rsidP="0050605D">
            <w:pPr>
              <w:jc w:val="right"/>
              <w:rPr>
                <w:i/>
                <w:sz w:val="20"/>
              </w:rPr>
            </w:pPr>
            <w:r w:rsidRPr="00B26573">
              <w:rPr>
                <w:i/>
                <w:sz w:val="20"/>
              </w:rPr>
              <w:t>0</w:t>
            </w:r>
          </w:p>
        </w:tc>
        <w:tc>
          <w:tcPr>
            <w:tcW w:w="501" w:type="pct"/>
            <w:tcBorders>
              <w:top w:val="nil"/>
              <w:bottom w:val="nil"/>
            </w:tcBorders>
            <w:shd w:val="clear" w:color="auto" w:fill="auto"/>
          </w:tcPr>
          <w:p w14:paraId="797D7BA8" w14:textId="207CEA06" w:rsidR="0050605D" w:rsidRPr="00B26573" w:rsidRDefault="0050605D" w:rsidP="0050605D">
            <w:pPr>
              <w:jc w:val="right"/>
              <w:rPr>
                <w:i/>
                <w:sz w:val="20"/>
              </w:rPr>
            </w:pPr>
            <w:r w:rsidRPr="00B26573">
              <w:rPr>
                <w:i/>
                <w:sz w:val="20"/>
              </w:rPr>
              <w:t>x</w:t>
            </w:r>
          </w:p>
        </w:tc>
      </w:tr>
      <w:tr w:rsidR="00B26573" w:rsidRPr="00B26573" w14:paraId="16B7A958" w14:textId="77777777" w:rsidTr="00C36AC5">
        <w:trPr>
          <w:trHeight w:val="243"/>
          <w:jc w:val="right"/>
        </w:trPr>
        <w:tc>
          <w:tcPr>
            <w:tcW w:w="2343" w:type="pct"/>
            <w:tcBorders>
              <w:top w:val="nil"/>
              <w:bottom w:val="nil"/>
            </w:tcBorders>
            <w:shd w:val="clear" w:color="auto" w:fill="auto"/>
          </w:tcPr>
          <w:p w14:paraId="6B7BA3A2" w14:textId="4842C3EE" w:rsidR="0050605D" w:rsidRPr="00B26573" w:rsidRDefault="0050605D" w:rsidP="0050605D">
            <w:pPr>
              <w:rPr>
                <w:i/>
                <w:sz w:val="20"/>
              </w:rPr>
            </w:pPr>
            <w:r w:rsidRPr="00B26573">
              <w:rPr>
                <w:i/>
                <w:sz w:val="20"/>
              </w:rPr>
              <w:t xml:space="preserve">                                            v tom: ze SR</w:t>
            </w:r>
          </w:p>
        </w:tc>
        <w:tc>
          <w:tcPr>
            <w:tcW w:w="784" w:type="pct"/>
            <w:tcBorders>
              <w:top w:val="nil"/>
              <w:bottom w:val="nil"/>
            </w:tcBorders>
            <w:shd w:val="clear" w:color="auto" w:fill="auto"/>
          </w:tcPr>
          <w:p w14:paraId="014169C1" w14:textId="3461973F" w:rsidR="0050605D" w:rsidRPr="00B26573" w:rsidRDefault="0050605D" w:rsidP="0050605D">
            <w:pPr>
              <w:jc w:val="right"/>
              <w:rPr>
                <w:i/>
                <w:sz w:val="20"/>
                <w:szCs w:val="20"/>
              </w:rPr>
            </w:pPr>
            <w:r w:rsidRPr="00B26573">
              <w:rPr>
                <w:i/>
                <w:sz w:val="20"/>
                <w:szCs w:val="20"/>
              </w:rPr>
              <w:t>716</w:t>
            </w:r>
          </w:p>
        </w:tc>
        <w:tc>
          <w:tcPr>
            <w:tcW w:w="705" w:type="pct"/>
            <w:tcBorders>
              <w:top w:val="nil"/>
              <w:bottom w:val="nil"/>
            </w:tcBorders>
            <w:shd w:val="clear" w:color="auto" w:fill="auto"/>
          </w:tcPr>
          <w:p w14:paraId="4582B3CE" w14:textId="16A02A86" w:rsidR="0050605D" w:rsidRPr="00B26573" w:rsidRDefault="0050605D" w:rsidP="0050605D">
            <w:pPr>
              <w:jc w:val="right"/>
              <w:rPr>
                <w:i/>
                <w:sz w:val="20"/>
              </w:rPr>
            </w:pPr>
            <w:r w:rsidRPr="00B26573">
              <w:rPr>
                <w:i/>
                <w:sz w:val="20"/>
              </w:rPr>
              <w:t>0</w:t>
            </w:r>
          </w:p>
        </w:tc>
        <w:tc>
          <w:tcPr>
            <w:tcW w:w="667" w:type="pct"/>
            <w:tcBorders>
              <w:top w:val="nil"/>
              <w:bottom w:val="nil"/>
            </w:tcBorders>
            <w:shd w:val="clear" w:color="auto" w:fill="auto"/>
          </w:tcPr>
          <w:p w14:paraId="4238C37F" w14:textId="2BA53B42" w:rsidR="0050605D" w:rsidRPr="00B26573" w:rsidRDefault="0050605D" w:rsidP="0050605D">
            <w:pPr>
              <w:jc w:val="right"/>
              <w:rPr>
                <w:i/>
                <w:sz w:val="20"/>
              </w:rPr>
            </w:pPr>
            <w:r w:rsidRPr="00B26573">
              <w:rPr>
                <w:i/>
                <w:sz w:val="20"/>
              </w:rPr>
              <w:t>0</w:t>
            </w:r>
          </w:p>
        </w:tc>
        <w:tc>
          <w:tcPr>
            <w:tcW w:w="501" w:type="pct"/>
            <w:tcBorders>
              <w:top w:val="nil"/>
              <w:bottom w:val="nil"/>
            </w:tcBorders>
            <w:shd w:val="clear" w:color="auto" w:fill="auto"/>
          </w:tcPr>
          <w:p w14:paraId="16B0C664" w14:textId="15F2C031" w:rsidR="0050605D" w:rsidRPr="00B26573" w:rsidRDefault="0050605D" w:rsidP="0050605D">
            <w:pPr>
              <w:jc w:val="right"/>
              <w:rPr>
                <w:i/>
                <w:sz w:val="20"/>
              </w:rPr>
            </w:pPr>
            <w:r w:rsidRPr="00B26573">
              <w:rPr>
                <w:i/>
                <w:sz w:val="20"/>
              </w:rPr>
              <w:t>x</w:t>
            </w:r>
          </w:p>
        </w:tc>
      </w:tr>
      <w:tr w:rsidR="00B26573" w:rsidRPr="00B26573" w14:paraId="427D4918" w14:textId="77777777" w:rsidTr="00C36AC5">
        <w:trPr>
          <w:trHeight w:val="283"/>
          <w:jc w:val="right"/>
        </w:trPr>
        <w:tc>
          <w:tcPr>
            <w:tcW w:w="2343" w:type="pct"/>
            <w:tcBorders>
              <w:top w:val="nil"/>
              <w:bottom w:val="nil"/>
            </w:tcBorders>
            <w:shd w:val="clear" w:color="auto" w:fill="auto"/>
          </w:tcPr>
          <w:p w14:paraId="1EE86598" w14:textId="1EB63054" w:rsidR="0050605D" w:rsidRPr="00B26573" w:rsidRDefault="0050605D" w:rsidP="0050605D">
            <w:pPr>
              <w:tabs>
                <w:tab w:val="left" w:pos="880"/>
              </w:tabs>
              <w:rPr>
                <w:i/>
                <w:sz w:val="20"/>
              </w:rPr>
            </w:pPr>
            <w:r w:rsidRPr="00B26573">
              <w:rPr>
                <w:i/>
                <w:sz w:val="20"/>
              </w:rPr>
              <w:t xml:space="preserve">                                                       z rozpočtu EU</w:t>
            </w:r>
          </w:p>
        </w:tc>
        <w:tc>
          <w:tcPr>
            <w:tcW w:w="784" w:type="pct"/>
            <w:tcBorders>
              <w:top w:val="nil"/>
              <w:bottom w:val="nil"/>
            </w:tcBorders>
            <w:shd w:val="clear" w:color="auto" w:fill="auto"/>
          </w:tcPr>
          <w:p w14:paraId="548E3CC7" w14:textId="25DEB27A" w:rsidR="0050605D" w:rsidRPr="00B26573" w:rsidRDefault="0050605D" w:rsidP="0050605D">
            <w:pPr>
              <w:jc w:val="right"/>
              <w:rPr>
                <w:i/>
                <w:sz w:val="20"/>
                <w:szCs w:val="20"/>
              </w:rPr>
            </w:pPr>
            <w:r w:rsidRPr="00B26573">
              <w:rPr>
                <w:i/>
                <w:sz w:val="20"/>
                <w:szCs w:val="20"/>
              </w:rPr>
              <w:t>4 055</w:t>
            </w:r>
          </w:p>
        </w:tc>
        <w:tc>
          <w:tcPr>
            <w:tcW w:w="705" w:type="pct"/>
            <w:tcBorders>
              <w:top w:val="nil"/>
              <w:bottom w:val="nil"/>
            </w:tcBorders>
            <w:shd w:val="clear" w:color="auto" w:fill="auto"/>
          </w:tcPr>
          <w:p w14:paraId="6FBE7FD9" w14:textId="05F1A6BF" w:rsidR="0050605D" w:rsidRPr="00B26573" w:rsidRDefault="0050605D" w:rsidP="0050605D">
            <w:pPr>
              <w:jc w:val="right"/>
              <w:rPr>
                <w:i/>
                <w:sz w:val="20"/>
              </w:rPr>
            </w:pPr>
            <w:r w:rsidRPr="00B26573">
              <w:rPr>
                <w:i/>
                <w:sz w:val="20"/>
              </w:rPr>
              <w:t>0</w:t>
            </w:r>
          </w:p>
        </w:tc>
        <w:tc>
          <w:tcPr>
            <w:tcW w:w="667" w:type="pct"/>
            <w:tcBorders>
              <w:top w:val="nil"/>
              <w:bottom w:val="nil"/>
            </w:tcBorders>
            <w:shd w:val="clear" w:color="auto" w:fill="auto"/>
          </w:tcPr>
          <w:p w14:paraId="7A3B94B3" w14:textId="06362084" w:rsidR="0050605D" w:rsidRPr="00B26573" w:rsidRDefault="0050605D" w:rsidP="0050605D">
            <w:pPr>
              <w:jc w:val="right"/>
              <w:rPr>
                <w:i/>
                <w:sz w:val="20"/>
              </w:rPr>
            </w:pPr>
            <w:r w:rsidRPr="00B26573">
              <w:rPr>
                <w:i/>
                <w:sz w:val="20"/>
              </w:rPr>
              <w:t>0</w:t>
            </w:r>
          </w:p>
        </w:tc>
        <w:tc>
          <w:tcPr>
            <w:tcW w:w="501" w:type="pct"/>
            <w:tcBorders>
              <w:top w:val="nil"/>
              <w:bottom w:val="nil"/>
            </w:tcBorders>
            <w:shd w:val="clear" w:color="auto" w:fill="auto"/>
          </w:tcPr>
          <w:p w14:paraId="5AC49462" w14:textId="7CC9EDF6" w:rsidR="0050605D" w:rsidRPr="00B26573" w:rsidRDefault="0050605D" w:rsidP="0050605D">
            <w:pPr>
              <w:jc w:val="right"/>
              <w:rPr>
                <w:i/>
                <w:sz w:val="20"/>
              </w:rPr>
            </w:pPr>
            <w:r w:rsidRPr="00B26573">
              <w:rPr>
                <w:i/>
                <w:sz w:val="20"/>
              </w:rPr>
              <w:t>x</w:t>
            </w:r>
          </w:p>
        </w:tc>
      </w:tr>
      <w:tr w:rsidR="00B26573" w:rsidRPr="00B26573" w14:paraId="54B80CDC" w14:textId="77777777" w:rsidTr="00C867CF">
        <w:trPr>
          <w:trHeight w:val="65"/>
          <w:jc w:val="right"/>
        </w:trPr>
        <w:tc>
          <w:tcPr>
            <w:tcW w:w="2343" w:type="pct"/>
            <w:tcBorders>
              <w:top w:val="nil"/>
              <w:bottom w:val="nil"/>
            </w:tcBorders>
            <w:shd w:val="clear" w:color="auto" w:fill="auto"/>
          </w:tcPr>
          <w:p w14:paraId="4105B9A7" w14:textId="77777777" w:rsidR="0050605D" w:rsidRPr="00B26573" w:rsidRDefault="0050605D" w:rsidP="0050605D">
            <w:pPr>
              <w:tabs>
                <w:tab w:val="left" w:pos="880"/>
              </w:tabs>
              <w:rPr>
                <w:b/>
                <w:bCs/>
                <w:i/>
                <w:sz w:val="20"/>
              </w:rPr>
            </w:pPr>
            <w:r w:rsidRPr="00B26573">
              <w:rPr>
                <w:i/>
                <w:sz w:val="20"/>
              </w:rPr>
              <w:t xml:space="preserve">          KP Nástroj pro propojení Evropy 2014 +           </w:t>
            </w:r>
          </w:p>
          <w:p w14:paraId="13B019EE" w14:textId="77777777" w:rsidR="0050605D" w:rsidRPr="00B26573" w:rsidRDefault="0050605D" w:rsidP="0050605D">
            <w:pPr>
              <w:jc w:val="center"/>
              <w:rPr>
                <w:b/>
                <w:bCs/>
                <w:i/>
                <w:sz w:val="20"/>
              </w:rPr>
            </w:pPr>
            <w:r w:rsidRPr="00B26573">
              <w:rPr>
                <w:i/>
                <w:sz w:val="20"/>
              </w:rPr>
              <w:lastRenderedPageBreak/>
              <w:t xml:space="preserve">                         v tom: ze SR</w:t>
            </w:r>
          </w:p>
          <w:p w14:paraId="67F8DB0B" w14:textId="65DF8644" w:rsidR="0050605D" w:rsidRPr="00B26573" w:rsidRDefault="0050605D" w:rsidP="0050605D">
            <w:pPr>
              <w:tabs>
                <w:tab w:val="left" w:pos="880"/>
              </w:tabs>
              <w:jc w:val="center"/>
              <w:rPr>
                <w:i/>
                <w:sz w:val="20"/>
              </w:rPr>
            </w:pPr>
            <w:r w:rsidRPr="00B26573">
              <w:rPr>
                <w:i/>
                <w:sz w:val="20"/>
              </w:rPr>
              <w:t xml:space="preserve">                                                 z rozpočtu EU </w:t>
            </w:r>
          </w:p>
        </w:tc>
        <w:tc>
          <w:tcPr>
            <w:tcW w:w="784" w:type="pct"/>
            <w:tcBorders>
              <w:top w:val="nil"/>
              <w:bottom w:val="nil"/>
            </w:tcBorders>
            <w:shd w:val="clear" w:color="auto" w:fill="auto"/>
          </w:tcPr>
          <w:p w14:paraId="5E27B31A" w14:textId="77777777" w:rsidR="0050605D" w:rsidRPr="00B26573" w:rsidRDefault="0050605D" w:rsidP="0050605D">
            <w:pPr>
              <w:jc w:val="right"/>
              <w:rPr>
                <w:i/>
                <w:sz w:val="20"/>
                <w:szCs w:val="20"/>
              </w:rPr>
            </w:pPr>
            <w:r w:rsidRPr="00B26573">
              <w:rPr>
                <w:i/>
                <w:sz w:val="20"/>
                <w:szCs w:val="20"/>
              </w:rPr>
              <w:lastRenderedPageBreak/>
              <w:t>319</w:t>
            </w:r>
          </w:p>
          <w:p w14:paraId="340ECE9A" w14:textId="77777777" w:rsidR="0050605D" w:rsidRPr="00B26573" w:rsidRDefault="0050605D" w:rsidP="0050605D">
            <w:pPr>
              <w:jc w:val="right"/>
              <w:rPr>
                <w:i/>
                <w:sz w:val="20"/>
                <w:szCs w:val="20"/>
              </w:rPr>
            </w:pPr>
            <w:r w:rsidRPr="00B26573">
              <w:rPr>
                <w:i/>
                <w:sz w:val="20"/>
                <w:szCs w:val="20"/>
              </w:rPr>
              <w:lastRenderedPageBreak/>
              <w:t>139</w:t>
            </w:r>
          </w:p>
          <w:p w14:paraId="5DFCDF52" w14:textId="3718C1D6" w:rsidR="0050605D" w:rsidRPr="00B26573" w:rsidRDefault="0050605D" w:rsidP="0050605D">
            <w:pPr>
              <w:jc w:val="right"/>
              <w:rPr>
                <w:i/>
                <w:sz w:val="20"/>
                <w:szCs w:val="20"/>
              </w:rPr>
            </w:pPr>
            <w:r w:rsidRPr="00B26573">
              <w:rPr>
                <w:i/>
                <w:sz w:val="20"/>
                <w:szCs w:val="20"/>
              </w:rPr>
              <w:t>180</w:t>
            </w:r>
          </w:p>
        </w:tc>
        <w:tc>
          <w:tcPr>
            <w:tcW w:w="705" w:type="pct"/>
            <w:tcBorders>
              <w:top w:val="nil"/>
              <w:bottom w:val="nil"/>
            </w:tcBorders>
            <w:shd w:val="clear" w:color="auto" w:fill="auto"/>
          </w:tcPr>
          <w:p w14:paraId="2DA1E989" w14:textId="77777777" w:rsidR="0050605D" w:rsidRPr="00B26573" w:rsidRDefault="0050605D" w:rsidP="0050605D">
            <w:pPr>
              <w:jc w:val="right"/>
              <w:rPr>
                <w:i/>
                <w:sz w:val="20"/>
              </w:rPr>
            </w:pPr>
            <w:r w:rsidRPr="00B26573">
              <w:rPr>
                <w:i/>
                <w:sz w:val="20"/>
              </w:rPr>
              <w:lastRenderedPageBreak/>
              <w:t>0</w:t>
            </w:r>
          </w:p>
          <w:p w14:paraId="3788F141" w14:textId="77777777" w:rsidR="0050605D" w:rsidRPr="00B26573" w:rsidRDefault="0050605D" w:rsidP="0050605D">
            <w:pPr>
              <w:jc w:val="right"/>
              <w:rPr>
                <w:i/>
                <w:sz w:val="20"/>
              </w:rPr>
            </w:pPr>
            <w:r w:rsidRPr="00B26573">
              <w:rPr>
                <w:i/>
                <w:sz w:val="20"/>
              </w:rPr>
              <w:lastRenderedPageBreak/>
              <w:t>0</w:t>
            </w:r>
          </w:p>
          <w:p w14:paraId="7D16E946" w14:textId="1B9C2534" w:rsidR="0050605D" w:rsidRPr="00B26573" w:rsidRDefault="0050605D" w:rsidP="0050605D">
            <w:pPr>
              <w:jc w:val="right"/>
              <w:rPr>
                <w:i/>
                <w:sz w:val="20"/>
              </w:rPr>
            </w:pPr>
            <w:r w:rsidRPr="00B26573">
              <w:rPr>
                <w:i/>
                <w:sz w:val="20"/>
              </w:rPr>
              <w:t>0</w:t>
            </w:r>
          </w:p>
        </w:tc>
        <w:tc>
          <w:tcPr>
            <w:tcW w:w="667" w:type="pct"/>
            <w:tcBorders>
              <w:top w:val="nil"/>
              <w:bottom w:val="nil"/>
            </w:tcBorders>
            <w:shd w:val="clear" w:color="auto" w:fill="auto"/>
          </w:tcPr>
          <w:p w14:paraId="0FA2F2DD" w14:textId="77777777" w:rsidR="0050605D" w:rsidRPr="00B26573" w:rsidRDefault="0050605D" w:rsidP="0050605D">
            <w:pPr>
              <w:jc w:val="right"/>
              <w:rPr>
                <w:i/>
                <w:sz w:val="20"/>
              </w:rPr>
            </w:pPr>
            <w:r w:rsidRPr="00B26573">
              <w:rPr>
                <w:i/>
                <w:sz w:val="20"/>
              </w:rPr>
              <w:lastRenderedPageBreak/>
              <w:t>0</w:t>
            </w:r>
          </w:p>
          <w:p w14:paraId="794BB3E4" w14:textId="77777777" w:rsidR="0050605D" w:rsidRPr="00B26573" w:rsidRDefault="0050605D" w:rsidP="0050605D">
            <w:pPr>
              <w:jc w:val="right"/>
              <w:rPr>
                <w:i/>
                <w:sz w:val="20"/>
              </w:rPr>
            </w:pPr>
            <w:r w:rsidRPr="00B26573">
              <w:rPr>
                <w:i/>
                <w:sz w:val="20"/>
              </w:rPr>
              <w:lastRenderedPageBreak/>
              <w:t>0</w:t>
            </w:r>
          </w:p>
          <w:p w14:paraId="5AC961E4" w14:textId="68412717" w:rsidR="0050605D" w:rsidRPr="00B26573" w:rsidRDefault="0050605D" w:rsidP="0050605D">
            <w:pPr>
              <w:jc w:val="right"/>
              <w:rPr>
                <w:i/>
                <w:sz w:val="20"/>
              </w:rPr>
            </w:pPr>
            <w:r w:rsidRPr="00B26573">
              <w:rPr>
                <w:i/>
                <w:sz w:val="20"/>
              </w:rPr>
              <w:t>0</w:t>
            </w:r>
          </w:p>
        </w:tc>
        <w:tc>
          <w:tcPr>
            <w:tcW w:w="501" w:type="pct"/>
            <w:tcBorders>
              <w:top w:val="nil"/>
              <w:bottom w:val="nil"/>
            </w:tcBorders>
            <w:shd w:val="clear" w:color="auto" w:fill="auto"/>
          </w:tcPr>
          <w:p w14:paraId="6AC738FD" w14:textId="77777777" w:rsidR="0050605D" w:rsidRPr="00B26573" w:rsidRDefault="0050605D" w:rsidP="0050605D">
            <w:pPr>
              <w:jc w:val="right"/>
              <w:rPr>
                <w:i/>
                <w:sz w:val="20"/>
              </w:rPr>
            </w:pPr>
            <w:r w:rsidRPr="00B26573">
              <w:rPr>
                <w:i/>
                <w:sz w:val="20"/>
              </w:rPr>
              <w:lastRenderedPageBreak/>
              <w:t>x</w:t>
            </w:r>
          </w:p>
          <w:p w14:paraId="77E2220A" w14:textId="77777777" w:rsidR="0050605D" w:rsidRPr="00B26573" w:rsidRDefault="0050605D" w:rsidP="0050605D">
            <w:pPr>
              <w:jc w:val="right"/>
              <w:rPr>
                <w:i/>
                <w:sz w:val="20"/>
              </w:rPr>
            </w:pPr>
            <w:r w:rsidRPr="00B26573">
              <w:rPr>
                <w:i/>
                <w:sz w:val="20"/>
              </w:rPr>
              <w:lastRenderedPageBreak/>
              <w:t>x</w:t>
            </w:r>
          </w:p>
          <w:p w14:paraId="7A52C763" w14:textId="3940DBA2" w:rsidR="0050605D" w:rsidRPr="00B26573" w:rsidRDefault="0050605D" w:rsidP="0050605D">
            <w:pPr>
              <w:jc w:val="right"/>
              <w:rPr>
                <w:i/>
                <w:sz w:val="20"/>
              </w:rPr>
            </w:pPr>
            <w:r w:rsidRPr="00B26573">
              <w:rPr>
                <w:i/>
                <w:sz w:val="20"/>
              </w:rPr>
              <w:t>x</w:t>
            </w:r>
          </w:p>
        </w:tc>
      </w:tr>
      <w:tr w:rsidR="00B26573" w:rsidRPr="00B26573" w14:paraId="162E2EC3" w14:textId="77777777" w:rsidTr="00C867CF">
        <w:trPr>
          <w:trHeight w:val="2186"/>
          <w:jc w:val="right"/>
        </w:trPr>
        <w:tc>
          <w:tcPr>
            <w:tcW w:w="2343" w:type="pct"/>
            <w:tcBorders>
              <w:top w:val="nil"/>
              <w:bottom w:val="single" w:sz="8" w:space="0" w:color="7F7F7F" w:themeColor="text1" w:themeTint="80"/>
            </w:tcBorders>
            <w:shd w:val="clear" w:color="auto" w:fill="auto"/>
          </w:tcPr>
          <w:p w14:paraId="35D96125" w14:textId="77777777" w:rsidR="0050605D" w:rsidRPr="00B26573" w:rsidRDefault="0050605D" w:rsidP="0050605D">
            <w:pPr>
              <w:tabs>
                <w:tab w:val="left" w:pos="880"/>
              </w:tabs>
              <w:rPr>
                <w:b/>
                <w:bCs/>
                <w:i/>
                <w:sz w:val="20"/>
              </w:rPr>
            </w:pPr>
            <w:r w:rsidRPr="00B26573">
              <w:rPr>
                <w:i/>
                <w:sz w:val="20"/>
              </w:rPr>
              <w:lastRenderedPageBreak/>
              <w:t xml:space="preserve">          Horizont Evropa </w:t>
            </w:r>
          </w:p>
          <w:p w14:paraId="6F709B89" w14:textId="77777777" w:rsidR="0050605D" w:rsidRPr="00B26573" w:rsidRDefault="0050605D" w:rsidP="0050605D">
            <w:pPr>
              <w:jc w:val="center"/>
              <w:rPr>
                <w:b/>
                <w:bCs/>
                <w:i/>
                <w:sz w:val="20"/>
              </w:rPr>
            </w:pPr>
            <w:r w:rsidRPr="00B26573">
              <w:rPr>
                <w:i/>
                <w:sz w:val="20"/>
              </w:rPr>
              <w:t xml:space="preserve">                         v tom: ze SR</w:t>
            </w:r>
          </w:p>
          <w:p w14:paraId="4E0BC178" w14:textId="77777777" w:rsidR="0050605D" w:rsidRPr="00B26573" w:rsidRDefault="0050605D" w:rsidP="0050605D">
            <w:pPr>
              <w:tabs>
                <w:tab w:val="left" w:pos="880"/>
              </w:tabs>
              <w:jc w:val="center"/>
              <w:rPr>
                <w:b/>
                <w:bCs/>
                <w:i/>
                <w:sz w:val="20"/>
              </w:rPr>
            </w:pPr>
            <w:r w:rsidRPr="00B26573">
              <w:rPr>
                <w:i/>
                <w:sz w:val="20"/>
              </w:rPr>
              <w:t xml:space="preserve">                                                  z rozpočtu EU   </w:t>
            </w:r>
          </w:p>
          <w:p w14:paraId="3409E53F" w14:textId="77777777" w:rsidR="0050605D" w:rsidRPr="00B26573" w:rsidRDefault="0050605D" w:rsidP="0050605D">
            <w:pPr>
              <w:tabs>
                <w:tab w:val="left" w:pos="880"/>
              </w:tabs>
              <w:jc w:val="center"/>
              <w:rPr>
                <w:b/>
                <w:bCs/>
                <w:i/>
                <w:sz w:val="20"/>
              </w:rPr>
            </w:pPr>
            <w:r w:rsidRPr="00B26573">
              <w:rPr>
                <w:i/>
                <w:sz w:val="20"/>
              </w:rPr>
              <w:t xml:space="preserve">         Nástroj pro propojení Evropy (CEF) 2021+ </w:t>
            </w:r>
          </w:p>
          <w:p w14:paraId="7AAC74C1" w14:textId="77777777" w:rsidR="0050605D" w:rsidRPr="00B26573" w:rsidRDefault="0050605D" w:rsidP="0050605D">
            <w:pPr>
              <w:jc w:val="center"/>
              <w:rPr>
                <w:b/>
                <w:bCs/>
                <w:i/>
                <w:sz w:val="20"/>
              </w:rPr>
            </w:pPr>
            <w:r w:rsidRPr="00B26573">
              <w:rPr>
                <w:i/>
                <w:sz w:val="20"/>
              </w:rPr>
              <w:t xml:space="preserve">                         v tom: ze SR</w:t>
            </w:r>
          </w:p>
          <w:p w14:paraId="45080C45" w14:textId="77777777" w:rsidR="0050605D" w:rsidRPr="00B26573" w:rsidRDefault="0050605D" w:rsidP="0050605D">
            <w:pPr>
              <w:tabs>
                <w:tab w:val="left" w:pos="880"/>
              </w:tabs>
              <w:jc w:val="center"/>
              <w:rPr>
                <w:b/>
                <w:bCs/>
                <w:i/>
                <w:sz w:val="20"/>
              </w:rPr>
            </w:pPr>
            <w:r w:rsidRPr="00B26573">
              <w:rPr>
                <w:i/>
                <w:sz w:val="20"/>
              </w:rPr>
              <w:t xml:space="preserve">                                                  z rozpočtu EU </w:t>
            </w:r>
          </w:p>
          <w:p w14:paraId="60CB8C28" w14:textId="77777777" w:rsidR="0050605D" w:rsidRPr="00B26573" w:rsidRDefault="0050605D" w:rsidP="0050605D">
            <w:pPr>
              <w:rPr>
                <w:b/>
                <w:bCs/>
                <w:i/>
                <w:sz w:val="20"/>
              </w:rPr>
            </w:pPr>
            <w:r w:rsidRPr="00B26573">
              <w:rPr>
                <w:i/>
                <w:sz w:val="20"/>
              </w:rPr>
              <w:t xml:space="preserve">         Program Doprava – CF  2021 +</w:t>
            </w:r>
          </w:p>
          <w:p w14:paraId="7BCCB33E" w14:textId="77777777" w:rsidR="0050605D" w:rsidRPr="00B26573" w:rsidRDefault="0050605D" w:rsidP="0050605D">
            <w:pPr>
              <w:rPr>
                <w:b/>
                <w:bCs/>
                <w:i/>
                <w:sz w:val="20"/>
              </w:rPr>
            </w:pPr>
            <w:r w:rsidRPr="00B26573">
              <w:rPr>
                <w:i/>
                <w:sz w:val="20"/>
              </w:rPr>
              <w:t xml:space="preserve">                                            v tom: ze SR</w:t>
            </w:r>
          </w:p>
          <w:p w14:paraId="7705541F" w14:textId="77777777" w:rsidR="0050605D" w:rsidRPr="00B26573" w:rsidRDefault="0050605D" w:rsidP="0050605D">
            <w:pPr>
              <w:tabs>
                <w:tab w:val="left" w:pos="880"/>
              </w:tabs>
              <w:jc w:val="center"/>
              <w:rPr>
                <w:b/>
                <w:bCs/>
                <w:i/>
                <w:sz w:val="20"/>
              </w:rPr>
            </w:pPr>
            <w:r w:rsidRPr="00B26573">
              <w:rPr>
                <w:i/>
                <w:sz w:val="20"/>
              </w:rPr>
              <w:t xml:space="preserve">                                                     z rozpočtu EU </w:t>
            </w:r>
          </w:p>
          <w:p w14:paraId="22791A2E" w14:textId="77777777" w:rsidR="0050605D" w:rsidRPr="00B26573" w:rsidRDefault="0050605D" w:rsidP="0050605D">
            <w:pPr>
              <w:rPr>
                <w:b/>
                <w:bCs/>
                <w:i/>
                <w:sz w:val="20"/>
              </w:rPr>
            </w:pPr>
            <w:r w:rsidRPr="00B26573">
              <w:rPr>
                <w:i/>
                <w:sz w:val="20"/>
              </w:rPr>
              <w:t xml:space="preserve">         Kosmický program Unie</w:t>
            </w:r>
          </w:p>
          <w:p w14:paraId="1AEE265D" w14:textId="77777777" w:rsidR="0050605D" w:rsidRPr="00B26573" w:rsidRDefault="0050605D" w:rsidP="0050605D">
            <w:pPr>
              <w:rPr>
                <w:b/>
                <w:bCs/>
                <w:i/>
                <w:sz w:val="20"/>
              </w:rPr>
            </w:pPr>
            <w:r w:rsidRPr="00B26573">
              <w:rPr>
                <w:i/>
                <w:sz w:val="20"/>
              </w:rPr>
              <w:t xml:space="preserve">                                            v tom: ze SR</w:t>
            </w:r>
          </w:p>
          <w:p w14:paraId="703E34E8" w14:textId="3D42747C" w:rsidR="0050605D" w:rsidRPr="00B26573" w:rsidRDefault="0050605D" w:rsidP="0050605D">
            <w:pPr>
              <w:tabs>
                <w:tab w:val="left" w:pos="880"/>
              </w:tabs>
              <w:rPr>
                <w:i/>
                <w:sz w:val="20"/>
              </w:rPr>
            </w:pPr>
            <w:r w:rsidRPr="00B26573">
              <w:rPr>
                <w:i/>
                <w:sz w:val="20"/>
              </w:rPr>
              <w:t xml:space="preserve">                                                       z rozpočtu EU                                                                                                                                                                                                                                                                                                                                                                                                                                                                                                                                                                                                                                                                                                                                                                                                                                                                                                                                                                                                                                                                                                                                                                                                                                                                                                                                                                                                                                                                                                                                                                                                                                                                                                                                                                                                                                                                                                                                                                                                                                                                                                                                                                                                                                                                                                                                                                                                                                                                                                                                                                                                                                                                                                                                                                                                                                                                                                                                                                                                                                                                                                                                                                                                                                                                                                                                                                                                                                                                                                                                                                                                                                                                                                                                                                                                                                                                                                                                                                                                                                                                                                                                                                                                                                                                                                                                                                                                                                                                                                                                                                                                                                                                                                                                                                                                                                                                                                                                                                                                                                                                                                                                                                                                                                                                                                                                                                                                                                                                                                                                                                                                                                                                                                                                                                                                                                                                                                                                                                                                                                                                                                                                                                                                                                                                                                                                                                                                                                                                                                                                                                                                                                                                                                                                                                                                                                                                                                                                                                                                                                                                                                                                                                                                                                                                                                                                                                                                                                                                                                                                                                                                                                                                                                                                                                                                                                                                                                                                                                                                                                                                                                                                                                                                                                                                                                                                                                                                                                                                                                                                                                                                                                                                                                                                                                                                                                                                                                                                                                                                                                                                                                                                                                                                                                                                                                                                                                                                                                                                                                                                                                                                                                                                                                                                                                                                                                                                                                                                                                                                                                                                                                                                                                                                                                                                                                                                                                                                                                                                                                                                                                                                                                                                                                                                                                                                                                                                                                                                                                                                                                                                                                                                                                                                                                                                                                                                                                                                                                                                                                                                                                                                                                                                                                                                                                                                                                                                                                                                                                                                                                                                                                                                                                                                                                                                                                                                                                                                                                                                                                                                                                                                                                                                                                                                                                                                                                                                                                                                                                                                                                                                                                                                                                                                                                                                                                                                                                                                                                                                                                                                                                                                                                                                                                                                                                                                                                                                                                                                                                                                                                                                                                                                                                                                                                                                                                                                                                                                                                                                                                                                                                                                                                                                                                                                                                                                                                                                                                                                                                                                                                                                                                                                                                                                                                                                                                                                                                                                                                                                                                                                                                                                                                                                                                                                                                                                                                                                                                                                                                                                                                                                                                                                                                                                                                                                                                                                                                                                                                                                                                                                                                                                                                                                                                                                                                                                                                                                                                                                                                                                                                                                                                                                                                                                                                                                                                                                                                                                                                                                                                                                                                                                                                                                                                                                                                                                                                                                                                                                                                                                                                                                                                                                                                                                                                                                                                                                                                                                                                                                                                                                                                                                                                                                                                                                                                                                                                                                                                                                                                                                                                                                                                                                                                                                                                                                                                                                                                                                                                                                                                                                                                                                                                                                                                                                                                                                                                                                                                                                                                                                                                                                                                                                                                                                                                                                                                                                                                                                                                                                                                                                                                                                                                                                                                                                                                                                                                                                                                                                                                                                                                                                                                                                                                                                                                                                                                                                                                                                                                                                                                                                                                                                                                                                                                                                                                                                                                                                                                                                                                                                                                                                                                                                                                                                                                                                                                                                                                                                                                                                                                                                                                                                                                                                     </w:t>
            </w:r>
          </w:p>
        </w:tc>
        <w:tc>
          <w:tcPr>
            <w:tcW w:w="784" w:type="pct"/>
            <w:tcBorders>
              <w:top w:val="nil"/>
              <w:bottom w:val="single" w:sz="8" w:space="0" w:color="7F7F7F" w:themeColor="text1" w:themeTint="80"/>
            </w:tcBorders>
            <w:shd w:val="clear" w:color="auto" w:fill="auto"/>
          </w:tcPr>
          <w:p w14:paraId="526EBAC7" w14:textId="77777777" w:rsidR="0050605D" w:rsidRPr="00B26573" w:rsidRDefault="0050605D" w:rsidP="0050605D">
            <w:pPr>
              <w:jc w:val="right"/>
              <w:rPr>
                <w:i/>
                <w:sz w:val="20"/>
                <w:szCs w:val="20"/>
              </w:rPr>
            </w:pPr>
            <w:r w:rsidRPr="00B26573">
              <w:rPr>
                <w:i/>
                <w:sz w:val="20"/>
                <w:szCs w:val="20"/>
              </w:rPr>
              <w:t>34</w:t>
            </w:r>
          </w:p>
          <w:p w14:paraId="7D0042A0" w14:textId="77777777" w:rsidR="0050605D" w:rsidRPr="00B26573" w:rsidRDefault="0050605D" w:rsidP="0050605D">
            <w:pPr>
              <w:jc w:val="right"/>
              <w:rPr>
                <w:i/>
                <w:sz w:val="20"/>
                <w:szCs w:val="20"/>
              </w:rPr>
            </w:pPr>
            <w:r w:rsidRPr="00B26573">
              <w:rPr>
                <w:i/>
                <w:sz w:val="20"/>
                <w:szCs w:val="20"/>
              </w:rPr>
              <w:t>0</w:t>
            </w:r>
          </w:p>
          <w:p w14:paraId="0E08E844" w14:textId="77777777" w:rsidR="0050605D" w:rsidRPr="00B26573" w:rsidRDefault="0050605D" w:rsidP="0050605D">
            <w:pPr>
              <w:jc w:val="right"/>
              <w:rPr>
                <w:i/>
                <w:sz w:val="20"/>
                <w:szCs w:val="20"/>
              </w:rPr>
            </w:pPr>
            <w:r w:rsidRPr="00B26573">
              <w:rPr>
                <w:i/>
                <w:sz w:val="20"/>
                <w:szCs w:val="20"/>
              </w:rPr>
              <w:t>34</w:t>
            </w:r>
          </w:p>
          <w:p w14:paraId="06C3412A" w14:textId="77777777" w:rsidR="0050605D" w:rsidRPr="00B26573" w:rsidRDefault="0050605D" w:rsidP="0050605D">
            <w:pPr>
              <w:jc w:val="right"/>
              <w:rPr>
                <w:i/>
                <w:sz w:val="20"/>
                <w:szCs w:val="20"/>
              </w:rPr>
            </w:pPr>
            <w:r w:rsidRPr="00B26573">
              <w:rPr>
                <w:i/>
                <w:sz w:val="20"/>
                <w:szCs w:val="20"/>
              </w:rPr>
              <w:t>476</w:t>
            </w:r>
          </w:p>
          <w:p w14:paraId="0BA78E2D" w14:textId="77777777" w:rsidR="0050605D" w:rsidRPr="00B26573" w:rsidRDefault="0050605D" w:rsidP="0050605D">
            <w:pPr>
              <w:jc w:val="right"/>
              <w:rPr>
                <w:i/>
                <w:sz w:val="20"/>
                <w:szCs w:val="20"/>
              </w:rPr>
            </w:pPr>
            <w:r w:rsidRPr="00B26573">
              <w:rPr>
                <w:i/>
                <w:sz w:val="20"/>
                <w:szCs w:val="20"/>
              </w:rPr>
              <w:t>3</w:t>
            </w:r>
          </w:p>
          <w:p w14:paraId="36060461" w14:textId="77777777" w:rsidR="0050605D" w:rsidRPr="00B26573" w:rsidRDefault="0050605D" w:rsidP="0050605D">
            <w:pPr>
              <w:jc w:val="right"/>
              <w:rPr>
                <w:i/>
                <w:sz w:val="20"/>
                <w:szCs w:val="20"/>
              </w:rPr>
            </w:pPr>
            <w:r w:rsidRPr="00B26573">
              <w:rPr>
                <w:i/>
                <w:sz w:val="20"/>
                <w:szCs w:val="20"/>
              </w:rPr>
              <w:t>473</w:t>
            </w:r>
          </w:p>
          <w:p w14:paraId="1FE2C147" w14:textId="77777777" w:rsidR="0050605D" w:rsidRPr="00B26573" w:rsidRDefault="0050605D" w:rsidP="0050605D">
            <w:pPr>
              <w:jc w:val="right"/>
              <w:rPr>
                <w:i/>
                <w:sz w:val="20"/>
                <w:szCs w:val="20"/>
              </w:rPr>
            </w:pPr>
            <w:r w:rsidRPr="00B26573">
              <w:rPr>
                <w:i/>
                <w:sz w:val="20"/>
                <w:szCs w:val="20"/>
              </w:rPr>
              <w:t>1 936</w:t>
            </w:r>
          </w:p>
          <w:p w14:paraId="591D7192" w14:textId="77777777" w:rsidR="0050605D" w:rsidRPr="00B26573" w:rsidRDefault="0050605D" w:rsidP="0050605D">
            <w:pPr>
              <w:jc w:val="right"/>
              <w:rPr>
                <w:i/>
                <w:sz w:val="20"/>
                <w:szCs w:val="20"/>
              </w:rPr>
            </w:pPr>
            <w:r w:rsidRPr="00B26573">
              <w:rPr>
                <w:i/>
                <w:sz w:val="20"/>
                <w:szCs w:val="20"/>
              </w:rPr>
              <w:t>290</w:t>
            </w:r>
          </w:p>
          <w:p w14:paraId="599AD165" w14:textId="77777777" w:rsidR="0050605D" w:rsidRPr="00B26573" w:rsidRDefault="0050605D" w:rsidP="0050605D">
            <w:pPr>
              <w:jc w:val="right"/>
              <w:rPr>
                <w:i/>
                <w:sz w:val="20"/>
                <w:szCs w:val="20"/>
              </w:rPr>
            </w:pPr>
            <w:r w:rsidRPr="00B26573">
              <w:rPr>
                <w:i/>
                <w:sz w:val="20"/>
                <w:szCs w:val="20"/>
              </w:rPr>
              <w:t>1 646</w:t>
            </w:r>
          </w:p>
          <w:p w14:paraId="235FE3FD" w14:textId="77777777" w:rsidR="0050605D" w:rsidRPr="00B26573" w:rsidRDefault="0050605D" w:rsidP="0050605D">
            <w:pPr>
              <w:jc w:val="right"/>
              <w:rPr>
                <w:i/>
                <w:sz w:val="20"/>
                <w:szCs w:val="20"/>
              </w:rPr>
            </w:pPr>
            <w:r w:rsidRPr="00B26573">
              <w:rPr>
                <w:i/>
                <w:sz w:val="20"/>
                <w:szCs w:val="20"/>
              </w:rPr>
              <w:t>23</w:t>
            </w:r>
          </w:p>
          <w:p w14:paraId="30BA21A6" w14:textId="77777777" w:rsidR="0050605D" w:rsidRPr="00B26573" w:rsidRDefault="0050605D" w:rsidP="0050605D">
            <w:pPr>
              <w:jc w:val="right"/>
              <w:rPr>
                <w:i/>
                <w:sz w:val="20"/>
                <w:szCs w:val="20"/>
              </w:rPr>
            </w:pPr>
            <w:r w:rsidRPr="00B26573">
              <w:rPr>
                <w:i/>
                <w:sz w:val="20"/>
                <w:szCs w:val="20"/>
              </w:rPr>
              <w:t>1</w:t>
            </w:r>
          </w:p>
          <w:p w14:paraId="2432FA69" w14:textId="6FA9B4BE" w:rsidR="0050605D" w:rsidRPr="00B26573" w:rsidRDefault="0050605D" w:rsidP="0050605D">
            <w:pPr>
              <w:jc w:val="right"/>
              <w:rPr>
                <w:i/>
                <w:sz w:val="20"/>
                <w:szCs w:val="20"/>
              </w:rPr>
            </w:pPr>
            <w:r w:rsidRPr="00B26573">
              <w:rPr>
                <w:i/>
                <w:sz w:val="20"/>
                <w:szCs w:val="20"/>
              </w:rPr>
              <w:t>22</w:t>
            </w:r>
          </w:p>
        </w:tc>
        <w:tc>
          <w:tcPr>
            <w:tcW w:w="705" w:type="pct"/>
            <w:tcBorders>
              <w:top w:val="nil"/>
              <w:bottom w:val="single" w:sz="8" w:space="0" w:color="7F7F7F" w:themeColor="text1" w:themeTint="80"/>
            </w:tcBorders>
            <w:shd w:val="clear" w:color="auto" w:fill="auto"/>
          </w:tcPr>
          <w:p w14:paraId="63196D92" w14:textId="77777777" w:rsidR="0050605D" w:rsidRPr="00B26573" w:rsidRDefault="0050605D" w:rsidP="0050605D">
            <w:pPr>
              <w:jc w:val="right"/>
              <w:rPr>
                <w:i/>
                <w:sz w:val="20"/>
              </w:rPr>
            </w:pPr>
            <w:r w:rsidRPr="00B26573">
              <w:rPr>
                <w:i/>
                <w:sz w:val="20"/>
              </w:rPr>
              <w:t>60</w:t>
            </w:r>
          </w:p>
          <w:p w14:paraId="618D7093" w14:textId="77777777" w:rsidR="0050605D" w:rsidRPr="00B26573" w:rsidRDefault="0050605D" w:rsidP="0050605D">
            <w:pPr>
              <w:jc w:val="right"/>
              <w:rPr>
                <w:i/>
                <w:sz w:val="20"/>
              </w:rPr>
            </w:pPr>
            <w:r w:rsidRPr="00B26573">
              <w:rPr>
                <w:i/>
                <w:sz w:val="20"/>
              </w:rPr>
              <w:t>0</w:t>
            </w:r>
          </w:p>
          <w:p w14:paraId="0A249EE2" w14:textId="77777777" w:rsidR="0050605D" w:rsidRPr="00B26573" w:rsidRDefault="0050605D" w:rsidP="0050605D">
            <w:pPr>
              <w:jc w:val="right"/>
              <w:rPr>
                <w:i/>
                <w:sz w:val="20"/>
              </w:rPr>
            </w:pPr>
            <w:r w:rsidRPr="00B26573">
              <w:rPr>
                <w:i/>
                <w:sz w:val="20"/>
              </w:rPr>
              <w:t>60</w:t>
            </w:r>
          </w:p>
          <w:p w14:paraId="39EFF1A9" w14:textId="77777777" w:rsidR="0050605D" w:rsidRPr="00B26573" w:rsidRDefault="0050605D" w:rsidP="0050605D">
            <w:pPr>
              <w:jc w:val="right"/>
              <w:rPr>
                <w:i/>
                <w:sz w:val="20"/>
              </w:rPr>
            </w:pPr>
            <w:r w:rsidRPr="00B26573">
              <w:rPr>
                <w:i/>
                <w:sz w:val="20"/>
              </w:rPr>
              <w:t>7 310</w:t>
            </w:r>
          </w:p>
          <w:p w14:paraId="4516A4A7" w14:textId="77777777" w:rsidR="0050605D" w:rsidRPr="00B26573" w:rsidRDefault="0050605D" w:rsidP="0050605D">
            <w:pPr>
              <w:jc w:val="right"/>
              <w:rPr>
                <w:i/>
                <w:sz w:val="20"/>
              </w:rPr>
            </w:pPr>
            <w:r w:rsidRPr="00B26573">
              <w:rPr>
                <w:i/>
                <w:sz w:val="20"/>
              </w:rPr>
              <w:t>155</w:t>
            </w:r>
          </w:p>
          <w:p w14:paraId="10B786B8" w14:textId="77777777" w:rsidR="0050605D" w:rsidRPr="00B26573" w:rsidRDefault="0050605D" w:rsidP="0050605D">
            <w:pPr>
              <w:jc w:val="right"/>
              <w:rPr>
                <w:i/>
                <w:sz w:val="20"/>
              </w:rPr>
            </w:pPr>
            <w:r w:rsidRPr="00B26573">
              <w:rPr>
                <w:i/>
                <w:sz w:val="20"/>
              </w:rPr>
              <w:t>7 155</w:t>
            </w:r>
          </w:p>
          <w:p w14:paraId="6BB7F178" w14:textId="77777777" w:rsidR="0050605D" w:rsidRPr="00B26573" w:rsidRDefault="0050605D" w:rsidP="0050605D">
            <w:pPr>
              <w:jc w:val="right"/>
              <w:rPr>
                <w:i/>
                <w:sz w:val="20"/>
              </w:rPr>
            </w:pPr>
            <w:r w:rsidRPr="00B26573">
              <w:rPr>
                <w:i/>
                <w:sz w:val="20"/>
              </w:rPr>
              <w:t>1 200</w:t>
            </w:r>
          </w:p>
          <w:p w14:paraId="0AB78461" w14:textId="77777777" w:rsidR="0050605D" w:rsidRPr="00B26573" w:rsidRDefault="0050605D" w:rsidP="0050605D">
            <w:pPr>
              <w:jc w:val="right"/>
              <w:rPr>
                <w:i/>
                <w:sz w:val="20"/>
              </w:rPr>
            </w:pPr>
            <w:r w:rsidRPr="00B26573">
              <w:rPr>
                <w:i/>
                <w:sz w:val="20"/>
              </w:rPr>
              <w:t>180</w:t>
            </w:r>
          </w:p>
          <w:p w14:paraId="3D5E3369" w14:textId="77777777" w:rsidR="0050605D" w:rsidRPr="00B26573" w:rsidRDefault="0050605D" w:rsidP="0050605D">
            <w:pPr>
              <w:jc w:val="right"/>
              <w:rPr>
                <w:i/>
                <w:sz w:val="20"/>
              </w:rPr>
            </w:pPr>
            <w:r w:rsidRPr="00B26573">
              <w:rPr>
                <w:i/>
                <w:sz w:val="20"/>
              </w:rPr>
              <w:t>1 020</w:t>
            </w:r>
          </w:p>
          <w:p w14:paraId="61E7297F" w14:textId="77777777" w:rsidR="0050605D" w:rsidRPr="00B26573" w:rsidRDefault="0050605D" w:rsidP="0050605D">
            <w:pPr>
              <w:jc w:val="right"/>
              <w:rPr>
                <w:i/>
                <w:sz w:val="20"/>
              </w:rPr>
            </w:pPr>
            <w:r w:rsidRPr="00B26573">
              <w:rPr>
                <w:i/>
                <w:sz w:val="20"/>
              </w:rPr>
              <w:t>397</w:t>
            </w:r>
          </w:p>
          <w:p w14:paraId="7C2FCB9E" w14:textId="77777777" w:rsidR="0050605D" w:rsidRPr="00B26573" w:rsidRDefault="0050605D" w:rsidP="0050605D">
            <w:pPr>
              <w:jc w:val="right"/>
              <w:rPr>
                <w:i/>
                <w:sz w:val="20"/>
              </w:rPr>
            </w:pPr>
            <w:r w:rsidRPr="00B26573">
              <w:rPr>
                <w:i/>
                <w:sz w:val="20"/>
              </w:rPr>
              <w:t>0</w:t>
            </w:r>
          </w:p>
          <w:p w14:paraId="1B0A4B25" w14:textId="50A36E79" w:rsidR="0050605D" w:rsidRPr="00B26573" w:rsidRDefault="0050605D" w:rsidP="0050605D">
            <w:pPr>
              <w:jc w:val="right"/>
              <w:rPr>
                <w:i/>
                <w:sz w:val="20"/>
              </w:rPr>
            </w:pPr>
            <w:r w:rsidRPr="00B26573">
              <w:rPr>
                <w:i/>
                <w:sz w:val="20"/>
              </w:rPr>
              <w:t>397</w:t>
            </w:r>
          </w:p>
        </w:tc>
        <w:tc>
          <w:tcPr>
            <w:tcW w:w="667" w:type="pct"/>
            <w:tcBorders>
              <w:top w:val="nil"/>
              <w:bottom w:val="single" w:sz="8" w:space="0" w:color="7F7F7F" w:themeColor="text1" w:themeTint="80"/>
            </w:tcBorders>
            <w:shd w:val="clear" w:color="auto" w:fill="auto"/>
          </w:tcPr>
          <w:p w14:paraId="1B18DB0F" w14:textId="77777777" w:rsidR="0050605D" w:rsidRPr="00B26573" w:rsidRDefault="0050605D" w:rsidP="0050605D">
            <w:pPr>
              <w:jc w:val="right"/>
              <w:rPr>
                <w:i/>
                <w:sz w:val="20"/>
              </w:rPr>
            </w:pPr>
            <w:r w:rsidRPr="00B26573">
              <w:rPr>
                <w:i/>
                <w:sz w:val="20"/>
              </w:rPr>
              <w:t>75</w:t>
            </w:r>
          </w:p>
          <w:p w14:paraId="23987FAE" w14:textId="77777777" w:rsidR="0050605D" w:rsidRPr="00B26573" w:rsidRDefault="0050605D" w:rsidP="0050605D">
            <w:pPr>
              <w:jc w:val="right"/>
              <w:rPr>
                <w:i/>
                <w:sz w:val="20"/>
              </w:rPr>
            </w:pPr>
            <w:r w:rsidRPr="00B26573">
              <w:rPr>
                <w:i/>
                <w:sz w:val="20"/>
              </w:rPr>
              <w:t>0</w:t>
            </w:r>
          </w:p>
          <w:p w14:paraId="2C66F6A7" w14:textId="77777777" w:rsidR="0050605D" w:rsidRPr="00B26573" w:rsidRDefault="0050605D" w:rsidP="0050605D">
            <w:pPr>
              <w:jc w:val="right"/>
              <w:rPr>
                <w:i/>
                <w:sz w:val="20"/>
              </w:rPr>
            </w:pPr>
            <w:r w:rsidRPr="00B26573">
              <w:rPr>
                <w:i/>
                <w:sz w:val="20"/>
              </w:rPr>
              <w:t>75</w:t>
            </w:r>
          </w:p>
          <w:p w14:paraId="0511203D" w14:textId="77777777" w:rsidR="0050605D" w:rsidRPr="00B26573" w:rsidRDefault="0050605D" w:rsidP="0050605D">
            <w:pPr>
              <w:jc w:val="right"/>
              <w:rPr>
                <w:i/>
                <w:sz w:val="20"/>
              </w:rPr>
            </w:pPr>
            <w:r w:rsidRPr="00B26573">
              <w:rPr>
                <w:i/>
                <w:sz w:val="20"/>
              </w:rPr>
              <w:t>6 502</w:t>
            </w:r>
          </w:p>
          <w:p w14:paraId="7D0E8725" w14:textId="77777777" w:rsidR="0050605D" w:rsidRPr="00B26573" w:rsidRDefault="0050605D" w:rsidP="0050605D">
            <w:pPr>
              <w:jc w:val="right"/>
              <w:rPr>
                <w:i/>
                <w:sz w:val="20"/>
              </w:rPr>
            </w:pPr>
            <w:r w:rsidRPr="00B26573">
              <w:rPr>
                <w:i/>
                <w:sz w:val="20"/>
              </w:rPr>
              <w:t>2 751</w:t>
            </w:r>
          </w:p>
          <w:p w14:paraId="31637F1E" w14:textId="77777777" w:rsidR="0050605D" w:rsidRPr="00B26573" w:rsidRDefault="0050605D" w:rsidP="0050605D">
            <w:pPr>
              <w:jc w:val="right"/>
              <w:rPr>
                <w:i/>
                <w:sz w:val="20"/>
              </w:rPr>
            </w:pPr>
            <w:r w:rsidRPr="00B26573">
              <w:rPr>
                <w:i/>
                <w:sz w:val="20"/>
              </w:rPr>
              <w:t>3 751</w:t>
            </w:r>
          </w:p>
          <w:p w14:paraId="5110724C" w14:textId="77777777" w:rsidR="0050605D" w:rsidRPr="00B26573" w:rsidRDefault="0050605D" w:rsidP="0050605D">
            <w:pPr>
              <w:jc w:val="right"/>
              <w:rPr>
                <w:i/>
                <w:sz w:val="20"/>
              </w:rPr>
            </w:pPr>
            <w:r w:rsidRPr="00B26573">
              <w:rPr>
                <w:i/>
                <w:sz w:val="20"/>
              </w:rPr>
              <w:t>1 200</w:t>
            </w:r>
          </w:p>
          <w:p w14:paraId="7EFDA3A0" w14:textId="77777777" w:rsidR="0050605D" w:rsidRPr="00B26573" w:rsidRDefault="0050605D" w:rsidP="0050605D">
            <w:pPr>
              <w:jc w:val="right"/>
              <w:rPr>
                <w:i/>
                <w:sz w:val="20"/>
              </w:rPr>
            </w:pPr>
            <w:r w:rsidRPr="00B26573">
              <w:rPr>
                <w:i/>
                <w:sz w:val="20"/>
              </w:rPr>
              <w:t>180</w:t>
            </w:r>
          </w:p>
          <w:p w14:paraId="637B1F0B" w14:textId="77777777" w:rsidR="0050605D" w:rsidRPr="00B26573" w:rsidRDefault="0050605D" w:rsidP="0050605D">
            <w:pPr>
              <w:jc w:val="right"/>
              <w:rPr>
                <w:i/>
                <w:sz w:val="20"/>
              </w:rPr>
            </w:pPr>
            <w:r w:rsidRPr="00B26573">
              <w:rPr>
                <w:i/>
                <w:sz w:val="20"/>
              </w:rPr>
              <w:t>1 020</w:t>
            </w:r>
          </w:p>
          <w:p w14:paraId="0562D4D2" w14:textId="77777777" w:rsidR="0050605D" w:rsidRPr="00B26573" w:rsidRDefault="0050605D" w:rsidP="0050605D">
            <w:pPr>
              <w:jc w:val="right"/>
              <w:rPr>
                <w:i/>
                <w:sz w:val="20"/>
              </w:rPr>
            </w:pPr>
            <w:r w:rsidRPr="00B26573">
              <w:rPr>
                <w:i/>
                <w:sz w:val="20"/>
              </w:rPr>
              <w:t>363</w:t>
            </w:r>
          </w:p>
          <w:p w14:paraId="3B8B3E60" w14:textId="77777777" w:rsidR="0050605D" w:rsidRPr="00B26573" w:rsidRDefault="0050605D" w:rsidP="0050605D">
            <w:pPr>
              <w:jc w:val="right"/>
              <w:rPr>
                <w:i/>
                <w:sz w:val="20"/>
              </w:rPr>
            </w:pPr>
            <w:r w:rsidRPr="00B26573">
              <w:rPr>
                <w:i/>
                <w:sz w:val="20"/>
              </w:rPr>
              <w:t>0</w:t>
            </w:r>
          </w:p>
          <w:p w14:paraId="2CCCCCA8" w14:textId="67E4CAA8" w:rsidR="0050605D" w:rsidRPr="00B26573" w:rsidRDefault="0050605D" w:rsidP="0050605D">
            <w:pPr>
              <w:jc w:val="right"/>
              <w:rPr>
                <w:i/>
                <w:sz w:val="20"/>
              </w:rPr>
            </w:pPr>
            <w:r w:rsidRPr="00B26573">
              <w:rPr>
                <w:i/>
                <w:sz w:val="20"/>
              </w:rPr>
              <w:t>363</w:t>
            </w:r>
          </w:p>
        </w:tc>
        <w:tc>
          <w:tcPr>
            <w:tcW w:w="501" w:type="pct"/>
            <w:tcBorders>
              <w:top w:val="nil"/>
              <w:bottom w:val="single" w:sz="8" w:space="0" w:color="7F7F7F" w:themeColor="text1" w:themeTint="80"/>
            </w:tcBorders>
            <w:shd w:val="clear" w:color="auto" w:fill="auto"/>
          </w:tcPr>
          <w:p w14:paraId="4EE361F8" w14:textId="77777777" w:rsidR="0050605D" w:rsidRPr="00B26573" w:rsidRDefault="0050605D" w:rsidP="0050605D">
            <w:pPr>
              <w:jc w:val="right"/>
              <w:rPr>
                <w:i/>
                <w:sz w:val="20"/>
              </w:rPr>
            </w:pPr>
            <w:r w:rsidRPr="00B26573">
              <w:rPr>
                <w:i/>
                <w:sz w:val="20"/>
              </w:rPr>
              <w:t>125,00</w:t>
            </w:r>
          </w:p>
          <w:p w14:paraId="043236AC" w14:textId="76DD2603" w:rsidR="0050605D" w:rsidRPr="00B26573" w:rsidRDefault="000506D1" w:rsidP="0050605D">
            <w:pPr>
              <w:jc w:val="right"/>
              <w:rPr>
                <w:i/>
                <w:sz w:val="20"/>
              </w:rPr>
            </w:pPr>
            <w:r>
              <w:rPr>
                <w:i/>
                <w:sz w:val="20"/>
              </w:rPr>
              <w:t>x</w:t>
            </w:r>
          </w:p>
          <w:p w14:paraId="15681437" w14:textId="77777777" w:rsidR="0050605D" w:rsidRPr="00B26573" w:rsidRDefault="0050605D" w:rsidP="0050605D">
            <w:pPr>
              <w:jc w:val="right"/>
              <w:rPr>
                <w:i/>
                <w:sz w:val="20"/>
              </w:rPr>
            </w:pPr>
            <w:r w:rsidRPr="00B26573">
              <w:rPr>
                <w:i/>
                <w:sz w:val="20"/>
              </w:rPr>
              <w:t>125,00</w:t>
            </w:r>
          </w:p>
          <w:p w14:paraId="54DC5081" w14:textId="77777777" w:rsidR="0050605D" w:rsidRPr="00B26573" w:rsidRDefault="0050605D" w:rsidP="0050605D">
            <w:pPr>
              <w:jc w:val="right"/>
              <w:rPr>
                <w:i/>
                <w:sz w:val="20"/>
              </w:rPr>
            </w:pPr>
            <w:r w:rsidRPr="00B26573">
              <w:rPr>
                <w:i/>
                <w:sz w:val="20"/>
              </w:rPr>
              <w:t>88,95</w:t>
            </w:r>
          </w:p>
          <w:p w14:paraId="23094C7E" w14:textId="77777777" w:rsidR="0050605D" w:rsidRPr="00B26573" w:rsidRDefault="0050605D" w:rsidP="0050605D">
            <w:pPr>
              <w:rPr>
                <w:i/>
                <w:sz w:val="20"/>
              </w:rPr>
            </w:pPr>
            <w:r w:rsidRPr="00B26573">
              <w:rPr>
                <w:i/>
                <w:sz w:val="20"/>
              </w:rPr>
              <w:t>1 774,84</w:t>
            </w:r>
          </w:p>
          <w:p w14:paraId="36C83944" w14:textId="77777777" w:rsidR="0050605D" w:rsidRPr="00B26573" w:rsidRDefault="0050605D" w:rsidP="0050605D">
            <w:pPr>
              <w:jc w:val="right"/>
              <w:rPr>
                <w:i/>
                <w:sz w:val="20"/>
              </w:rPr>
            </w:pPr>
            <w:r w:rsidRPr="00B26573">
              <w:rPr>
                <w:i/>
                <w:sz w:val="20"/>
              </w:rPr>
              <w:t>52,42</w:t>
            </w:r>
          </w:p>
          <w:p w14:paraId="3A49C816" w14:textId="77777777" w:rsidR="0050605D" w:rsidRPr="00B26573" w:rsidRDefault="0050605D" w:rsidP="0050605D">
            <w:pPr>
              <w:jc w:val="right"/>
              <w:rPr>
                <w:i/>
                <w:sz w:val="20"/>
              </w:rPr>
            </w:pPr>
            <w:r w:rsidRPr="00B26573">
              <w:rPr>
                <w:i/>
                <w:sz w:val="20"/>
              </w:rPr>
              <w:t>100,00</w:t>
            </w:r>
          </w:p>
          <w:p w14:paraId="3B8DBA6D" w14:textId="77777777" w:rsidR="0050605D" w:rsidRPr="00B26573" w:rsidRDefault="0050605D" w:rsidP="0050605D">
            <w:pPr>
              <w:jc w:val="right"/>
              <w:rPr>
                <w:i/>
                <w:sz w:val="20"/>
              </w:rPr>
            </w:pPr>
            <w:r w:rsidRPr="00B26573">
              <w:rPr>
                <w:i/>
                <w:sz w:val="20"/>
              </w:rPr>
              <w:t>100,00</w:t>
            </w:r>
          </w:p>
          <w:p w14:paraId="4735B78C" w14:textId="77777777" w:rsidR="0050605D" w:rsidRPr="00B26573" w:rsidRDefault="0050605D" w:rsidP="0050605D">
            <w:pPr>
              <w:jc w:val="right"/>
              <w:rPr>
                <w:i/>
                <w:sz w:val="20"/>
              </w:rPr>
            </w:pPr>
            <w:r w:rsidRPr="00B26573">
              <w:rPr>
                <w:i/>
                <w:sz w:val="20"/>
              </w:rPr>
              <w:t>100,00</w:t>
            </w:r>
          </w:p>
          <w:p w14:paraId="72CF486D" w14:textId="77777777" w:rsidR="0050605D" w:rsidRPr="00B26573" w:rsidRDefault="0050605D" w:rsidP="0050605D">
            <w:pPr>
              <w:jc w:val="right"/>
              <w:rPr>
                <w:i/>
                <w:sz w:val="20"/>
              </w:rPr>
            </w:pPr>
            <w:r w:rsidRPr="00B26573">
              <w:rPr>
                <w:i/>
                <w:sz w:val="20"/>
              </w:rPr>
              <w:t>91,44</w:t>
            </w:r>
          </w:p>
          <w:p w14:paraId="151A843F" w14:textId="34569C8F" w:rsidR="0050605D" w:rsidRPr="00B26573" w:rsidRDefault="000506D1" w:rsidP="0050605D">
            <w:pPr>
              <w:jc w:val="right"/>
              <w:rPr>
                <w:i/>
                <w:sz w:val="20"/>
              </w:rPr>
            </w:pPr>
            <w:r>
              <w:rPr>
                <w:i/>
                <w:sz w:val="20"/>
              </w:rPr>
              <w:t>x</w:t>
            </w:r>
          </w:p>
          <w:p w14:paraId="3006F693" w14:textId="35502819" w:rsidR="0050605D" w:rsidRPr="00B26573" w:rsidRDefault="0050605D" w:rsidP="0050605D">
            <w:pPr>
              <w:jc w:val="right"/>
              <w:rPr>
                <w:i/>
                <w:sz w:val="20"/>
              </w:rPr>
            </w:pPr>
            <w:r w:rsidRPr="00B26573">
              <w:rPr>
                <w:i/>
                <w:sz w:val="20"/>
              </w:rPr>
              <w:t>91,44</w:t>
            </w:r>
          </w:p>
        </w:tc>
      </w:tr>
    </w:tbl>
    <w:p w14:paraId="03D79C5E" w14:textId="77777777" w:rsidR="00B26573" w:rsidRPr="00B26573" w:rsidRDefault="00B26573" w:rsidP="00B26573">
      <w:pPr>
        <w:pStyle w:val="Styl1"/>
      </w:pPr>
      <w:r w:rsidRPr="00B26573">
        <w:t xml:space="preserve">Navrhovaný objem běžných výdajů na rok 2025 ve výši 6 951 033 tis. Kč tvoří výdaje na platy zaměstnanců a ostatní platby za provedenou práci a s tím související povinné platby (pojistné </w:t>
      </w:r>
      <w:r w:rsidRPr="00B26573">
        <w:br/>
        <w:t>a příděl FKSP) ve výši 456 783 tis. Kč a ostatní neinvestiční výdaje ve výši 6 494 250 tis. Kč.</w:t>
      </w:r>
    </w:p>
    <w:p w14:paraId="01967FF8" w14:textId="77777777" w:rsidR="00B26573" w:rsidRPr="00B26573" w:rsidRDefault="00B26573" w:rsidP="00B26573">
      <w:r w:rsidRPr="00B26573">
        <w:t>Počet zaměstnanců pro rok 2025 je stanoven ve výši 459 zaměstnanců (v tom: 69 zaměstnanců v pracovním poměru a 390 státních zaměstnanců).</w:t>
      </w:r>
    </w:p>
    <w:p w14:paraId="7E231C68" w14:textId="77777777" w:rsidR="00B26573" w:rsidRPr="00B26573" w:rsidRDefault="00B26573" w:rsidP="00B26573">
      <w:pPr>
        <w:pStyle w:val="Styl1"/>
      </w:pPr>
      <w:r w:rsidRPr="00B26573">
        <w:t xml:space="preserve">Na navrhovaném objemu ostatních neinvestičních výdajů ve výši 6 494 250 na rok 2025 se nejvíce podílí výdaje na kompenzaci ztráty vznikající dopravcům ve veřejné osobní dopravě přiznáváním státem nařízených slev ve výši 5 550 000 tis. Kč. Dále mezi významné výdaje patří financování činností dopravně správních agend, které jsou na rok 2025 rozpočtovány ve výši 246 100 tis. Kč. </w:t>
      </w:r>
    </w:p>
    <w:p w14:paraId="2405CF35" w14:textId="77777777" w:rsidR="00B26573" w:rsidRPr="00B26573" w:rsidRDefault="00B26573" w:rsidP="00B26573">
      <w:pPr>
        <w:pStyle w:val="Styl1"/>
      </w:pPr>
      <w:r w:rsidRPr="00B26573">
        <w:t>Prostředky ke krytí úkolů krizového řízení jsou v návrhu rozpočtu na rok 2025 rozpočtovány ve výši 7 684 tis. Kč. Na prevenci v oblasti bezpečnosti silničního provozu (BESIP) jsou zajištěny prostředky ve výši 45 938 tis. Kč. Výdaje na obranu státu jsou rozpočtovány ve výši 45 000 tis. Kč.</w:t>
      </w:r>
    </w:p>
    <w:p w14:paraId="0DEADD6D" w14:textId="77777777" w:rsidR="00B26573" w:rsidRPr="00B26573" w:rsidRDefault="00B26573" w:rsidP="00B26573">
      <w:pPr>
        <w:pStyle w:val="Styl1"/>
      </w:pPr>
      <w:r w:rsidRPr="00B26573">
        <w:t>Podíl státního rozpočtu na programech spolufinancovaných z rozpočtu EU (včetně prostředků na platy a příslušenství) je rozpočtován ve výši 15 546 tis. Kč (v tom: Komunitární programy – Nástroj pro propojení Evropy (CEF) 2021 +   ve výši 2 925 tis. Kč a technická pomoc OP Doprava CF 2021 + ve výši 12 622 tis. Kč).  Podíl prostředků z rozpočtu EU je rozpočtován ve výši 91 950 tis. Kč (v tom: Komunitární programy – Horizont Evropa 2021+ ve výši 327 tis. Kč, Nástroj pro propojení Evropy (CEF) 2021 +   ve výši 10 519 tis. Kč, technická pomoc OP Doprava CF 2021 + ve výši 71 522 tis. Kč, NPO Systémová podpora veřejných investic ve výši 7 717 tis. Kč a Kosmický program Unie ve výši 1 865 tis. Kč).</w:t>
      </w:r>
    </w:p>
    <w:p w14:paraId="3232454B" w14:textId="55B7B8B6" w:rsidR="001B037B" w:rsidRPr="00B26573" w:rsidRDefault="00B26573" w:rsidP="00B26573">
      <w:pPr>
        <w:pStyle w:val="Styl1"/>
      </w:pPr>
      <w:r w:rsidRPr="00B26573">
        <w:t xml:space="preserve">Stejně jako v minulých letech, tak i v roce 2025 budou vzdělávací aktivity týkající </w:t>
      </w:r>
      <w:r w:rsidRPr="00B26573">
        <w:br/>
        <w:t>se prosazování rovnosti mužů a žen zabezpečovány prostřednictvím Institutu státní správy a ostatní genderové výdaje budou zahrnuty v rámci ostatních běžných výdajů ústředního orgánu Ministerstva dopravy</w:t>
      </w:r>
      <w:r w:rsidR="00B06722" w:rsidRPr="00B26573">
        <w:t>.</w:t>
      </w:r>
      <w:r w:rsidR="001B037B" w:rsidRPr="00B26573">
        <w:t xml:space="preserve"> </w:t>
      </w:r>
    </w:p>
    <w:p w14:paraId="4D9927EF" w14:textId="77777777" w:rsidR="00BD28A7" w:rsidRPr="00A378E6" w:rsidRDefault="00BD28A7" w:rsidP="00A66629">
      <w:pPr>
        <w:pStyle w:val="Nadpis9"/>
      </w:pPr>
      <w:r w:rsidRPr="00A378E6">
        <w:lastRenderedPageBreak/>
        <w:t xml:space="preserve">Úřad pro civilní letectví </w:t>
      </w:r>
    </w:p>
    <w:p w14:paraId="605233B6" w14:textId="77777777" w:rsidR="00533ADB" w:rsidRPr="00A378E6" w:rsidRDefault="00533ADB" w:rsidP="00C867CF">
      <w:pPr>
        <w:pStyle w:val="Styl1"/>
      </w:pPr>
      <w:r w:rsidRPr="00A378E6">
        <w:t xml:space="preserve">Úřad pro civilní letectví byl zřízen zákonem č. 49/1997 Sb., o civilním letectví, ve znění pozdějších předpisů, jako správní úřad pro výkon státní správy ve věcech civilního letectví a je podřízen Ministerstvu dopravy. </w:t>
      </w:r>
    </w:p>
    <w:p w14:paraId="4DDCF0A7" w14:textId="77777777" w:rsidR="00533ADB" w:rsidRDefault="00533ADB" w:rsidP="00C867CF">
      <w:pPr>
        <w:pStyle w:val="Styl1"/>
      </w:pPr>
      <w:r w:rsidRPr="00A378E6">
        <w:t xml:space="preserve">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správa registru provozovatelů bezpilotních systémů, udělování oprávnění, omezování a odnímání oprávnění provozovatelům bezpilotních systémů, vydávání povolení </w:t>
      </w:r>
      <w:r w:rsidRPr="00A378E6">
        <w:br/>
        <w:t>k provozování letiště a rozhodování o jeho zrušení, vedení evidence letišť, výkon funkce speciálního stavebního úřadu pro letecké stavby a vydávání osvědčení leteckého dopravce. </w:t>
      </w:r>
    </w:p>
    <w:p w14:paraId="4F8A705E" w14:textId="41662707" w:rsidR="00535DE4" w:rsidRPr="001F3150" w:rsidRDefault="00535DE4" w:rsidP="00535DE4">
      <w:pPr>
        <w:pStyle w:val="Titulek"/>
      </w:pPr>
      <w:r w:rsidRPr="001F3150">
        <w:t xml:space="preserve">Tabulka č. </w:t>
      </w:r>
      <w:r w:rsidRPr="001F3150">
        <w:rPr>
          <w:noProof/>
        </w:rPr>
        <w:fldChar w:fldCharType="begin"/>
      </w:r>
      <w:r w:rsidRPr="001F3150">
        <w:rPr>
          <w:noProof/>
        </w:rPr>
        <w:instrText xml:space="preserve"> SEQ Tabulka \* ARABIC </w:instrText>
      </w:r>
      <w:r w:rsidRPr="001F3150">
        <w:rPr>
          <w:noProof/>
        </w:rPr>
        <w:fldChar w:fldCharType="separate"/>
      </w:r>
      <w:r w:rsidR="003B0B01" w:rsidRPr="001F3150">
        <w:rPr>
          <w:noProof/>
        </w:rPr>
        <w:t>14</w:t>
      </w:r>
      <w:r w:rsidRPr="001F3150">
        <w:rPr>
          <w:noProof/>
        </w:rPr>
        <w:fldChar w:fldCharType="end"/>
      </w:r>
      <w:r w:rsidRPr="001F3150">
        <w:t xml:space="preserve"> Úřad pro civilní letectví – běžné výdaje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AA1D3E" w:rsidRPr="001F3150" w14:paraId="7F22734D" w14:textId="77777777" w:rsidTr="00776B6E">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0593A1" w14:textId="77777777" w:rsidR="00535DE4" w:rsidRPr="001F3150" w:rsidRDefault="00535DE4" w:rsidP="00776B6E">
            <w:pPr>
              <w:jc w:val="center"/>
              <w:rPr>
                <w:rFonts w:eastAsia="Times New Roman" w:cs="Times New Roman"/>
                <w:b/>
                <w:lang w:eastAsia="cs-CZ"/>
              </w:rPr>
            </w:pPr>
            <w:r w:rsidRPr="001F3150">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FD33EC" w14:textId="77777777" w:rsidR="00535DE4" w:rsidRPr="001F3150" w:rsidRDefault="00535DE4" w:rsidP="00776B6E">
            <w:pPr>
              <w:jc w:val="center"/>
              <w:rPr>
                <w:rFonts w:eastAsia="Times New Roman" w:cs="Times New Roman"/>
                <w:b/>
                <w:lang w:eastAsia="cs-CZ"/>
              </w:rPr>
            </w:pPr>
            <w:r w:rsidRPr="001F3150">
              <w:rPr>
                <w:rFonts w:eastAsia="Times New Roman" w:cs="Times New Roman"/>
                <w:b/>
                <w:lang w:eastAsia="cs-CZ"/>
              </w:rPr>
              <w:t>Skutečnost</w:t>
            </w:r>
          </w:p>
          <w:p w14:paraId="71BDB38E" w14:textId="48221A9B" w:rsidR="00535DE4" w:rsidRPr="001F3150" w:rsidRDefault="002C6533" w:rsidP="00776B6E">
            <w:pPr>
              <w:jc w:val="center"/>
              <w:rPr>
                <w:rFonts w:eastAsia="Times New Roman" w:cs="Times New Roman"/>
                <w:b/>
                <w:lang w:eastAsia="cs-CZ"/>
              </w:rPr>
            </w:pPr>
            <w:r w:rsidRPr="001F3150">
              <w:rPr>
                <w:rFonts w:eastAsia="Times New Roman" w:cs="Times New Roman"/>
                <w:b/>
                <w:lang w:eastAsia="cs-CZ"/>
              </w:rPr>
              <w:t>202</w:t>
            </w:r>
            <w:r w:rsidR="001F3150" w:rsidRPr="001F3150">
              <w:rPr>
                <w:rFonts w:eastAsia="Times New Roman" w:cs="Times New Roman"/>
                <w:b/>
                <w:lang w:eastAsia="cs-CZ"/>
              </w:rPr>
              <w:t>3</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9E5217" w14:textId="77777777" w:rsidR="00535DE4" w:rsidRPr="001F3150" w:rsidRDefault="00535DE4" w:rsidP="00776B6E">
            <w:pPr>
              <w:jc w:val="center"/>
              <w:rPr>
                <w:rFonts w:eastAsia="Times New Roman" w:cs="Times New Roman"/>
                <w:b/>
                <w:lang w:eastAsia="cs-CZ"/>
              </w:rPr>
            </w:pPr>
            <w:r w:rsidRPr="001F3150">
              <w:rPr>
                <w:rFonts w:eastAsia="Times New Roman" w:cs="Times New Roman"/>
                <w:b/>
                <w:lang w:eastAsia="cs-CZ"/>
              </w:rPr>
              <w:t>Schválený</w:t>
            </w:r>
          </w:p>
          <w:p w14:paraId="75BFE770" w14:textId="77777777" w:rsidR="00535DE4" w:rsidRPr="001F3150" w:rsidRDefault="00535DE4" w:rsidP="00776B6E">
            <w:pPr>
              <w:jc w:val="center"/>
              <w:rPr>
                <w:rFonts w:eastAsia="Times New Roman" w:cs="Times New Roman"/>
                <w:b/>
                <w:lang w:eastAsia="cs-CZ"/>
              </w:rPr>
            </w:pPr>
            <w:r w:rsidRPr="001F3150">
              <w:rPr>
                <w:rFonts w:eastAsia="Times New Roman" w:cs="Times New Roman"/>
                <w:b/>
                <w:lang w:eastAsia="cs-CZ"/>
              </w:rPr>
              <w:t>rozpočet</w:t>
            </w:r>
          </w:p>
          <w:p w14:paraId="5E1E9E89" w14:textId="069D02CF" w:rsidR="00535DE4" w:rsidRPr="001F3150" w:rsidRDefault="002C6533" w:rsidP="00776B6E">
            <w:pPr>
              <w:jc w:val="center"/>
              <w:rPr>
                <w:rFonts w:eastAsia="Times New Roman" w:cs="Times New Roman"/>
                <w:b/>
                <w:lang w:eastAsia="cs-CZ"/>
              </w:rPr>
            </w:pPr>
            <w:r w:rsidRPr="001F3150">
              <w:rPr>
                <w:rFonts w:eastAsia="Times New Roman" w:cs="Times New Roman"/>
                <w:b/>
                <w:lang w:eastAsia="cs-CZ"/>
              </w:rPr>
              <w:t>202</w:t>
            </w:r>
            <w:r w:rsidR="001F3150" w:rsidRPr="001F3150">
              <w:rPr>
                <w:rFonts w:eastAsia="Times New Roman" w:cs="Times New Roman"/>
                <w:b/>
                <w:lang w:eastAsia="cs-CZ"/>
              </w:rPr>
              <w:t>4</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B4C882" w14:textId="77777777" w:rsidR="00535DE4" w:rsidRPr="001F3150" w:rsidRDefault="00535DE4" w:rsidP="00776B6E">
            <w:pPr>
              <w:jc w:val="center"/>
              <w:rPr>
                <w:rFonts w:eastAsia="Times New Roman" w:cs="Times New Roman"/>
                <w:b/>
                <w:lang w:eastAsia="cs-CZ"/>
              </w:rPr>
            </w:pPr>
            <w:r w:rsidRPr="001F3150">
              <w:rPr>
                <w:rFonts w:eastAsia="Times New Roman" w:cs="Times New Roman"/>
                <w:b/>
                <w:lang w:eastAsia="cs-CZ"/>
              </w:rPr>
              <w:t>Návrh</w:t>
            </w:r>
          </w:p>
          <w:p w14:paraId="4D7CFBCB" w14:textId="77777777" w:rsidR="00535DE4" w:rsidRPr="001F3150" w:rsidRDefault="00535DE4" w:rsidP="00776B6E">
            <w:pPr>
              <w:jc w:val="center"/>
              <w:rPr>
                <w:rFonts w:eastAsia="Times New Roman" w:cs="Times New Roman"/>
                <w:b/>
                <w:lang w:eastAsia="cs-CZ"/>
              </w:rPr>
            </w:pPr>
            <w:r w:rsidRPr="001F3150">
              <w:rPr>
                <w:rFonts w:eastAsia="Times New Roman" w:cs="Times New Roman"/>
                <w:b/>
                <w:lang w:eastAsia="cs-CZ"/>
              </w:rPr>
              <w:t>rozpočtu</w:t>
            </w:r>
          </w:p>
          <w:p w14:paraId="4ED4690C" w14:textId="6B7CF4F4" w:rsidR="00535DE4" w:rsidRPr="001F3150" w:rsidRDefault="002C6533" w:rsidP="00776B6E">
            <w:pPr>
              <w:jc w:val="center"/>
              <w:rPr>
                <w:rFonts w:eastAsia="Times New Roman" w:cs="Times New Roman"/>
                <w:b/>
                <w:lang w:eastAsia="cs-CZ"/>
              </w:rPr>
            </w:pPr>
            <w:r w:rsidRPr="001F3150">
              <w:rPr>
                <w:rFonts w:eastAsia="Times New Roman" w:cs="Times New Roman"/>
                <w:b/>
                <w:lang w:eastAsia="cs-CZ"/>
              </w:rPr>
              <w:t>202</w:t>
            </w:r>
            <w:r w:rsidR="001F3150" w:rsidRPr="001F3150">
              <w:rPr>
                <w:rFonts w:eastAsia="Times New Roman" w:cs="Times New Roman"/>
                <w:b/>
                <w:lang w:eastAsia="cs-CZ"/>
              </w:rPr>
              <w:t>5</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45CEC415" w14:textId="77777777" w:rsidR="00535DE4" w:rsidRPr="001F3150" w:rsidRDefault="00535DE4" w:rsidP="00776B6E">
            <w:pPr>
              <w:jc w:val="center"/>
              <w:rPr>
                <w:rFonts w:eastAsia="Times New Roman" w:cs="Times New Roman"/>
                <w:b/>
                <w:lang w:eastAsia="cs-CZ"/>
              </w:rPr>
            </w:pPr>
            <w:r w:rsidRPr="001F3150">
              <w:rPr>
                <w:rFonts w:eastAsia="Times New Roman" w:cs="Times New Roman"/>
                <w:b/>
                <w:lang w:eastAsia="cs-CZ"/>
              </w:rPr>
              <w:t>Index</w:t>
            </w:r>
          </w:p>
          <w:p w14:paraId="2845217D" w14:textId="06EDF2C6" w:rsidR="00535DE4" w:rsidRPr="001F3150" w:rsidRDefault="002C6533" w:rsidP="00776B6E">
            <w:pPr>
              <w:jc w:val="center"/>
              <w:rPr>
                <w:rFonts w:eastAsia="Times New Roman" w:cs="Times New Roman"/>
                <w:b/>
                <w:lang w:eastAsia="cs-CZ"/>
              </w:rPr>
            </w:pPr>
            <w:r w:rsidRPr="001F3150">
              <w:rPr>
                <w:rFonts w:eastAsia="Times New Roman" w:cs="Times New Roman"/>
                <w:b/>
                <w:lang w:eastAsia="cs-CZ"/>
              </w:rPr>
              <w:t>202</w:t>
            </w:r>
            <w:r w:rsidR="001F3150" w:rsidRPr="001F3150">
              <w:rPr>
                <w:rFonts w:eastAsia="Times New Roman" w:cs="Times New Roman"/>
                <w:b/>
                <w:lang w:eastAsia="cs-CZ"/>
              </w:rPr>
              <w:t>5</w:t>
            </w:r>
            <w:r w:rsidR="00535DE4" w:rsidRPr="001F3150">
              <w:rPr>
                <w:rFonts w:eastAsia="Times New Roman" w:cs="Times New Roman"/>
                <w:b/>
                <w:lang w:eastAsia="cs-CZ"/>
              </w:rPr>
              <w:t xml:space="preserve">/ </w:t>
            </w:r>
            <w:r w:rsidRPr="001F3150">
              <w:rPr>
                <w:rFonts w:eastAsia="Times New Roman" w:cs="Times New Roman"/>
                <w:b/>
                <w:lang w:eastAsia="cs-CZ"/>
              </w:rPr>
              <w:t>202</w:t>
            </w:r>
            <w:r w:rsidR="001F3150" w:rsidRPr="001F3150">
              <w:rPr>
                <w:rFonts w:eastAsia="Times New Roman" w:cs="Times New Roman"/>
                <w:b/>
                <w:lang w:eastAsia="cs-CZ"/>
              </w:rPr>
              <w:t>4</w:t>
            </w:r>
            <w:r w:rsidR="009D7D7A" w:rsidRPr="001F3150">
              <w:rPr>
                <w:rFonts w:eastAsia="Times New Roman" w:cs="Times New Roman"/>
                <w:b/>
                <w:lang w:eastAsia="cs-CZ"/>
              </w:rPr>
              <w:t xml:space="preserve"> </w:t>
            </w:r>
            <w:r w:rsidR="00535DE4" w:rsidRPr="001F3150">
              <w:rPr>
                <w:rFonts w:eastAsia="Times New Roman" w:cs="Times New Roman"/>
                <w:b/>
                <w:lang w:eastAsia="cs-CZ"/>
              </w:rPr>
              <w:t>(v %)</w:t>
            </w:r>
          </w:p>
        </w:tc>
      </w:tr>
      <w:tr w:rsidR="00AA1D3E" w:rsidRPr="001F3150" w14:paraId="1E6E283A" w14:textId="77777777" w:rsidTr="00776B6E">
        <w:trPr>
          <w:trHeight w:val="248"/>
        </w:trPr>
        <w:tc>
          <w:tcPr>
            <w:tcW w:w="2377" w:type="pct"/>
            <w:tcBorders>
              <w:top w:val="single" w:sz="4" w:space="0" w:color="7F7F7F" w:themeColor="text1" w:themeTint="80"/>
              <w:bottom w:val="single" w:sz="8" w:space="0" w:color="7F7F7F" w:themeColor="text1" w:themeTint="80"/>
            </w:tcBorders>
            <w:shd w:val="clear" w:color="auto" w:fill="auto"/>
          </w:tcPr>
          <w:p w14:paraId="67AE4855" w14:textId="77777777" w:rsidR="00535DE4" w:rsidRPr="001F3150" w:rsidRDefault="00535DE4" w:rsidP="00776B6E">
            <w:pPr>
              <w:jc w:val="center"/>
              <w:rPr>
                <w:rFonts w:eastAsia="Times New Roman" w:cs="Times New Roman"/>
                <w:szCs w:val="24"/>
                <w:lang w:eastAsia="cs-CZ"/>
              </w:rPr>
            </w:pPr>
            <w:r w:rsidRPr="001F3150">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14:paraId="2419CC5B" w14:textId="77777777" w:rsidR="00535DE4" w:rsidRPr="001F3150" w:rsidRDefault="00535DE4" w:rsidP="00776B6E">
            <w:pPr>
              <w:jc w:val="center"/>
              <w:rPr>
                <w:rFonts w:eastAsia="Times New Roman" w:cs="Times New Roman"/>
                <w:szCs w:val="24"/>
                <w:lang w:eastAsia="cs-CZ"/>
              </w:rPr>
            </w:pPr>
            <w:r w:rsidRPr="001F3150">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14:paraId="0CC192FB" w14:textId="77777777" w:rsidR="00535DE4" w:rsidRPr="001F3150" w:rsidRDefault="00535DE4" w:rsidP="00776B6E">
            <w:pPr>
              <w:jc w:val="center"/>
              <w:rPr>
                <w:rFonts w:eastAsia="Times New Roman" w:cs="Times New Roman"/>
                <w:szCs w:val="24"/>
                <w:lang w:eastAsia="cs-CZ"/>
              </w:rPr>
            </w:pPr>
            <w:r w:rsidRPr="001F3150">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14:paraId="79306B71" w14:textId="77777777" w:rsidR="00535DE4" w:rsidRPr="001F3150" w:rsidRDefault="00535DE4" w:rsidP="00776B6E">
            <w:pPr>
              <w:jc w:val="center"/>
              <w:rPr>
                <w:rFonts w:eastAsia="Times New Roman" w:cs="Times New Roman"/>
                <w:szCs w:val="24"/>
                <w:lang w:eastAsia="cs-CZ"/>
              </w:rPr>
            </w:pPr>
            <w:r w:rsidRPr="001F3150">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14:paraId="5196BA19" w14:textId="77777777" w:rsidR="00535DE4" w:rsidRPr="001F3150" w:rsidRDefault="00535DE4" w:rsidP="00776B6E">
            <w:pPr>
              <w:jc w:val="center"/>
              <w:rPr>
                <w:rFonts w:eastAsia="Times New Roman" w:cs="Times New Roman"/>
                <w:szCs w:val="24"/>
                <w:lang w:eastAsia="cs-CZ"/>
              </w:rPr>
            </w:pPr>
            <w:r w:rsidRPr="001F3150">
              <w:rPr>
                <w:rFonts w:eastAsia="Times New Roman" w:cs="Times New Roman"/>
                <w:szCs w:val="24"/>
                <w:lang w:eastAsia="cs-CZ"/>
              </w:rPr>
              <w:t>4</w:t>
            </w:r>
          </w:p>
        </w:tc>
      </w:tr>
      <w:tr w:rsidR="001F3150" w:rsidRPr="001F3150" w14:paraId="739CAFE7" w14:textId="77777777" w:rsidTr="001F3150">
        <w:trPr>
          <w:trHeight w:val="486"/>
        </w:trPr>
        <w:tc>
          <w:tcPr>
            <w:tcW w:w="2377" w:type="pct"/>
            <w:tcBorders>
              <w:top w:val="single" w:sz="8" w:space="0" w:color="7F7F7F" w:themeColor="text1" w:themeTint="80"/>
              <w:bottom w:val="single" w:sz="8" w:space="0" w:color="7F7F7F" w:themeColor="text1" w:themeTint="80"/>
            </w:tcBorders>
            <w:shd w:val="clear" w:color="auto" w:fill="auto"/>
          </w:tcPr>
          <w:p w14:paraId="0309F611" w14:textId="77777777" w:rsidR="001F3150" w:rsidRPr="001F3150" w:rsidRDefault="001F3150" w:rsidP="001F3150">
            <w:pPr>
              <w:spacing w:before="54"/>
              <w:rPr>
                <w:rFonts w:eastAsia="Times New Roman" w:cs="Times New Roman"/>
                <w:b/>
                <w:lang w:eastAsia="cs-CZ"/>
              </w:rPr>
            </w:pPr>
            <w:r w:rsidRPr="001F3150">
              <w:rPr>
                <w:rFonts w:eastAsia="Times New Roman" w:cs="Times New Roman"/>
                <w:b/>
                <w:iCs/>
                <w:lang w:eastAsia="cs-CZ"/>
              </w:rPr>
              <w:t xml:space="preserve">Běžné výdaje </w:t>
            </w:r>
            <w:r w:rsidRPr="001F3150">
              <w:rPr>
                <w:rFonts w:eastAsia="Times New Roman" w:cs="Times New Roman"/>
                <w:lang w:eastAsia="cs-CZ"/>
              </w:rPr>
              <w:t>v tom:</w:t>
            </w:r>
            <w:r w:rsidRPr="001F3150">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14:paraId="3031981C" w14:textId="7E75DD5B" w:rsidR="001F3150" w:rsidRPr="001F3150" w:rsidRDefault="001F3150" w:rsidP="001F3150">
            <w:pPr>
              <w:jc w:val="right"/>
              <w:rPr>
                <w:rFonts w:eastAsia="Times New Roman" w:cs="Times New Roman"/>
                <w:b/>
                <w:bCs/>
                <w:color w:val="FF0000"/>
                <w:lang w:eastAsia="cs-CZ"/>
              </w:rPr>
            </w:pPr>
            <w:r w:rsidRPr="001F3150">
              <w:rPr>
                <w:rFonts w:cs="Times New Roman"/>
                <w:b/>
                <w:bCs/>
              </w:rPr>
              <w:t xml:space="preserve">200 030 </w:t>
            </w:r>
          </w:p>
        </w:tc>
        <w:tc>
          <w:tcPr>
            <w:tcW w:w="703" w:type="pct"/>
            <w:tcBorders>
              <w:top w:val="single" w:sz="8" w:space="0" w:color="7F7F7F" w:themeColor="text1" w:themeTint="80"/>
              <w:bottom w:val="single" w:sz="8" w:space="0" w:color="7F7F7F" w:themeColor="text1" w:themeTint="80"/>
            </w:tcBorders>
            <w:shd w:val="clear" w:color="auto" w:fill="auto"/>
            <w:vAlign w:val="center"/>
          </w:tcPr>
          <w:p w14:paraId="79A52AE9" w14:textId="374489AB" w:rsidR="001F3150" w:rsidRPr="001F3150" w:rsidRDefault="001F3150" w:rsidP="001F3150">
            <w:pPr>
              <w:jc w:val="right"/>
              <w:rPr>
                <w:rFonts w:eastAsia="Times New Roman" w:cs="Times New Roman"/>
                <w:b/>
                <w:bCs/>
                <w:color w:val="FF0000"/>
                <w:lang w:eastAsia="cs-CZ"/>
              </w:rPr>
            </w:pPr>
            <w:r w:rsidRPr="001F3150">
              <w:rPr>
                <w:rFonts w:eastAsia="Times New Roman" w:cs="Times New Roman"/>
                <w:b/>
                <w:bCs/>
                <w:szCs w:val="24"/>
                <w:lang w:eastAsia="cs-CZ"/>
              </w:rPr>
              <w:t>182 746</w:t>
            </w:r>
          </w:p>
        </w:tc>
        <w:tc>
          <w:tcPr>
            <w:tcW w:w="625" w:type="pct"/>
            <w:tcBorders>
              <w:top w:val="single" w:sz="8" w:space="0" w:color="7F7F7F" w:themeColor="text1" w:themeTint="80"/>
              <w:bottom w:val="single" w:sz="8" w:space="0" w:color="7F7F7F" w:themeColor="text1" w:themeTint="80"/>
            </w:tcBorders>
            <w:shd w:val="clear" w:color="auto" w:fill="auto"/>
            <w:vAlign w:val="center"/>
          </w:tcPr>
          <w:p w14:paraId="506C1B17" w14:textId="36117252" w:rsidR="001F3150" w:rsidRPr="007772AB" w:rsidRDefault="001F3150" w:rsidP="001F3150">
            <w:pPr>
              <w:jc w:val="right"/>
              <w:rPr>
                <w:rFonts w:eastAsia="Times New Roman" w:cs="Times New Roman"/>
                <w:b/>
                <w:bCs/>
                <w:color w:val="FF0000"/>
                <w:lang w:eastAsia="cs-CZ"/>
              </w:rPr>
            </w:pPr>
            <w:r w:rsidRPr="007772AB">
              <w:rPr>
                <w:rFonts w:eastAsia="Times New Roman" w:cs="Times New Roman"/>
                <w:b/>
                <w:bCs/>
                <w:szCs w:val="24"/>
                <w:lang w:eastAsia="cs-CZ"/>
              </w:rPr>
              <w:t>190 752</w:t>
            </w:r>
          </w:p>
        </w:tc>
        <w:tc>
          <w:tcPr>
            <w:tcW w:w="513" w:type="pct"/>
            <w:tcBorders>
              <w:top w:val="single" w:sz="8" w:space="0" w:color="7F7F7F" w:themeColor="text1" w:themeTint="80"/>
              <w:bottom w:val="single" w:sz="8" w:space="0" w:color="7F7F7F" w:themeColor="text1" w:themeTint="80"/>
            </w:tcBorders>
            <w:shd w:val="clear" w:color="auto" w:fill="auto"/>
            <w:vAlign w:val="center"/>
          </w:tcPr>
          <w:p w14:paraId="5E58114D" w14:textId="565B85AF" w:rsidR="001F3150" w:rsidRPr="007772AB" w:rsidRDefault="001F3150" w:rsidP="001F3150">
            <w:pPr>
              <w:jc w:val="right"/>
              <w:rPr>
                <w:rFonts w:eastAsia="Times New Roman" w:cs="Times New Roman"/>
                <w:b/>
                <w:bCs/>
                <w:color w:val="FF0000"/>
                <w:lang w:eastAsia="cs-CZ"/>
              </w:rPr>
            </w:pPr>
            <w:r w:rsidRPr="007772AB">
              <w:rPr>
                <w:rFonts w:eastAsia="Times New Roman" w:cs="Times New Roman"/>
                <w:b/>
                <w:bCs/>
                <w:szCs w:val="24"/>
                <w:lang w:eastAsia="cs-CZ"/>
              </w:rPr>
              <w:t>104,38</w:t>
            </w:r>
          </w:p>
        </w:tc>
      </w:tr>
      <w:tr w:rsidR="001F3150" w:rsidRPr="001F3150" w14:paraId="351A8407" w14:textId="77777777" w:rsidTr="001F3150">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5D153790" w14:textId="77777777" w:rsidR="001F3150" w:rsidRPr="001F3150" w:rsidRDefault="001F3150" w:rsidP="001F3150">
            <w:pPr>
              <w:jc w:val="left"/>
              <w:rPr>
                <w:rFonts w:eastAsia="Times New Roman" w:cs="Times New Roman"/>
                <w:b/>
                <w:iCs/>
                <w:lang w:eastAsia="cs-CZ"/>
              </w:rPr>
            </w:pPr>
            <w:r w:rsidRPr="001F3150">
              <w:rPr>
                <w:rFonts w:eastAsia="Times New Roman" w:cs="Times New Roman"/>
                <w:lang w:eastAsia="cs-CZ"/>
              </w:rPr>
              <w:t>platy zaměstnanců a ostatní platby                 za provedenou práci</w:t>
            </w:r>
          </w:p>
        </w:tc>
        <w:tc>
          <w:tcPr>
            <w:tcW w:w="782" w:type="pct"/>
            <w:tcBorders>
              <w:top w:val="single" w:sz="8" w:space="0" w:color="7F7F7F" w:themeColor="text1" w:themeTint="80"/>
            </w:tcBorders>
            <w:shd w:val="clear" w:color="auto" w:fill="auto"/>
            <w:vAlign w:val="center"/>
          </w:tcPr>
          <w:p w14:paraId="120178E4" w14:textId="0AB9F1A9" w:rsidR="001F3150" w:rsidRPr="001F3150" w:rsidRDefault="001F3150" w:rsidP="001F3150">
            <w:pPr>
              <w:jc w:val="right"/>
              <w:rPr>
                <w:rFonts w:eastAsia="Times New Roman" w:cs="Times New Roman"/>
                <w:bCs/>
                <w:color w:val="FF0000"/>
                <w:lang w:eastAsia="cs-CZ"/>
              </w:rPr>
            </w:pPr>
            <w:r w:rsidRPr="001F3150">
              <w:rPr>
                <w:rFonts w:eastAsia="Times New Roman" w:cs="Times New Roman"/>
                <w:szCs w:val="24"/>
                <w:lang w:eastAsia="cs-CZ"/>
              </w:rPr>
              <w:t>114 437</w:t>
            </w:r>
          </w:p>
        </w:tc>
        <w:tc>
          <w:tcPr>
            <w:tcW w:w="703" w:type="pct"/>
            <w:tcBorders>
              <w:top w:val="single" w:sz="8" w:space="0" w:color="7F7F7F" w:themeColor="text1" w:themeTint="80"/>
            </w:tcBorders>
            <w:shd w:val="clear" w:color="auto" w:fill="auto"/>
            <w:vAlign w:val="center"/>
          </w:tcPr>
          <w:p w14:paraId="5D8773AE" w14:textId="5F789EAE" w:rsidR="001F3150" w:rsidRPr="001F3150" w:rsidRDefault="001F3150" w:rsidP="001F3150">
            <w:pPr>
              <w:jc w:val="right"/>
              <w:rPr>
                <w:rFonts w:eastAsia="Times New Roman" w:cs="Times New Roman"/>
                <w:color w:val="FF0000"/>
                <w:lang w:eastAsia="cs-CZ"/>
              </w:rPr>
            </w:pPr>
            <w:r w:rsidRPr="001F3150">
              <w:rPr>
                <w:rFonts w:eastAsia="Times New Roman" w:cs="Times New Roman"/>
                <w:szCs w:val="24"/>
                <w:lang w:eastAsia="cs-CZ"/>
              </w:rPr>
              <w:t>108 172</w:t>
            </w:r>
          </w:p>
        </w:tc>
        <w:tc>
          <w:tcPr>
            <w:tcW w:w="625" w:type="pct"/>
            <w:tcBorders>
              <w:top w:val="single" w:sz="8" w:space="0" w:color="7F7F7F" w:themeColor="text1" w:themeTint="80"/>
            </w:tcBorders>
            <w:shd w:val="clear" w:color="auto" w:fill="auto"/>
            <w:vAlign w:val="center"/>
          </w:tcPr>
          <w:p w14:paraId="306DC489" w14:textId="102478DF"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113 554</w:t>
            </w:r>
          </w:p>
        </w:tc>
        <w:tc>
          <w:tcPr>
            <w:tcW w:w="513" w:type="pct"/>
            <w:tcBorders>
              <w:top w:val="single" w:sz="8" w:space="0" w:color="7F7F7F" w:themeColor="text1" w:themeTint="80"/>
            </w:tcBorders>
            <w:shd w:val="clear" w:color="auto" w:fill="auto"/>
            <w:vAlign w:val="center"/>
          </w:tcPr>
          <w:p w14:paraId="7E198BF0" w14:textId="623DC4DF"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104,98</w:t>
            </w:r>
          </w:p>
        </w:tc>
      </w:tr>
      <w:tr w:rsidR="001F3150" w:rsidRPr="001F3150" w14:paraId="56B4B707" w14:textId="77777777" w:rsidTr="001F3150">
        <w:trPr>
          <w:trHeight w:val="232"/>
        </w:trPr>
        <w:tc>
          <w:tcPr>
            <w:tcW w:w="2377" w:type="pct"/>
            <w:shd w:val="clear" w:color="auto" w:fill="auto"/>
          </w:tcPr>
          <w:p w14:paraId="5547D489" w14:textId="77777777" w:rsidR="001F3150" w:rsidRPr="001F3150" w:rsidRDefault="001F3150" w:rsidP="001F3150">
            <w:pPr>
              <w:rPr>
                <w:rFonts w:eastAsia="Times New Roman" w:cs="Times New Roman"/>
                <w:lang w:eastAsia="cs-CZ"/>
              </w:rPr>
            </w:pPr>
            <w:r w:rsidRPr="001F3150">
              <w:rPr>
                <w:rFonts w:eastAsia="Times New Roman" w:cs="Times New Roman"/>
                <w:lang w:eastAsia="cs-CZ"/>
              </w:rPr>
              <w:t>povinné pojistné placené zaměstnavatelem</w:t>
            </w:r>
          </w:p>
        </w:tc>
        <w:tc>
          <w:tcPr>
            <w:tcW w:w="782" w:type="pct"/>
            <w:shd w:val="clear" w:color="auto" w:fill="auto"/>
            <w:vAlign w:val="center"/>
          </w:tcPr>
          <w:p w14:paraId="3FB17D5C" w14:textId="1A788EC7" w:rsidR="001F3150" w:rsidRPr="001F3150" w:rsidRDefault="001F3150" w:rsidP="001F3150">
            <w:pPr>
              <w:jc w:val="right"/>
              <w:rPr>
                <w:rFonts w:eastAsia="Times New Roman" w:cs="Times New Roman"/>
                <w:bCs/>
                <w:color w:val="FF0000"/>
                <w:lang w:eastAsia="cs-CZ"/>
              </w:rPr>
            </w:pPr>
            <w:r w:rsidRPr="001F3150">
              <w:rPr>
                <w:rFonts w:eastAsia="Times New Roman" w:cs="Times New Roman"/>
                <w:szCs w:val="24"/>
                <w:lang w:eastAsia="cs-CZ"/>
              </w:rPr>
              <w:t>38 554</w:t>
            </w:r>
          </w:p>
        </w:tc>
        <w:tc>
          <w:tcPr>
            <w:tcW w:w="703" w:type="pct"/>
            <w:shd w:val="clear" w:color="auto" w:fill="auto"/>
            <w:vAlign w:val="center"/>
          </w:tcPr>
          <w:p w14:paraId="17231A5A" w14:textId="270DC51E" w:rsidR="001F3150" w:rsidRPr="001F3150" w:rsidRDefault="001F3150" w:rsidP="001F3150">
            <w:pPr>
              <w:jc w:val="right"/>
              <w:rPr>
                <w:rFonts w:eastAsia="Times New Roman" w:cs="Times New Roman"/>
                <w:color w:val="FF0000"/>
                <w:lang w:eastAsia="cs-CZ"/>
              </w:rPr>
            </w:pPr>
            <w:r w:rsidRPr="001F3150">
              <w:rPr>
                <w:rFonts w:eastAsia="Times New Roman" w:cs="Times New Roman"/>
                <w:szCs w:val="24"/>
                <w:lang w:eastAsia="cs-CZ"/>
              </w:rPr>
              <w:t>36 562</w:t>
            </w:r>
          </w:p>
        </w:tc>
        <w:tc>
          <w:tcPr>
            <w:tcW w:w="625" w:type="pct"/>
            <w:shd w:val="clear" w:color="auto" w:fill="auto"/>
            <w:vAlign w:val="center"/>
          </w:tcPr>
          <w:p w14:paraId="38B69FB3" w14:textId="76B69240"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38 381</w:t>
            </w:r>
          </w:p>
        </w:tc>
        <w:tc>
          <w:tcPr>
            <w:tcW w:w="513" w:type="pct"/>
            <w:shd w:val="clear" w:color="auto" w:fill="auto"/>
            <w:vAlign w:val="center"/>
          </w:tcPr>
          <w:p w14:paraId="511967EC" w14:textId="55158906"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104,98</w:t>
            </w:r>
          </w:p>
        </w:tc>
      </w:tr>
      <w:tr w:rsidR="001F3150" w:rsidRPr="001F3150" w14:paraId="49A6E32C" w14:textId="77777777" w:rsidTr="001F3150">
        <w:trPr>
          <w:trHeight w:val="248"/>
        </w:trPr>
        <w:tc>
          <w:tcPr>
            <w:tcW w:w="2377" w:type="pct"/>
            <w:shd w:val="clear" w:color="auto" w:fill="auto"/>
          </w:tcPr>
          <w:p w14:paraId="6DDE6FC4" w14:textId="77777777" w:rsidR="001F3150" w:rsidRPr="001F3150" w:rsidRDefault="001F3150" w:rsidP="001F3150">
            <w:pPr>
              <w:rPr>
                <w:rFonts w:eastAsia="Times New Roman" w:cs="Times New Roman"/>
                <w:lang w:eastAsia="cs-CZ"/>
              </w:rPr>
            </w:pPr>
            <w:r w:rsidRPr="001F3150">
              <w:rPr>
                <w:rFonts w:eastAsia="Times New Roman" w:cs="Times New Roman"/>
                <w:lang w:eastAsia="cs-CZ"/>
              </w:rPr>
              <w:t>příděl FKSP</w:t>
            </w:r>
          </w:p>
        </w:tc>
        <w:tc>
          <w:tcPr>
            <w:tcW w:w="782" w:type="pct"/>
            <w:shd w:val="clear" w:color="auto" w:fill="auto"/>
            <w:vAlign w:val="center"/>
          </w:tcPr>
          <w:p w14:paraId="0972A572" w14:textId="1E0A2C7B" w:rsidR="001F3150" w:rsidRPr="001F3150" w:rsidRDefault="001F3150" w:rsidP="001F3150">
            <w:pPr>
              <w:jc w:val="right"/>
              <w:rPr>
                <w:rFonts w:eastAsia="Times New Roman" w:cs="Times New Roman"/>
                <w:bCs/>
                <w:color w:val="FF0000"/>
                <w:lang w:eastAsia="cs-CZ"/>
              </w:rPr>
            </w:pPr>
            <w:r w:rsidRPr="001F3150">
              <w:rPr>
                <w:rFonts w:eastAsia="Times New Roman" w:cs="Times New Roman"/>
                <w:szCs w:val="24"/>
                <w:lang w:eastAsia="cs-CZ"/>
              </w:rPr>
              <w:t>2 295</w:t>
            </w:r>
          </w:p>
        </w:tc>
        <w:tc>
          <w:tcPr>
            <w:tcW w:w="703" w:type="pct"/>
            <w:shd w:val="clear" w:color="auto" w:fill="auto"/>
            <w:vAlign w:val="center"/>
          </w:tcPr>
          <w:p w14:paraId="0E41C7FB" w14:textId="4E20BEDF" w:rsidR="001F3150" w:rsidRPr="001F3150" w:rsidRDefault="001F3150" w:rsidP="001F3150">
            <w:pPr>
              <w:jc w:val="right"/>
              <w:rPr>
                <w:rFonts w:eastAsia="Times New Roman" w:cs="Times New Roman"/>
                <w:color w:val="FF0000"/>
                <w:lang w:eastAsia="cs-CZ"/>
              </w:rPr>
            </w:pPr>
            <w:r w:rsidRPr="001F3150">
              <w:rPr>
                <w:rFonts w:eastAsia="Times New Roman" w:cs="Times New Roman"/>
                <w:szCs w:val="24"/>
                <w:lang w:eastAsia="cs-CZ"/>
              </w:rPr>
              <w:t>1 076</w:t>
            </w:r>
          </w:p>
        </w:tc>
        <w:tc>
          <w:tcPr>
            <w:tcW w:w="625" w:type="pct"/>
            <w:shd w:val="clear" w:color="auto" w:fill="auto"/>
            <w:vAlign w:val="center"/>
          </w:tcPr>
          <w:p w14:paraId="0CA19931" w14:textId="36369B0C"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1 130</w:t>
            </w:r>
          </w:p>
        </w:tc>
        <w:tc>
          <w:tcPr>
            <w:tcW w:w="513" w:type="pct"/>
            <w:shd w:val="clear" w:color="auto" w:fill="auto"/>
            <w:vAlign w:val="center"/>
          </w:tcPr>
          <w:p w14:paraId="2E7E9856" w14:textId="67E6FC77"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105,02</w:t>
            </w:r>
          </w:p>
        </w:tc>
      </w:tr>
      <w:tr w:rsidR="001F3150" w:rsidRPr="001F3150" w14:paraId="2BCBA262" w14:textId="77777777" w:rsidTr="001F3150">
        <w:trPr>
          <w:trHeight w:val="248"/>
        </w:trPr>
        <w:tc>
          <w:tcPr>
            <w:tcW w:w="2377" w:type="pct"/>
            <w:tcBorders>
              <w:bottom w:val="nil"/>
            </w:tcBorders>
            <w:shd w:val="clear" w:color="auto" w:fill="auto"/>
          </w:tcPr>
          <w:p w14:paraId="2265F736" w14:textId="77777777" w:rsidR="001F3150" w:rsidRPr="001F3150" w:rsidRDefault="001F3150" w:rsidP="001F3150">
            <w:pPr>
              <w:rPr>
                <w:rFonts w:eastAsia="Times New Roman" w:cs="Times New Roman"/>
                <w:lang w:eastAsia="cs-CZ"/>
              </w:rPr>
            </w:pPr>
            <w:r w:rsidRPr="001F3150">
              <w:rPr>
                <w:rFonts w:eastAsia="Times New Roman" w:cs="Times New Roman"/>
                <w:lang w:eastAsia="cs-CZ"/>
              </w:rPr>
              <w:t>ostatní neinvestiční nákupy a související výdaje</w:t>
            </w:r>
          </w:p>
        </w:tc>
        <w:tc>
          <w:tcPr>
            <w:tcW w:w="782" w:type="pct"/>
            <w:tcBorders>
              <w:bottom w:val="nil"/>
            </w:tcBorders>
            <w:shd w:val="clear" w:color="auto" w:fill="auto"/>
            <w:vAlign w:val="center"/>
          </w:tcPr>
          <w:p w14:paraId="3CC99F7E" w14:textId="07592967" w:rsidR="001F3150" w:rsidRPr="001F3150" w:rsidRDefault="001F3150" w:rsidP="001F3150">
            <w:pPr>
              <w:jc w:val="right"/>
              <w:rPr>
                <w:rFonts w:eastAsia="Times New Roman" w:cs="Times New Roman"/>
                <w:bCs/>
                <w:color w:val="FF0000"/>
                <w:lang w:eastAsia="cs-CZ"/>
              </w:rPr>
            </w:pPr>
            <w:r w:rsidRPr="001F3150">
              <w:rPr>
                <w:rFonts w:eastAsia="Times New Roman" w:cs="Times New Roman"/>
                <w:szCs w:val="24"/>
                <w:lang w:eastAsia="cs-CZ"/>
              </w:rPr>
              <w:t>44 746</w:t>
            </w:r>
          </w:p>
        </w:tc>
        <w:tc>
          <w:tcPr>
            <w:tcW w:w="703" w:type="pct"/>
            <w:tcBorders>
              <w:bottom w:val="nil"/>
            </w:tcBorders>
            <w:shd w:val="clear" w:color="auto" w:fill="auto"/>
            <w:vAlign w:val="center"/>
          </w:tcPr>
          <w:p w14:paraId="1DF88C8D" w14:textId="21B5C059" w:rsidR="001F3150" w:rsidRPr="001F3150" w:rsidRDefault="001F3150" w:rsidP="001F3150">
            <w:pPr>
              <w:jc w:val="right"/>
              <w:rPr>
                <w:rFonts w:eastAsia="Times New Roman" w:cs="Times New Roman"/>
                <w:color w:val="FF0000"/>
                <w:lang w:eastAsia="cs-CZ"/>
              </w:rPr>
            </w:pPr>
            <w:r w:rsidRPr="001F3150">
              <w:rPr>
                <w:rFonts w:eastAsia="Times New Roman" w:cs="Times New Roman"/>
                <w:szCs w:val="24"/>
                <w:lang w:eastAsia="cs-CZ"/>
              </w:rPr>
              <w:t>36 936</w:t>
            </w:r>
          </w:p>
        </w:tc>
        <w:tc>
          <w:tcPr>
            <w:tcW w:w="625" w:type="pct"/>
            <w:tcBorders>
              <w:bottom w:val="nil"/>
            </w:tcBorders>
            <w:shd w:val="clear" w:color="auto" w:fill="auto"/>
            <w:vAlign w:val="center"/>
          </w:tcPr>
          <w:p w14:paraId="6334C6A7" w14:textId="23704AA8"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37 686</w:t>
            </w:r>
          </w:p>
        </w:tc>
        <w:tc>
          <w:tcPr>
            <w:tcW w:w="513" w:type="pct"/>
            <w:tcBorders>
              <w:bottom w:val="nil"/>
            </w:tcBorders>
            <w:shd w:val="clear" w:color="auto" w:fill="auto"/>
            <w:vAlign w:val="center"/>
          </w:tcPr>
          <w:p w14:paraId="7AB5CECE" w14:textId="25ECD850" w:rsidR="001F3150" w:rsidRPr="007772AB" w:rsidRDefault="001F3150" w:rsidP="001F3150">
            <w:pPr>
              <w:jc w:val="right"/>
              <w:rPr>
                <w:rFonts w:eastAsia="Times New Roman" w:cs="Times New Roman"/>
                <w:color w:val="FF0000"/>
                <w:lang w:eastAsia="cs-CZ"/>
              </w:rPr>
            </w:pPr>
            <w:r w:rsidRPr="007772AB">
              <w:rPr>
                <w:rFonts w:eastAsia="Times New Roman" w:cs="Times New Roman"/>
                <w:szCs w:val="24"/>
                <w:lang w:eastAsia="cs-CZ"/>
              </w:rPr>
              <w:t>102,03</w:t>
            </w:r>
          </w:p>
        </w:tc>
      </w:tr>
      <w:tr w:rsidR="001F3150" w:rsidRPr="00D070B8" w14:paraId="559F7594" w14:textId="77777777" w:rsidTr="001F3150">
        <w:trPr>
          <w:trHeight w:val="232"/>
        </w:trPr>
        <w:tc>
          <w:tcPr>
            <w:tcW w:w="2377" w:type="pct"/>
            <w:tcBorders>
              <w:top w:val="nil"/>
              <w:bottom w:val="single" w:sz="8" w:space="0" w:color="7F7F7F" w:themeColor="text1" w:themeTint="80"/>
            </w:tcBorders>
            <w:shd w:val="clear" w:color="auto" w:fill="auto"/>
          </w:tcPr>
          <w:p w14:paraId="3E2152A8" w14:textId="36FBD92D" w:rsidR="001F3150" w:rsidRPr="001F3150" w:rsidRDefault="001F3150" w:rsidP="001F3150">
            <w:pPr>
              <w:jc w:val="left"/>
              <w:rPr>
                <w:rFonts w:eastAsia="Times New Roman" w:cs="Times New Roman"/>
                <w:i/>
                <w:lang w:eastAsia="cs-CZ"/>
              </w:rPr>
            </w:pPr>
            <w:r w:rsidRPr="001F3150">
              <w:rPr>
                <w:rFonts w:eastAsia="Times New Roman" w:cs="Times New Roman"/>
                <w:i/>
                <w:lang w:eastAsia="cs-CZ"/>
              </w:rPr>
              <w:t xml:space="preserve">z toho: programové financování </w:t>
            </w:r>
            <w:r w:rsidRPr="001F3150">
              <w:rPr>
                <w:rFonts w:eastAsia="Times New Roman" w:cs="Times New Roman"/>
                <w:i/>
                <w:lang w:eastAsia="cs-CZ"/>
              </w:rPr>
              <w:tab/>
              <w:t xml:space="preserve">(EDS/SMVS) </w:t>
            </w:r>
          </w:p>
        </w:tc>
        <w:tc>
          <w:tcPr>
            <w:tcW w:w="782" w:type="pct"/>
            <w:tcBorders>
              <w:top w:val="nil"/>
              <w:bottom w:val="single" w:sz="8" w:space="0" w:color="7F7F7F" w:themeColor="text1" w:themeTint="80"/>
            </w:tcBorders>
            <w:shd w:val="clear" w:color="auto" w:fill="auto"/>
            <w:vAlign w:val="center"/>
          </w:tcPr>
          <w:p w14:paraId="1F6CD4B2" w14:textId="64DF9FC0" w:rsidR="001F3150" w:rsidRPr="001F3150" w:rsidRDefault="001F3150" w:rsidP="001F3150">
            <w:pPr>
              <w:jc w:val="right"/>
              <w:rPr>
                <w:rFonts w:eastAsia="Times New Roman" w:cs="Times New Roman"/>
                <w:bCs/>
                <w:i/>
                <w:color w:val="FF0000"/>
                <w:lang w:eastAsia="cs-CZ"/>
              </w:rPr>
            </w:pPr>
            <w:r w:rsidRPr="001F3150">
              <w:rPr>
                <w:rFonts w:eastAsia="Times New Roman" w:cs="Times New Roman"/>
                <w:i/>
                <w:iCs/>
                <w:szCs w:val="24"/>
                <w:lang w:eastAsia="cs-CZ"/>
              </w:rPr>
              <w:t>368</w:t>
            </w:r>
          </w:p>
        </w:tc>
        <w:tc>
          <w:tcPr>
            <w:tcW w:w="703" w:type="pct"/>
            <w:tcBorders>
              <w:top w:val="nil"/>
              <w:bottom w:val="single" w:sz="8" w:space="0" w:color="7F7F7F" w:themeColor="text1" w:themeTint="80"/>
            </w:tcBorders>
            <w:shd w:val="clear" w:color="auto" w:fill="auto"/>
            <w:vAlign w:val="center"/>
          </w:tcPr>
          <w:p w14:paraId="2D286617" w14:textId="3B13F1B6" w:rsidR="001F3150" w:rsidRPr="001F3150" w:rsidRDefault="001F3150" w:rsidP="001F3150">
            <w:pPr>
              <w:jc w:val="right"/>
              <w:rPr>
                <w:rFonts w:eastAsia="Times New Roman" w:cs="Times New Roman"/>
                <w:i/>
                <w:color w:val="FF0000"/>
                <w:lang w:eastAsia="cs-CZ"/>
              </w:rPr>
            </w:pPr>
            <w:r w:rsidRPr="001F3150">
              <w:rPr>
                <w:rFonts w:eastAsia="Times New Roman" w:cs="Times New Roman"/>
                <w:i/>
                <w:iCs/>
                <w:szCs w:val="24"/>
                <w:lang w:eastAsia="cs-CZ"/>
              </w:rPr>
              <w:t>300</w:t>
            </w:r>
          </w:p>
        </w:tc>
        <w:tc>
          <w:tcPr>
            <w:tcW w:w="625" w:type="pct"/>
            <w:tcBorders>
              <w:top w:val="nil"/>
              <w:bottom w:val="single" w:sz="8" w:space="0" w:color="7F7F7F" w:themeColor="text1" w:themeTint="80"/>
            </w:tcBorders>
            <w:shd w:val="clear" w:color="auto" w:fill="auto"/>
            <w:vAlign w:val="center"/>
          </w:tcPr>
          <w:p w14:paraId="01E14764" w14:textId="0A334145" w:rsidR="001F3150" w:rsidRPr="007772AB" w:rsidRDefault="001F3150" w:rsidP="001F3150">
            <w:pPr>
              <w:jc w:val="right"/>
              <w:rPr>
                <w:rFonts w:eastAsia="Times New Roman" w:cs="Times New Roman"/>
                <w:i/>
                <w:color w:val="FF0000"/>
                <w:lang w:eastAsia="cs-CZ"/>
              </w:rPr>
            </w:pPr>
            <w:r w:rsidRPr="007772AB">
              <w:rPr>
                <w:rFonts w:eastAsia="Times New Roman" w:cs="Times New Roman"/>
                <w:i/>
                <w:iCs/>
                <w:szCs w:val="24"/>
                <w:lang w:eastAsia="cs-CZ"/>
              </w:rPr>
              <w:t>300</w:t>
            </w:r>
          </w:p>
        </w:tc>
        <w:tc>
          <w:tcPr>
            <w:tcW w:w="513" w:type="pct"/>
            <w:tcBorders>
              <w:top w:val="nil"/>
              <w:bottom w:val="single" w:sz="8" w:space="0" w:color="7F7F7F" w:themeColor="text1" w:themeTint="80"/>
            </w:tcBorders>
            <w:shd w:val="clear" w:color="auto" w:fill="auto"/>
            <w:vAlign w:val="center"/>
          </w:tcPr>
          <w:p w14:paraId="3A7C824C" w14:textId="17B7B90D" w:rsidR="001F3150" w:rsidRPr="007772AB" w:rsidRDefault="0071546D" w:rsidP="001F3150">
            <w:pPr>
              <w:jc w:val="right"/>
              <w:rPr>
                <w:rFonts w:eastAsia="Times New Roman" w:cs="Times New Roman"/>
                <w:i/>
                <w:color w:val="FF0000"/>
                <w:lang w:eastAsia="cs-CZ"/>
              </w:rPr>
            </w:pPr>
            <w:r>
              <w:rPr>
                <w:rFonts w:eastAsia="Times New Roman" w:cs="Times New Roman"/>
                <w:i/>
                <w:iCs/>
                <w:szCs w:val="24"/>
                <w:lang w:eastAsia="cs-CZ"/>
              </w:rPr>
              <w:t>100,00</w:t>
            </w:r>
          </w:p>
        </w:tc>
      </w:tr>
    </w:tbl>
    <w:p w14:paraId="7EAB0306" w14:textId="63F70440" w:rsidR="00862C8A" w:rsidRPr="00D070B8" w:rsidRDefault="007772AB" w:rsidP="00C867CF">
      <w:pPr>
        <w:pStyle w:val="Styl1"/>
        <w:rPr>
          <w:highlight w:val="yellow"/>
        </w:rPr>
      </w:pPr>
      <w:r w:rsidRPr="00653906">
        <w:t xml:space="preserve">Navrhovaný objem běžných výdajů na rok 2025 oproti roku 2024 byl </w:t>
      </w:r>
      <w:r>
        <w:t xml:space="preserve">navýšen o </w:t>
      </w:r>
      <w:r w:rsidRPr="00EA3E28">
        <w:t xml:space="preserve">8 006 tis. Kč. Výdaje na platy včetně příslušenství byly navýšeny o 5 382 tis. Kč </w:t>
      </w:r>
      <w:r w:rsidRPr="00653906">
        <w:t>(podrobněji viz oddíl 3.2.2 Výdaje na platy a počty pracovníků za OSS a PO)</w:t>
      </w:r>
      <w:r w:rsidR="00862C8A" w:rsidRPr="007772AB">
        <w:t>.  </w:t>
      </w:r>
    </w:p>
    <w:p w14:paraId="62430EBC" w14:textId="4BB82F8D" w:rsidR="007772AB" w:rsidRDefault="007772AB" w:rsidP="00C867CF">
      <w:pPr>
        <w:pStyle w:val="Styl1"/>
      </w:pPr>
      <w:r w:rsidRPr="002511B8">
        <w:t xml:space="preserve">Počet zaměstnanců organizace pro rok 2025 je navrhován ve stejné výši jako v roce 2024, </w:t>
      </w:r>
      <w:r w:rsidRPr="002511B8">
        <w:br/>
        <w:t xml:space="preserve">a to </w:t>
      </w:r>
      <w:r>
        <w:t>162,</w:t>
      </w:r>
      <w:r w:rsidRPr="002511B8">
        <w:t xml:space="preserve"> v tom 17 zaměstnanců v pracovním poměru a </w:t>
      </w:r>
      <w:r>
        <w:t>145</w:t>
      </w:r>
      <w:r w:rsidRPr="002511B8">
        <w:t xml:space="preserve"> státních zaměstnanců</w:t>
      </w:r>
      <w:r>
        <w:t>.</w:t>
      </w:r>
    </w:p>
    <w:p w14:paraId="7EE58568" w14:textId="53E60AC2" w:rsidR="007772AB" w:rsidRDefault="007772AB" w:rsidP="00C867CF">
      <w:pPr>
        <w:pStyle w:val="Styl1"/>
      </w:pPr>
      <w:r w:rsidRPr="004431CF">
        <w:t>Na ostatní běžné výdaje je alokováno 3</w:t>
      </w:r>
      <w:r>
        <w:t>7 686</w:t>
      </w:r>
      <w:r w:rsidRPr="004431CF">
        <w:t xml:space="preserve"> tis. Kč, což je navýšení o </w:t>
      </w:r>
      <w:r>
        <w:t>750</w:t>
      </w:r>
      <w:r w:rsidRPr="004431CF">
        <w:t xml:space="preserve"> tis. Kč oproti roku 2024. Největší položku běžných výdajů jsou výdaje na nákup služeb (např. pronájem nebytových prostor, školení zaměstnanců, servis k technickému zázemí budovy včetně ICT, zpracování dat, výdaje na opravy a údržbu majetku a cestovné</w:t>
      </w:r>
      <w:r w:rsidR="005F4348">
        <w:t>.</w:t>
      </w:r>
    </w:p>
    <w:p w14:paraId="7FBC032E" w14:textId="77777777" w:rsidR="00BD28A7" w:rsidRPr="002511B8" w:rsidRDefault="00BD28A7" w:rsidP="00CF417D">
      <w:pPr>
        <w:pStyle w:val="Styl1"/>
        <w:rPr>
          <w:b/>
          <w:bCs/>
          <w:u w:val="single"/>
        </w:rPr>
      </w:pPr>
      <w:r w:rsidRPr="002511B8">
        <w:rPr>
          <w:b/>
          <w:bCs/>
          <w:u w:val="single"/>
        </w:rPr>
        <w:t xml:space="preserve">Státní plavební správa    </w:t>
      </w:r>
    </w:p>
    <w:p w14:paraId="6AD2F132" w14:textId="48E289C6" w:rsidR="008C2FA3" w:rsidRPr="002511B8" w:rsidRDefault="008C2FA3" w:rsidP="005B5118">
      <w:pPr>
        <w:pStyle w:val="Styl1"/>
      </w:pPr>
      <w:r w:rsidRPr="002511B8">
        <w:lastRenderedPageBreak/>
        <w:t xml:space="preserve">Státní plavební správa je správním úřadem, který vykonává státní správu a státní dozor při provozování plavby na vnitrozemských vodních cestách ve věcech stanovených zákonem </w:t>
      </w:r>
      <w:r w:rsidRPr="002511B8">
        <w:br/>
        <w:t xml:space="preserve">č. 114/1995 Sb., o vnitrozemské plavbě, ve znění pozdějších předpisů, jakož i zákonem č. 254/2001 Sb., o vodách a o změně některých zákonů (vodní zákon), ve znění pozdějších předpisů. </w:t>
      </w:r>
    </w:p>
    <w:p w14:paraId="397C042D" w14:textId="63AAC06E" w:rsidR="008C2FA3" w:rsidRPr="002511B8" w:rsidRDefault="008C2FA3" w:rsidP="008C2FA3">
      <w:pPr>
        <w:keepNext/>
        <w:spacing w:before="120" w:after="120" w:line="240" w:lineRule="auto"/>
        <w:rPr>
          <w:rFonts w:eastAsia="Times New Roman" w:cs="Times New Roman"/>
          <w:b/>
          <w:bCs/>
          <w:sz w:val="20"/>
          <w:szCs w:val="20"/>
          <w:lang w:eastAsia="cs-CZ"/>
        </w:rPr>
      </w:pPr>
      <w:r w:rsidRPr="002511B8">
        <w:rPr>
          <w:rFonts w:eastAsia="Times New Roman" w:cs="Times New Roman"/>
          <w:b/>
          <w:bCs/>
          <w:sz w:val="20"/>
          <w:szCs w:val="20"/>
          <w:lang w:eastAsia="cs-CZ"/>
        </w:rPr>
        <w:t xml:space="preserve">Tabulka č. </w:t>
      </w:r>
      <w:r w:rsidRPr="002511B8">
        <w:rPr>
          <w:rFonts w:eastAsia="Times New Roman" w:cs="Times New Roman"/>
          <w:b/>
          <w:bCs/>
          <w:sz w:val="20"/>
          <w:szCs w:val="20"/>
          <w:lang w:eastAsia="cs-CZ"/>
        </w:rPr>
        <w:fldChar w:fldCharType="begin"/>
      </w:r>
      <w:r w:rsidRPr="002511B8">
        <w:rPr>
          <w:rFonts w:eastAsia="Times New Roman" w:cs="Times New Roman"/>
          <w:b/>
          <w:bCs/>
          <w:sz w:val="20"/>
          <w:szCs w:val="20"/>
          <w:lang w:eastAsia="cs-CZ"/>
        </w:rPr>
        <w:instrText xml:space="preserve"> SEQ Tabulka \* ARABIC </w:instrText>
      </w:r>
      <w:r w:rsidRPr="002511B8">
        <w:rPr>
          <w:rFonts w:eastAsia="Times New Roman" w:cs="Times New Roman"/>
          <w:b/>
          <w:bCs/>
          <w:sz w:val="20"/>
          <w:szCs w:val="20"/>
          <w:lang w:eastAsia="cs-CZ"/>
        </w:rPr>
        <w:fldChar w:fldCharType="separate"/>
      </w:r>
      <w:r w:rsidR="003B0B01" w:rsidRPr="002511B8">
        <w:rPr>
          <w:rFonts w:eastAsia="Times New Roman" w:cs="Times New Roman"/>
          <w:b/>
          <w:bCs/>
          <w:noProof/>
          <w:sz w:val="20"/>
          <w:szCs w:val="20"/>
          <w:lang w:eastAsia="cs-CZ"/>
        </w:rPr>
        <w:t>15</w:t>
      </w:r>
      <w:r w:rsidRPr="002511B8">
        <w:rPr>
          <w:rFonts w:eastAsia="Times New Roman" w:cs="Times New Roman"/>
          <w:b/>
          <w:bCs/>
          <w:noProof/>
          <w:sz w:val="20"/>
          <w:szCs w:val="20"/>
          <w:lang w:eastAsia="cs-CZ"/>
        </w:rPr>
        <w:fldChar w:fldCharType="end"/>
      </w:r>
      <w:r w:rsidRPr="002511B8">
        <w:rPr>
          <w:rFonts w:eastAsia="Times New Roman" w:cs="Times New Roman"/>
          <w:b/>
          <w:bCs/>
          <w:sz w:val="20"/>
          <w:szCs w:val="20"/>
          <w:lang w:eastAsia="cs-CZ"/>
        </w:rPr>
        <w:t xml:space="preserve"> Státní plavební správa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AA1D3E" w:rsidRPr="002511B8" w14:paraId="003BEF27" w14:textId="77777777" w:rsidTr="000A1EB1">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5B8F34F" w14:textId="77777777" w:rsidR="00BD005E" w:rsidRPr="002511B8" w:rsidRDefault="00BD005E" w:rsidP="000A1EB1">
            <w:pPr>
              <w:jc w:val="center"/>
              <w:rPr>
                <w:rFonts w:eastAsia="Times New Roman" w:cs="Times New Roman"/>
                <w:b/>
                <w:szCs w:val="24"/>
                <w:lang w:eastAsia="cs-CZ"/>
              </w:rPr>
            </w:pPr>
            <w:r w:rsidRPr="002511B8">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5B0A0D" w14:textId="77777777" w:rsidR="00BD005E" w:rsidRPr="002511B8" w:rsidRDefault="00BD005E" w:rsidP="000A1EB1">
            <w:pPr>
              <w:jc w:val="center"/>
              <w:rPr>
                <w:rFonts w:eastAsia="Times New Roman" w:cs="Times New Roman"/>
                <w:b/>
                <w:szCs w:val="24"/>
                <w:lang w:eastAsia="cs-CZ"/>
              </w:rPr>
            </w:pPr>
            <w:r w:rsidRPr="002511B8">
              <w:rPr>
                <w:rFonts w:eastAsia="Times New Roman" w:cs="Times New Roman"/>
                <w:b/>
                <w:szCs w:val="24"/>
                <w:lang w:eastAsia="cs-CZ"/>
              </w:rPr>
              <w:t>Skutečnost</w:t>
            </w:r>
          </w:p>
          <w:p w14:paraId="569D3ADC" w14:textId="67BCB02C" w:rsidR="00BD005E" w:rsidRPr="002511B8" w:rsidRDefault="00CB2E36" w:rsidP="00797D1C">
            <w:pPr>
              <w:jc w:val="center"/>
              <w:rPr>
                <w:rFonts w:eastAsia="Times New Roman" w:cs="Times New Roman"/>
                <w:b/>
                <w:szCs w:val="24"/>
                <w:lang w:eastAsia="cs-CZ"/>
              </w:rPr>
            </w:pPr>
            <w:r w:rsidRPr="002511B8">
              <w:rPr>
                <w:rFonts w:eastAsia="Times New Roman" w:cs="Times New Roman"/>
                <w:b/>
                <w:szCs w:val="24"/>
                <w:lang w:eastAsia="cs-CZ"/>
              </w:rPr>
              <w:t>202</w:t>
            </w:r>
            <w:r w:rsidR="002511B8" w:rsidRPr="002511B8">
              <w:rPr>
                <w:rFonts w:eastAsia="Times New Roman" w:cs="Times New Roman"/>
                <w:b/>
                <w:szCs w:val="24"/>
                <w:lang w:eastAsia="cs-CZ"/>
              </w:rPr>
              <w:t>3</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8E7F538" w14:textId="77777777" w:rsidR="00BD005E" w:rsidRPr="002511B8" w:rsidRDefault="00BD005E" w:rsidP="000A1EB1">
            <w:pPr>
              <w:jc w:val="center"/>
              <w:rPr>
                <w:rFonts w:eastAsia="Times New Roman" w:cs="Times New Roman"/>
                <w:b/>
                <w:szCs w:val="24"/>
                <w:lang w:eastAsia="cs-CZ"/>
              </w:rPr>
            </w:pPr>
            <w:r w:rsidRPr="002511B8">
              <w:rPr>
                <w:rFonts w:eastAsia="Times New Roman" w:cs="Times New Roman"/>
                <w:b/>
                <w:szCs w:val="24"/>
                <w:lang w:eastAsia="cs-CZ"/>
              </w:rPr>
              <w:t>Schválený</w:t>
            </w:r>
          </w:p>
          <w:p w14:paraId="25B74361" w14:textId="77777777" w:rsidR="00BD005E" w:rsidRPr="002511B8" w:rsidRDefault="00BD005E" w:rsidP="000A1EB1">
            <w:pPr>
              <w:jc w:val="center"/>
              <w:rPr>
                <w:rFonts w:eastAsia="Times New Roman" w:cs="Times New Roman"/>
                <w:b/>
                <w:szCs w:val="24"/>
                <w:lang w:eastAsia="cs-CZ"/>
              </w:rPr>
            </w:pPr>
            <w:r w:rsidRPr="002511B8">
              <w:rPr>
                <w:rFonts w:eastAsia="Times New Roman" w:cs="Times New Roman"/>
                <w:b/>
                <w:szCs w:val="24"/>
                <w:lang w:eastAsia="cs-CZ"/>
              </w:rPr>
              <w:t>rozpočet</w:t>
            </w:r>
          </w:p>
          <w:p w14:paraId="02A0B882" w14:textId="69EF9595" w:rsidR="00BD005E" w:rsidRPr="002511B8" w:rsidRDefault="00CB2E36" w:rsidP="000A1EB1">
            <w:pPr>
              <w:jc w:val="center"/>
              <w:rPr>
                <w:rFonts w:eastAsia="Times New Roman" w:cs="Times New Roman"/>
                <w:b/>
                <w:szCs w:val="24"/>
                <w:lang w:eastAsia="cs-CZ"/>
              </w:rPr>
            </w:pPr>
            <w:r w:rsidRPr="002511B8">
              <w:rPr>
                <w:rFonts w:eastAsia="Times New Roman" w:cs="Times New Roman"/>
                <w:b/>
                <w:szCs w:val="24"/>
                <w:lang w:eastAsia="cs-CZ"/>
              </w:rPr>
              <w:t>202</w:t>
            </w:r>
            <w:r w:rsidR="002511B8" w:rsidRPr="002511B8">
              <w:rPr>
                <w:rFonts w:eastAsia="Times New Roman" w:cs="Times New Roman"/>
                <w:b/>
                <w:szCs w:val="24"/>
                <w:lang w:eastAsia="cs-CZ"/>
              </w:rPr>
              <w:t>4</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AD305A7" w14:textId="77777777" w:rsidR="00BD005E" w:rsidRPr="002511B8" w:rsidRDefault="00BD005E" w:rsidP="000A1EB1">
            <w:pPr>
              <w:jc w:val="center"/>
              <w:rPr>
                <w:rFonts w:eastAsia="Times New Roman" w:cs="Times New Roman"/>
                <w:b/>
                <w:szCs w:val="24"/>
                <w:lang w:eastAsia="cs-CZ"/>
              </w:rPr>
            </w:pPr>
            <w:r w:rsidRPr="002511B8">
              <w:rPr>
                <w:rFonts w:eastAsia="Times New Roman" w:cs="Times New Roman"/>
                <w:b/>
                <w:szCs w:val="24"/>
                <w:lang w:eastAsia="cs-CZ"/>
              </w:rPr>
              <w:t>Návrh</w:t>
            </w:r>
          </w:p>
          <w:p w14:paraId="3C8CBAE0" w14:textId="77777777" w:rsidR="00BD005E" w:rsidRPr="002511B8" w:rsidRDefault="00BD005E" w:rsidP="000A1EB1">
            <w:pPr>
              <w:jc w:val="center"/>
              <w:rPr>
                <w:rFonts w:eastAsia="Times New Roman" w:cs="Times New Roman"/>
                <w:b/>
                <w:szCs w:val="24"/>
                <w:lang w:eastAsia="cs-CZ"/>
              </w:rPr>
            </w:pPr>
            <w:r w:rsidRPr="002511B8">
              <w:rPr>
                <w:rFonts w:eastAsia="Times New Roman" w:cs="Times New Roman"/>
                <w:b/>
                <w:szCs w:val="24"/>
                <w:lang w:eastAsia="cs-CZ"/>
              </w:rPr>
              <w:t>rozpočtu</w:t>
            </w:r>
          </w:p>
          <w:p w14:paraId="7DEA00CF" w14:textId="6CBB041C" w:rsidR="00BD005E" w:rsidRPr="002511B8" w:rsidRDefault="00CB2E36" w:rsidP="000A1EB1">
            <w:pPr>
              <w:jc w:val="center"/>
              <w:rPr>
                <w:rFonts w:eastAsia="Times New Roman" w:cs="Times New Roman"/>
                <w:b/>
                <w:szCs w:val="24"/>
                <w:lang w:eastAsia="cs-CZ"/>
              </w:rPr>
            </w:pPr>
            <w:r w:rsidRPr="002511B8">
              <w:rPr>
                <w:rFonts w:eastAsia="Times New Roman" w:cs="Times New Roman"/>
                <w:b/>
                <w:szCs w:val="24"/>
                <w:lang w:eastAsia="cs-CZ"/>
              </w:rPr>
              <w:t>202</w:t>
            </w:r>
            <w:r w:rsidR="002511B8" w:rsidRPr="002511B8">
              <w:rPr>
                <w:rFonts w:eastAsia="Times New Roman" w:cs="Times New Roman"/>
                <w:b/>
                <w:szCs w:val="24"/>
                <w:lang w:eastAsia="cs-CZ"/>
              </w:rPr>
              <w:t>5</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2DF273" w14:textId="77777777" w:rsidR="00BD005E" w:rsidRPr="002511B8" w:rsidRDefault="00BD005E" w:rsidP="000A1EB1">
            <w:pPr>
              <w:jc w:val="center"/>
              <w:rPr>
                <w:rFonts w:eastAsia="Times New Roman" w:cs="Times New Roman"/>
                <w:b/>
                <w:szCs w:val="24"/>
                <w:lang w:eastAsia="cs-CZ"/>
              </w:rPr>
            </w:pPr>
            <w:r w:rsidRPr="002511B8">
              <w:rPr>
                <w:rFonts w:eastAsia="Times New Roman" w:cs="Times New Roman"/>
                <w:b/>
                <w:szCs w:val="24"/>
                <w:lang w:eastAsia="cs-CZ"/>
              </w:rPr>
              <w:t>Index</w:t>
            </w:r>
          </w:p>
          <w:p w14:paraId="1EBAD2F6" w14:textId="25444681" w:rsidR="00BD005E" w:rsidRPr="002511B8" w:rsidRDefault="00CB2E36">
            <w:pPr>
              <w:jc w:val="center"/>
              <w:rPr>
                <w:rFonts w:eastAsia="Times New Roman" w:cs="Times New Roman"/>
                <w:b/>
                <w:szCs w:val="24"/>
                <w:lang w:eastAsia="cs-CZ"/>
              </w:rPr>
            </w:pPr>
            <w:r w:rsidRPr="002511B8">
              <w:rPr>
                <w:rFonts w:eastAsia="Times New Roman" w:cs="Times New Roman"/>
                <w:b/>
                <w:szCs w:val="24"/>
                <w:lang w:eastAsia="cs-CZ"/>
              </w:rPr>
              <w:t>202</w:t>
            </w:r>
            <w:r w:rsidR="002511B8" w:rsidRPr="002511B8">
              <w:rPr>
                <w:rFonts w:eastAsia="Times New Roman" w:cs="Times New Roman"/>
                <w:b/>
                <w:szCs w:val="24"/>
                <w:lang w:eastAsia="cs-CZ"/>
              </w:rPr>
              <w:t>5</w:t>
            </w:r>
            <w:r w:rsidR="00BD005E" w:rsidRPr="002511B8">
              <w:rPr>
                <w:rFonts w:eastAsia="Times New Roman" w:cs="Times New Roman"/>
                <w:b/>
                <w:szCs w:val="24"/>
                <w:lang w:eastAsia="cs-CZ"/>
              </w:rPr>
              <w:t>/</w:t>
            </w:r>
            <w:r w:rsidR="00BD005E" w:rsidRPr="002511B8">
              <w:rPr>
                <w:rFonts w:eastAsia="Times New Roman" w:cs="Times New Roman"/>
                <w:b/>
                <w:szCs w:val="24"/>
                <w:lang w:eastAsia="cs-CZ"/>
              </w:rPr>
              <w:br/>
            </w:r>
            <w:r w:rsidRPr="002511B8">
              <w:rPr>
                <w:rFonts w:eastAsia="Times New Roman" w:cs="Times New Roman"/>
                <w:b/>
                <w:szCs w:val="24"/>
                <w:lang w:eastAsia="cs-CZ"/>
              </w:rPr>
              <w:t>202</w:t>
            </w:r>
            <w:r w:rsidR="002511B8" w:rsidRPr="002511B8">
              <w:rPr>
                <w:rFonts w:eastAsia="Times New Roman" w:cs="Times New Roman"/>
                <w:b/>
                <w:szCs w:val="24"/>
                <w:lang w:eastAsia="cs-CZ"/>
              </w:rPr>
              <w:t>4</w:t>
            </w:r>
            <w:r w:rsidRPr="002511B8">
              <w:rPr>
                <w:rFonts w:eastAsia="Times New Roman" w:cs="Times New Roman"/>
                <w:b/>
                <w:szCs w:val="24"/>
                <w:lang w:eastAsia="cs-CZ"/>
              </w:rPr>
              <w:t xml:space="preserve"> </w:t>
            </w:r>
            <w:r w:rsidR="00BD005E" w:rsidRPr="002511B8">
              <w:rPr>
                <w:rFonts w:eastAsia="Times New Roman" w:cs="Times New Roman"/>
                <w:b/>
                <w:szCs w:val="24"/>
                <w:lang w:eastAsia="cs-CZ"/>
              </w:rPr>
              <w:br/>
              <w:t>(v %)</w:t>
            </w:r>
          </w:p>
        </w:tc>
      </w:tr>
      <w:tr w:rsidR="00AA1D3E" w:rsidRPr="002511B8" w14:paraId="64A4FEB3" w14:textId="77777777" w:rsidTr="000A1EB1">
        <w:tc>
          <w:tcPr>
            <w:tcW w:w="4280" w:type="dxa"/>
            <w:tcBorders>
              <w:top w:val="single" w:sz="4" w:space="0" w:color="7F7F7F" w:themeColor="text1" w:themeTint="80"/>
              <w:bottom w:val="single" w:sz="8" w:space="0" w:color="7F7F7F" w:themeColor="text1" w:themeTint="80"/>
            </w:tcBorders>
            <w:shd w:val="clear" w:color="auto" w:fill="auto"/>
          </w:tcPr>
          <w:p w14:paraId="16525F19" w14:textId="77777777" w:rsidR="00BD005E" w:rsidRPr="002511B8" w:rsidRDefault="00BD005E" w:rsidP="000A1EB1">
            <w:pPr>
              <w:jc w:val="center"/>
              <w:rPr>
                <w:rFonts w:eastAsia="Times New Roman" w:cs="Times New Roman"/>
                <w:szCs w:val="24"/>
                <w:lang w:eastAsia="cs-CZ"/>
              </w:rPr>
            </w:pPr>
            <w:r w:rsidRPr="002511B8">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14:paraId="7116F0D6" w14:textId="77777777" w:rsidR="00BD005E" w:rsidRPr="002511B8" w:rsidRDefault="00BD005E" w:rsidP="000A1EB1">
            <w:pPr>
              <w:jc w:val="center"/>
              <w:rPr>
                <w:rFonts w:eastAsia="Times New Roman" w:cs="Times New Roman"/>
                <w:szCs w:val="24"/>
                <w:lang w:eastAsia="cs-CZ"/>
              </w:rPr>
            </w:pPr>
            <w:r w:rsidRPr="002511B8">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18223724" w14:textId="77777777" w:rsidR="00BD005E" w:rsidRPr="002511B8" w:rsidRDefault="00BD005E" w:rsidP="000A1EB1">
            <w:pPr>
              <w:jc w:val="center"/>
              <w:rPr>
                <w:rFonts w:eastAsia="Times New Roman" w:cs="Times New Roman"/>
                <w:szCs w:val="24"/>
                <w:lang w:eastAsia="cs-CZ"/>
              </w:rPr>
            </w:pPr>
            <w:r w:rsidRPr="002511B8">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73AA0D42" w14:textId="77777777" w:rsidR="00BD005E" w:rsidRPr="002511B8" w:rsidRDefault="00BD005E" w:rsidP="000A1EB1">
            <w:pPr>
              <w:jc w:val="center"/>
              <w:rPr>
                <w:rFonts w:eastAsia="Times New Roman" w:cs="Times New Roman"/>
                <w:szCs w:val="24"/>
                <w:lang w:eastAsia="cs-CZ"/>
              </w:rPr>
            </w:pPr>
            <w:r w:rsidRPr="002511B8">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5DCB8B1F" w14:textId="77777777" w:rsidR="00BD005E" w:rsidRPr="002511B8" w:rsidRDefault="00BD005E" w:rsidP="000A1EB1">
            <w:pPr>
              <w:jc w:val="center"/>
              <w:rPr>
                <w:rFonts w:eastAsia="Times New Roman" w:cs="Times New Roman"/>
                <w:szCs w:val="24"/>
                <w:lang w:eastAsia="cs-CZ"/>
              </w:rPr>
            </w:pPr>
            <w:r w:rsidRPr="002511B8">
              <w:rPr>
                <w:rFonts w:eastAsia="Times New Roman" w:cs="Times New Roman"/>
                <w:szCs w:val="24"/>
                <w:lang w:eastAsia="cs-CZ"/>
              </w:rPr>
              <w:t>4</w:t>
            </w:r>
          </w:p>
        </w:tc>
      </w:tr>
      <w:tr w:rsidR="002511B8" w:rsidRPr="002511B8" w14:paraId="228FD9E5" w14:textId="77777777" w:rsidTr="00D175D6">
        <w:trPr>
          <w:trHeight w:val="468"/>
        </w:trPr>
        <w:tc>
          <w:tcPr>
            <w:tcW w:w="4280" w:type="dxa"/>
            <w:tcBorders>
              <w:top w:val="single" w:sz="8" w:space="0" w:color="7F7F7F" w:themeColor="text1" w:themeTint="80"/>
              <w:bottom w:val="single" w:sz="8" w:space="0" w:color="7F7F7F" w:themeColor="text1" w:themeTint="80"/>
            </w:tcBorders>
            <w:shd w:val="clear" w:color="auto" w:fill="auto"/>
          </w:tcPr>
          <w:p w14:paraId="28CBFC16" w14:textId="29E75D90" w:rsidR="002511B8" w:rsidRPr="002511B8" w:rsidRDefault="002511B8" w:rsidP="002511B8">
            <w:pPr>
              <w:spacing w:before="81"/>
              <w:rPr>
                <w:rFonts w:eastAsia="Times New Roman" w:cs="Times New Roman"/>
                <w:b/>
                <w:lang w:eastAsia="cs-CZ"/>
              </w:rPr>
            </w:pPr>
            <w:r w:rsidRPr="002511B8">
              <w:rPr>
                <w:rFonts w:eastAsia="Times New Roman" w:cs="Times New Roman"/>
                <w:b/>
                <w:bCs/>
                <w:lang w:eastAsia="cs-CZ"/>
              </w:rPr>
              <w:t xml:space="preserve">Běžné výdaje </w:t>
            </w:r>
            <w:r w:rsidRPr="002511B8">
              <w:rPr>
                <w:rFonts w:eastAsia="Times New Roman" w:cs="Times New Roman"/>
                <w:lang w:eastAsia="cs-CZ"/>
              </w:rPr>
              <w:t>v tom:</w:t>
            </w:r>
            <w:r w:rsidRPr="002511B8">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14:paraId="3492906A" w14:textId="16A37E76" w:rsidR="002511B8" w:rsidRPr="002511B8" w:rsidRDefault="002511B8" w:rsidP="002511B8">
            <w:pPr>
              <w:jc w:val="right"/>
              <w:rPr>
                <w:b/>
                <w:color w:val="FF0000"/>
                <w:szCs w:val="24"/>
              </w:rPr>
            </w:pPr>
            <w:r w:rsidRPr="002511B8">
              <w:rPr>
                <w:b/>
                <w:bCs/>
                <w:szCs w:val="24"/>
              </w:rPr>
              <w:t>75 591</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14:paraId="75BB03BA" w14:textId="7749A4A6" w:rsidR="002511B8" w:rsidRPr="002511B8" w:rsidRDefault="002511B8" w:rsidP="002511B8">
            <w:pPr>
              <w:jc w:val="right"/>
              <w:rPr>
                <w:b/>
                <w:color w:val="FF0000"/>
                <w:szCs w:val="24"/>
              </w:rPr>
            </w:pPr>
            <w:r w:rsidRPr="002511B8">
              <w:rPr>
                <w:b/>
                <w:bCs/>
                <w:szCs w:val="24"/>
              </w:rPr>
              <w:t>72 814</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228AF2E1" w14:textId="7B8F5F62" w:rsidR="002511B8" w:rsidRPr="002511B8" w:rsidRDefault="002511B8" w:rsidP="002511B8">
            <w:pPr>
              <w:jc w:val="right"/>
              <w:rPr>
                <w:rFonts w:eastAsia="Times New Roman" w:cs="Times New Roman"/>
                <w:b/>
                <w:lang w:eastAsia="cs-CZ"/>
              </w:rPr>
            </w:pPr>
            <w:r w:rsidRPr="002511B8">
              <w:rPr>
                <w:b/>
              </w:rPr>
              <w:t>76 565</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47946267" w14:textId="4B6217C1" w:rsidR="002511B8" w:rsidRPr="002511B8" w:rsidRDefault="002511B8" w:rsidP="002511B8">
            <w:pPr>
              <w:jc w:val="right"/>
              <w:rPr>
                <w:rFonts w:eastAsia="Times New Roman" w:cs="Times New Roman"/>
                <w:b/>
                <w:color w:val="FF0000"/>
                <w:lang w:eastAsia="cs-CZ"/>
              </w:rPr>
            </w:pPr>
            <w:r w:rsidRPr="002511B8">
              <w:rPr>
                <w:b/>
              </w:rPr>
              <w:t>105,15</w:t>
            </w:r>
          </w:p>
        </w:tc>
      </w:tr>
      <w:tr w:rsidR="002511B8" w:rsidRPr="002511B8" w14:paraId="2337C06F" w14:textId="77777777" w:rsidTr="00D175D6">
        <w:tc>
          <w:tcPr>
            <w:tcW w:w="4280" w:type="dxa"/>
            <w:tcBorders>
              <w:top w:val="single" w:sz="8" w:space="0" w:color="7F7F7F" w:themeColor="text1" w:themeTint="80"/>
              <w:bottom w:val="nil"/>
            </w:tcBorders>
            <w:shd w:val="clear" w:color="auto" w:fill="auto"/>
          </w:tcPr>
          <w:p w14:paraId="03A6DCD1" w14:textId="39FCDF0A" w:rsidR="002511B8" w:rsidRPr="002511B8" w:rsidRDefault="002511B8" w:rsidP="002511B8">
            <w:pPr>
              <w:rPr>
                <w:rFonts w:eastAsia="Times New Roman" w:cs="Times New Roman"/>
                <w:lang w:eastAsia="cs-CZ"/>
              </w:rPr>
            </w:pPr>
            <w:r w:rsidRPr="002511B8">
              <w:rPr>
                <w:rFonts w:eastAsia="Times New Roman" w:cs="Times New Roman"/>
                <w:lang w:eastAsia="cs-CZ"/>
              </w:rPr>
              <w:t>platy zaměstnanců a ostatní platby</w:t>
            </w:r>
          </w:p>
          <w:p w14:paraId="3372015D" w14:textId="77777777" w:rsidR="002511B8" w:rsidRPr="002511B8" w:rsidRDefault="002511B8" w:rsidP="002511B8">
            <w:pPr>
              <w:rPr>
                <w:rFonts w:eastAsia="Times New Roman" w:cs="Times New Roman"/>
                <w:lang w:eastAsia="cs-CZ"/>
              </w:rPr>
            </w:pPr>
            <w:r w:rsidRPr="002511B8">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14:paraId="37AB128B" w14:textId="739A7FC8" w:rsidR="002511B8" w:rsidRPr="002511B8" w:rsidRDefault="002511B8" w:rsidP="002511B8">
            <w:pPr>
              <w:jc w:val="right"/>
              <w:rPr>
                <w:color w:val="FF0000"/>
                <w:szCs w:val="24"/>
              </w:rPr>
            </w:pPr>
            <w:r w:rsidRPr="002511B8">
              <w:rPr>
                <w:szCs w:val="24"/>
              </w:rPr>
              <w:t>41 584</w:t>
            </w:r>
          </w:p>
        </w:tc>
        <w:tc>
          <w:tcPr>
            <w:tcW w:w="1276" w:type="dxa"/>
            <w:tcBorders>
              <w:top w:val="single" w:sz="4" w:space="0" w:color="auto"/>
              <w:left w:val="single" w:sz="4" w:space="0" w:color="auto"/>
              <w:bottom w:val="nil"/>
              <w:right w:val="single" w:sz="4" w:space="0" w:color="auto"/>
            </w:tcBorders>
            <w:vAlign w:val="center"/>
          </w:tcPr>
          <w:p w14:paraId="38F33C75" w14:textId="6BAE2681" w:rsidR="002511B8" w:rsidRPr="002511B8" w:rsidRDefault="002511B8" w:rsidP="002511B8">
            <w:pPr>
              <w:jc w:val="right"/>
              <w:rPr>
                <w:color w:val="FF0000"/>
                <w:szCs w:val="24"/>
              </w:rPr>
            </w:pPr>
            <w:r w:rsidRPr="002511B8">
              <w:rPr>
                <w:szCs w:val="24"/>
              </w:rPr>
              <w:t>41 754</w:t>
            </w:r>
          </w:p>
        </w:tc>
        <w:tc>
          <w:tcPr>
            <w:tcW w:w="1134" w:type="dxa"/>
            <w:tcBorders>
              <w:top w:val="single" w:sz="8" w:space="0" w:color="7F7F7F" w:themeColor="text1" w:themeTint="80"/>
              <w:bottom w:val="nil"/>
            </w:tcBorders>
            <w:shd w:val="clear" w:color="auto" w:fill="auto"/>
            <w:vAlign w:val="center"/>
          </w:tcPr>
          <w:p w14:paraId="666325CD" w14:textId="352B6F11" w:rsidR="002511B8" w:rsidRPr="002511B8" w:rsidRDefault="002511B8" w:rsidP="002511B8">
            <w:pPr>
              <w:jc w:val="right"/>
              <w:rPr>
                <w:rFonts w:eastAsia="Times New Roman" w:cs="Times New Roman"/>
                <w:lang w:eastAsia="cs-CZ"/>
              </w:rPr>
            </w:pPr>
            <w:r w:rsidRPr="002511B8">
              <w:t xml:space="preserve">43 678 </w:t>
            </w:r>
          </w:p>
        </w:tc>
        <w:tc>
          <w:tcPr>
            <w:tcW w:w="992" w:type="dxa"/>
            <w:tcBorders>
              <w:top w:val="single" w:sz="8" w:space="0" w:color="7F7F7F" w:themeColor="text1" w:themeTint="80"/>
              <w:bottom w:val="nil"/>
            </w:tcBorders>
            <w:shd w:val="clear" w:color="auto" w:fill="auto"/>
            <w:vAlign w:val="center"/>
          </w:tcPr>
          <w:p w14:paraId="04AE0663" w14:textId="57725BAC" w:rsidR="002511B8" w:rsidRPr="002511B8" w:rsidRDefault="002511B8" w:rsidP="002511B8">
            <w:pPr>
              <w:jc w:val="right"/>
              <w:rPr>
                <w:rFonts w:eastAsia="Times New Roman" w:cs="Times New Roman"/>
                <w:color w:val="FF0000"/>
                <w:lang w:eastAsia="cs-CZ"/>
              </w:rPr>
            </w:pPr>
            <w:r w:rsidRPr="002511B8">
              <w:t>104,61</w:t>
            </w:r>
          </w:p>
        </w:tc>
      </w:tr>
      <w:tr w:rsidR="002511B8" w:rsidRPr="002511B8" w14:paraId="6CBED4D0" w14:textId="77777777" w:rsidTr="00D175D6">
        <w:tc>
          <w:tcPr>
            <w:tcW w:w="4280" w:type="dxa"/>
            <w:tcBorders>
              <w:top w:val="nil"/>
              <w:bottom w:val="nil"/>
            </w:tcBorders>
            <w:shd w:val="clear" w:color="auto" w:fill="auto"/>
          </w:tcPr>
          <w:p w14:paraId="2CDE2C34" w14:textId="13B8335C" w:rsidR="002511B8" w:rsidRPr="002511B8" w:rsidRDefault="002511B8" w:rsidP="002511B8">
            <w:pPr>
              <w:jc w:val="left"/>
              <w:rPr>
                <w:rFonts w:eastAsia="Times New Roman" w:cs="Times New Roman"/>
                <w:i/>
                <w:lang w:eastAsia="cs-CZ"/>
              </w:rPr>
            </w:pPr>
            <w:r w:rsidRPr="002511B8">
              <w:rPr>
                <w:rFonts w:eastAsia="Times New Roman" w:cs="Times New Roman"/>
                <w:i/>
                <w:lang w:eastAsia="cs-CZ"/>
              </w:rPr>
              <w:t xml:space="preserve">z toho: výdaje na programy spolufin.           </w:t>
            </w:r>
            <w:r w:rsidRPr="002511B8">
              <w:rPr>
                <w:rFonts w:eastAsia="Times New Roman" w:cs="Times New Roman"/>
                <w:i/>
                <w:lang w:eastAsia="cs-CZ"/>
              </w:rPr>
              <w:tab/>
              <w:t>z rozpočtu EU</w:t>
            </w:r>
          </w:p>
        </w:tc>
        <w:tc>
          <w:tcPr>
            <w:tcW w:w="1380" w:type="dxa"/>
            <w:tcBorders>
              <w:top w:val="nil"/>
              <w:left w:val="single" w:sz="4" w:space="0" w:color="auto"/>
              <w:bottom w:val="nil"/>
              <w:right w:val="single" w:sz="4" w:space="0" w:color="auto"/>
            </w:tcBorders>
            <w:vAlign w:val="center"/>
          </w:tcPr>
          <w:p w14:paraId="6252A479" w14:textId="2E193D7E" w:rsidR="002511B8" w:rsidRPr="002511B8" w:rsidRDefault="002511B8" w:rsidP="002511B8">
            <w:pPr>
              <w:jc w:val="right"/>
              <w:rPr>
                <w:i/>
                <w:color w:val="FF0000"/>
                <w:szCs w:val="24"/>
              </w:rPr>
            </w:pPr>
            <w:r w:rsidRPr="002511B8">
              <w:t>0</w:t>
            </w:r>
          </w:p>
        </w:tc>
        <w:tc>
          <w:tcPr>
            <w:tcW w:w="1276" w:type="dxa"/>
            <w:tcBorders>
              <w:top w:val="nil"/>
              <w:left w:val="single" w:sz="4" w:space="0" w:color="auto"/>
              <w:bottom w:val="nil"/>
              <w:right w:val="single" w:sz="4" w:space="0" w:color="auto"/>
            </w:tcBorders>
            <w:vAlign w:val="center"/>
          </w:tcPr>
          <w:p w14:paraId="177CB124" w14:textId="7D9882A2" w:rsidR="002511B8" w:rsidRPr="002511B8" w:rsidRDefault="002511B8" w:rsidP="002511B8">
            <w:pPr>
              <w:jc w:val="right"/>
              <w:rPr>
                <w:i/>
                <w:color w:val="FF0000"/>
                <w:szCs w:val="24"/>
              </w:rPr>
            </w:pPr>
            <w:r w:rsidRPr="002511B8">
              <w:rPr>
                <w:i/>
                <w:iCs/>
              </w:rPr>
              <w:t>720</w:t>
            </w:r>
          </w:p>
        </w:tc>
        <w:tc>
          <w:tcPr>
            <w:tcW w:w="1134" w:type="dxa"/>
            <w:tcBorders>
              <w:top w:val="nil"/>
              <w:bottom w:val="nil"/>
            </w:tcBorders>
            <w:shd w:val="clear" w:color="auto" w:fill="auto"/>
            <w:vAlign w:val="center"/>
          </w:tcPr>
          <w:p w14:paraId="25A47D3C" w14:textId="319CB61D" w:rsidR="002511B8" w:rsidRPr="002511B8" w:rsidRDefault="002511B8" w:rsidP="002511B8">
            <w:pPr>
              <w:jc w:val="right"/>
              <w:rPr>
                <w:rFonts w:eastAsia="Times New Roman" w:cs="Times New Roman"/>
                <w:i/>
                <w:lang w:eastAsia="cs-CZ"/>
              </w:rPr>
            </w:pPr>
            <w:r w:rsidRPr="002511B8">
              <w:rPr>
                <w:i/>
                <w:iCs/>
              </w:rPr>
              <w:t>600</w:t>
            </w:r>
          </w:p>
        </w:tc>
        <w:tc>
          <w:tcPr>
            <w:tcW w:w="992" w:type="dxa"/>
            <w:tcBorders>
              <w:top w:val="nil"/>
              <w:bottom w:val="nil"/>
            </w:tcBorders>
            <w:shd w:val="clear" w:color="auto" w:fill="auto"/>
            <w:vAlign w:val="center"/>
          </w:tcPr>
          <w:p w14:paraId="32652164" w14:textId="6DADEA5D" w:rsidR="002511B8" w:rsidRPr="002511B8" w:rsidRDefault="002511B8" w:rsidP="002511B8">
            <w:pPr>
              <w:jc w:val="right"/>
              <w:rPr>
                <w:rFonts w:eastAsia="Times New Roman" w:cs="Times New Roman"/>
                <w:i/>
                <w:lang w:eastAsia="cs-CZ"/>
              </w:rPr>
            </w:pPr>
            <w:r w:rsidRPr="002511B8">
              <w:rPr>
                <w:i/>
                <w:iCs/>
              </w:rPr>
              <w:t>83,33</w:t>
            </w:r>
          </w:p>
        </w:tc>
      </w:tr>
      <w:tr w:rsidR="002511B8" w:rsidRPr="002511B8" w14:paraId="54BAD4EF" w14:textId="77777777" w:rsidTr="00D175D6">
        <w:tc>
          <w:tcPr>
            <w:tcW w:w="4280" w:type="dxa"/>
            <w:tcBorders>
              <w:top w:val="nil"/>
              <w:bottom w:val="nil"/>
            </w:tcBorders>
            <w:shd w:val="clear" w:color="auto" w:fill="auto"/>
          </w:tcPr>
          <w:p w14:paraId="6FF72772" w14:textId="0F7D319A"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77B1323A" w14:textId="0BBEB45B" w:rsidR="002511B8" w:rsidRPr="002511B8" w:rsidRDefault="002511B8" w:rsidP="002511B8">
            <w:pPr>
              <w:jc w:val="right"/>
              <w:rPr>
                <w:i/>
                <w:color w:val="FF0000"/>
                <w:szCs w:val="24"/>
              </w:rPr>
            </w:pPr>
            <w:r w:rsidRPr="002511B8">
              <w:t>0</w:t>
            </w:r>
          </w:p>
        </w:tc>
        <w:tc>
          <w:tcPr>
            <w:tcW w:w="1276" w:type="dxa"/>
            <w:tcBorders>
              <w:top w:val="nil"/>
              <w:left w:val="single" w:sz="4" w:space="0" w:color="auto"/>
              <w:bottom w:val="nil"/>
              <w:right w:val="single" w:sz="4" w:space="0" w:color="auto"/>
            </w:tcBorders>
            <w:vAlign w:val="center"/>
          </w:tcPr>
          <w:p w14:paraId="63E0D7F9" w14:textId="2ABA1B17" w:rsidR="002511B8" w:rsidRPr="002511B8" w:rsidRDefault="002511B8" w:rsidP="002511B8">
            <w:pPr>
              <w:jc w:val="right"/>
              <w:rPr>
                <w:i/>
                <w:color w:val="FF0000"/>
                <w:szCs w:val="24"/>
              </w:rPr>
            </w:pPr>
            <w:r w:rsidRPr="002511B8">
              <w:rPr>
                <w:i/>
                <w:iCs/>
              </w:rPr>
              <w:t>360</w:t>
            </w:r>
          </w:p>
        </w:tc>
        <w:tc>
          <w:tcPr>
            <w:tcW w:w="1134" w:type="dxa"/>
            <w:tcBorders>
              <w:top w:val="nil"/>
              <w:bottom w:val="nil"/>
            </w:tcBorders>
            <w:shd w:val="clear" w:color="auto" w:fill="auto"/>
            <w:vAlign w:val="center"/>
          </w:tcPr>
          <w:p w14:paraId="43CA63DE" w14:textId="7241FFBD" w:rsidR="002511B8" w:rsidRPr="002511B8" w:rsidRDefault="002511B8" w:rsidP="002511B8">
            <w:pPr>
              <w:jc w:val="right"/>
              <w:rPr>
                <w:rFonts w:eastAsia="Times New Roman" w:cs="Times New Roman"/>
                <w:i/>
                <w:lang w:eastAsia="cs-CZ"/>
              </w:rPr>
            </w:pPr>
            <w:r w:rsidRPr="002511B8">
              <w:rPr>
                <w:i/>
                <w:iCs/>
              </w:rPr>
              <w:t>300</w:t>
            </w:r>
          </w:p>
        </w:tc>
        <w:tc>
          <w:tcPr>
            <w:tcW w:w="992" w:type="dxa"/>
            <w:tcBorders>
              <w:top w:val="nil"/>
              <w:bottom w:val="nil"/>
            </w:tcBorders>
            <w:shd w:val="clear" w:color="auto" w:fill="auto"/>
            <w:vAlign w:val="center"/>
          </w:tcPr>
          <w:p w14:paraId="46661184" w14:textId="49F2A24F" w:rsidR="002511B8" w:rsidRPr="002511B8" w:rsidRDefault="002511B8" w:rsidP="002511B8">
            <w:pPr>
              <w:jc w:val="right"/>
              <w:rPr>
                <w:rFonts w:eastAsia="Times New Roman" w:cs="Times New Roman"/>
                <w:i/>
                <w:lang w:eastAsia="cs-CZ"/>
              </w:rPr>
            </w:pPr>
            <w:r w:rsidRPr="002511B8">
              <w:rPr>
                <w:i/>
                <w:iCs/>
              </w:rPr>
              <w:t>83,33</w:t>
            </w:r>
          </w:p>
        </w:tc>
      </w:tr>
      <w:tr w:rsidR="002511B8" w:rsidRPr="002511B8" w14:paraId="5A35969B" w14:textId="77777777" w:rsidTr="00D175D6">
        <w:tc>
          <w:tcPr>
            <w:tcW w:w="4280" w:type="dxa"/>
            <w:tcBorders>
              <w:top w:val="nil"/>
              <w:bottom w:val="single" w:sz="4" w:space="0" w:color="7F7F7F" w:themeColor="text1" w:themeTint="80"/>
            </w:tcBorders>
            <w:shd w:val="clear" w:color="auto" w:fill="auto"/>
          </w:tcPr>
          <w:p w14:paraId="1E87C8D1" w14:textId="37E7F90D"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5A2FB44B" w14:textId="2A40D9BB" w:rsidR="002511B8" w:rsidRPr="002511B8" w:rsidRDefault="002511B8" w:rsidP="002511B8">
            <w:pPr>
              <w:jc w:val="right"/>
              <w:rPr>
                <w:i/>
                <w:color w:val="FF0000"/>
                <w:szCs w:val="24"/>
              </w:rPr>
            </w:pPr>
            <w:r w:rsidRPr="002511B8">
              <w:t>0</w:t>
            </w:r>
          </w:p>
        </w:tc>
        <w:tc>
          <w:tcPr>
            <w:tcW w:w="1276" w:type="dxa"/>
            <w:tcBorders>
              <w:top w:val="nil"/>
              <w:left w:val="single" w:sz="4" w:space="0" w:color="auto"/>
              <w:bottom w:val="single" w:sz="4" w:space="0" w:color="auto"/>
              <w:right w:val="single" w:sz="4" w:space="0" w:color="auto"/>
            </w:tcBorders>
            <w:vAlign w:val="center"/>
          </w:tcPr>
          <w:p w14:paraId="73248E30" w14:textId="7D73AAA7" w:rsidR="002511B8" w:rsidRPr="002511B8" w:rsidRDefault="002511B8" w:rsidP="002511B8">
            <w:pPr>
              <w:jc w:val="right"/>
              <w:rPr>
                <w:i/>
                <w:color w:val="FF0000"/>
                <w:szCs w:val="24"/>
              </w:rPr>
            </w:pPr>
            <w:r w:rsidRPr="002511B8">
              <w:rPr>
                <w:i/>
                <w:iCs/>
              </w:rPr>
              <w:t>360</w:t>
            </w:r>
          </w:p>
        </w:tc>
        <w:tc>
          <w:tcPr>
            <w:tcW w:w="1134" w:type="dxa"/>
            <w:tcBorders>
              <w:top w:val="nil"/>
              <w:bottom w:val="single" w:sz="4" w:space="0" w:color="7F7F7F" w:themeColor="text1" w:themeTint="80"/>
            </w:tcBorders>
            <w:shd w:val="clear" w:color="auto" w:fill="auto"/>
            <w:vAlign w:val="center"/>
          </w:tcPr>
          <w:p w14:paraId="5C6FCBAF" w14:textId="54608559" w:rsidR="002511B8" w:rsidRPr="002511B8" w:rsidRDefault="002511B8" w:rsidP="002511B8">
            <w:pPr>
              <w:jc w:val="right"/>
              <w:rPr>
                <w:rFonts w:eastAsia="Times New Roman" w:cs="Times New Roman"/>
                <w:i/>
                <w:lang w:eastAsia="cs-CZ"/>
              </w:rPr>
            </w:pPr>
            <w:r w:rsidRPr="002511B8">
              <w:rPr>
                <w:i/>
                <w:iCs/>
              </w:rPr>
              <w:t>300</w:t>
            </w:r>
          </w:p>
        </w:tc>
        <w:tc>
          <w:tcPr>
            <w:tcW w:w="992" w:type="dxa"/>
            <w:tcBorders>
              <w:top w:val="nil"/>
              <w:bottom w:val="single" w:sz="4" w:space="0" w:color="7F7F7F" w:themeColor="text1" w:themeTint="80"/>
            </w:tcBorders>
            <w:shd w:val="clear" w:color="auto" w:fill="auto"/>
            <w:vAlign w:val="center"/>
          </w:tcPr>
          <w:p w14:paraId="47E5E957" w14:textId="1511D6C1" w:rsidR="002511B8" w:rsidRPr="002511B8" w:rsidRDefault="002511B8" w:rsidP="002511B8">
            <w:pPr>
              <w:jc w:val="right"/>
              <w:rPr>
                <w:rFonts w:eastAsia="Times New Roman" w:cs="Times New Roman"/>
                <w:i/>
                <w:lang w:eastAsia="cs-CZ"/>
              </w:rPr>
            </w:pPr>
            <w:r w:rsidRPr="002511B8">
              <w:rPr>
                <w:i/>
                <w:iCs/>
              </w:rPr>
              <w:t>83,33</w:t>
            </w:r>
          </w:p>
        </w:tc>
      </w:tr>
      <w:tr w:rsidR="002511B8" w:rsidRPr="002511B8" w14:paraId="1375D893" w14:textId="77777777" w:rsidTr="00D175D6">
        <w:tc>
          <w:tcPr>
            <w:tcW w:w="4280" w:type="dxa"/>
            <w:tcBorders>
              <w:top w:val="single" w:sz="4" w:space="0" w:color="7F7F7F" w:themeColor="text1" w:themeTint="80"/>
              <w:bottom w:val="nil"/>
            </w:tcBorders>
            <w:shd w:val="clear" w:color="auto" w:fill="auto"/>
          </w:tcPr>
          <w:p w14:paraId="54DF96A4" w14:textId="747AF0CC" w:rsidR="002511B8" w:rsidRPr="002511B8" w:rsidRDefault="002511B8" w:rsidP="002511B8">
            <w:pPr>
              <w:rPr>
                <w:rFonts w:eastAsia="Times New Roman" w:cs="Times New Roman"/>
                <w:lang w:eastAsia="cs-CZ"/>
              </w:rPr>
            </w:pPr>
            <w:r w:rsidRPr="002511B8">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14:paraId="20A305B8" w14:textId="0590AA67" w:rsidR="002511B8" w:rsidRPr="002511B8" w:rsidRDefault="002511B8" w:rsidP="002511B8">
            <w:pPr>
              <w:jc w:val="right"/>
              <w:rPr>
                <w:color w:val="FF0000"/>
                <w:szCs w:val="24"/>
              </w:rPr>
            </w:pPr>
            <w:r w:rsidRPr="002511B8">
              <w:rPr>
                <w:szCs w:val="24"/>
              </w:rPr>
              <w:t>14 020</w:t>
            </w:r>
          </w:p>
        </w:tc>
        <w:tc>
          <w:tcPr>
            <w:tcW w:w="1276" w:type="dxa"/>
            <w:tcBorders>
              <w:top w:val="single" w:sz="4" w:space="0" w:color="auto"/>
              <w:left w:val="single" w:sz="4" w:space="0" w:color="auto"/>
              <w:bottom w:val="nil"/>
              <w:right w:val="single" w:sz="4" w:space="0" w:color="auto"/>
            </w:tcBorders>
            <w:vAlign w:val="center"/>
          </w:tcPr>
          <w:p w14:paraId="291F2C27" w14:textId="2582003C" w:rsidR="002511B8" w:rsidRPr="002511B8" w:rsidRDefault="002511B8" w:rsidP="002511B8">
            <w:pPr>
              <w:jc w:val="right"/>
              <w:rPr>
                <w:color w:val="FF0000"/>
                <w:szCs w:val="24"/>
              </w:rPr>
            </w:pPr>
            <w:r w:rsidRPr="002511B8">
              <w:t>14 113</w:t>
            </w:r>
          </w:p>
        </w:tc>
        <w:tc>
          <w:tcPr>
            <w:tcW w:w="1134" w:type="dxa"/>
            <w:tcBorders>
              <w:top w:val="single" w:sz="4" w:space="0" w:color="7F7F7F" w:themeColor="text1" w:themeTint="80"/>
              <w:bottom w:val="nil"/>
            </w:tcBorders>
            <w:shd w:val="clear" w:color="auto" w:fill="auto"/>
            <w:vAlign w:val="center"/>
          </w:tcPr>
          <w:p w14:paraId="2BED9283" w14:textId="18676F8F" w:rsidR="002511B8" w:rsidRPr="002511B8" w:rsidRDefault="002511B8" w:rsidP="002511B8">
            <w:pPr>
              <w:jc w:val="right"/>
              <w:rPr>
                <w:rFonts w:eastAsia="Times New Roman" w:cs="Times New Roman"/>
                <w:lang w:eastAsia="cs-CZ"/>
              </w:rPr>
            </w:pPr>
            <w:r w:rsidRPr="002511B8">
              <w:t>14 763</w:t>
            </w:r>
          </w:p>
        </w:tc>
        <w:tc>
          <w:tcPr>
            <w:tcW w:w="992" w:type="dxa"/>
            <w:tcBorders>
              <w:top w:val="single" w:sz="4" w:space="0" w:color="7F7F7F" w:themeColor="text1" w:themeTint="80"/>
              <w:bottom w:val="nil"/>
            </w:tcBorders>
            <w:shd w:val="clear" w:color="auto" w:fill="auto"/>
            <w:vAlign w:val="center"/>
          </w:tcPr>
          <w:p w14:paraId="541A63DC" w14:textId="61D6C5A2" w:rsidR="002511B8" w:rsidRPr="002511B8" w:rsidRDefault="002511B8" w:rsidP="002511B8">
            <w:pPr>
              <w:jc w:val="right"/>
              <w:rPr>
                <w:rFonts w:eastAsia="Times New Roman" w:cs="Times New Roman"/>
                <w:lang w:eastAsia="cs-CZ"/>
              </w:rPr>
            </w:pPr>
            <w:r w:rsidRPr="002511B8">
              <w:t xml:space="preserve">104,61 </w:t>
            </w:r>
          </w:p>
        </w:tc>
      </w:tr>
      <w:tr w:rsidR="002511B8" w:rsidRPr="002511B8" w14:paraId="68DB73E0" w14:textId="77777777" w:rsidTr="00D175D6">
        <w:tc>
          <w:tcPr>
            <w:tcW w:w="4280" w:type="dxa"/>
            <w:tcBorders>
              <w:top w:val="nil"/>
              <w:bottom w:val="nil"/>
            </w:tcBorders>
            <w:shd w:val="clear" w:color="auto" w:fill="auto"/>
          </w:tcPr>
          <w:p w14:paraId="2B02373A" w14:textId="1C971CB4" w:rsidR="002511B8" w:rsidRPr="002511B8" w:rsidRDefault="002511B8" w:rsidP="002511B8">
            <w:pPr>
              <w:jc w:val="left"/>
              <w:rPr>
                <w:rFonts w:eastAsia="Times New Roman" w:cs="Times New Roman"/>
                <w:i/>
                <w:lang w:eastAsia="cs-CZ"/>
              </w:rPr>
            </w:pPr>
            <w:r w:rsidRPr="002511B8">
              <w:rPr>
                <w:rFonts w:eastAsia="Times New Roman" w:cs="Times New Roman"/>
                <w:i/>
                <w:lang w:eastAsia="cs-CZ"/>
              </w:rPr>
              <w:t xml:space="preserve">z toho: výdaje na programy spolufin.            </w:t>
            </w:r>
            <w:r w:rsidRPr="002511B8">
              <w:rPr>
                <w:rFonts w:eastAsia="Times New Roman" w:cs="Times New Roman"/>
                <w:i/>
                <w:lang w:eastAsia="cs-CZ"/>
              </w:rPr>
              <w:tab/>
              <w:t>z rozpočtu EU</w:t>
            </w:r>
          </w:p>
        </w:tc>
        <w:tc>
          <w:tcPr>
            <w:tcW w:w="1380" w:type="dxa"/>
            <w:tcBorders>
              <w:top w:val="nil"/>
              <w:left w:val="single" w:sz="4" w:space="0" w:color="auto"/>
              <w:bottom w:val="nil"/>
              <w:right w:val="single" w:sz="4" w:space="0" w:color="auto"/>
            </w:tcBorders>
            <w:vAlign w:val="center"/>
          </w:tcPr>
          <w:p w14:paraId="0F0D6BEA" w14:textId="5AA5D4BC" w:rsidR="002511B8" w:rsidRPr="002511B8" w:rsidRDefault="002511B8" w:rsidP="002511B8">
            <w:pPr>
              <w:jc w:val="right"/>
              <w:rPr>
                <w:i/>
                <w:color w:val="FF0000"/>
                <w:szCs w:val="24"/>
              </w:rPr>
            </w:pPr>
            <w:r w:rsidRPr="002511B8">
              <w:t>0</w:t>
            </w:r>
          </w:p>
        </w:tc>
        <w:tc>
          <w:tcPr>
            <w:tcW w:w="1276" w:type="dxa"/>
            <w:tcBorders>
              <w:top w:val="nil"/>
              <w:left w:val="single" w:sz="4" w:space="0" w:color="auto"/>
              <w:bottom w:val="nil"/>
              <w:right w:val="single" w:sz="4" w:space="0" w:color="auto"/>
            </w:tcBorders>
            <w:vAlign w:val="center"/>
          </w:tcPr>
          <w:p w14:paraId="10F19A32" w14:textId="551ED7B0" w:rsidR="002511B8" w:rsidRPr="002511B8" w:rsidRDefault="002511B8" w:rsidP="002511B8">
            <w:pPr>
              <w:jc w:val="right"/>
              <w:rPr>
                <w:i/>
                <w:color w:val="FF0000"/>
                <w:szCs w:val="24"/>
              </w:rPr>
            </w:pPr>
            <w:r w:rsidRPr="002511B8">
              <w:t>243</w:t>
            </w:r>
          </w:p>
        </w:tc>
        <w:tc>
          <w:tcPr>
            <w:tcW w:w="1134" w:type="dxa"/>
            <w:tcBorders>
              <w:top w:val="nil"/>
              <w:bottom w:val="nil"/>
            </w:tcBorders>
            <w:shd w:val="clear" w:color="auto" w:fill="auto"/>
            <w:vAlign w:val="center"/>
          </w:tcPr>
          <w:p w14:paraId="1FB52DC2" w14:textId="5013EDF8" w:rsidR="002511B8" w:rsidRPr="002511B8" w:rsidRDefault="002511B8" w:rsidP="002511B8">
            <w:pPr>
              <w:jc w:val="right"/>
              <w:rPr>
                <w:rFonts w:eastAsia="Times New Roman" w:cs="Times New Roman"/>
                <w:i/>
                <w:lang w:eastAsia="cs-CZ"/>
              </w:rPr>
            </w:pPr>
            <w:r w:rsidRPr="002511B8">
              <w:t>203</w:t>
            </w:r>
          </w:p>
        </w:tc>
        <w:tc>
          <w:tcPr>
            <w:tcW w:w="992" w:type="dxa"/>
            <w:tcBorders>
              <w:top w:val="nil"/>
              <w:bottom w:val="nil"/>
            </w:tcBorders>
            <w:shd w:val="clear" w:color="auto" w:fill="auto"/>
            <w:vAlign w:val="center"/>
          </w:tcPr>
          <w:p w14:paraId="04A92ACB" w14:textId="53B3543E" w:rsidR="002511B8" w:rsidRPr="002511B8" w:rsidRDefault="002511B8" w:rsidP="002511B8">
            <w:pPr>
              <w:jc w:val="right"/>
              <w:rPr>
                <w:rFonts w:eastAsia="Times New Roman" w:cs="Times New Roman"/>
                <w:i/>
                <w:lang w:eastAsia="cs-CZ"/>
              </w:rPr>
            </w:pPr>
            <w:r w:rsidRPr="002511B8">
              <w:t>83,54</w:t>
            </w:r>
          </w:p>
        </w:tc>
      </w:tr>
      <w:tr w:rsidR="002511B8" w:rsidRPr="002511B8" w14:paraId="4E09BD45" w14:textId="77777777" w:rsidTr="00D175D6">
        <w:tc>
          <w:tcPr>
            <w:tcW w:w="4280" w:type="dxa"/>
            <w:tcBorders>
              <w:top w:val="nil"/>
              <w:bottom w:val="nil"/>
            </w:tcBorders>
            <w:shd w:val="clear" w:color="auto" w:fill="auto"/>
          </w:tcPr>
          <w:p w14:paraId="45F9592D" w14:textId="452D839B"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09DEF668" w14:textId="055A1D6F" w:rsidR="002511B8" w:rsidRPr="002511B8" w:rsidRDefault="002511B8" w:rsidP="002511B8">
            <w:pPr>
              <w:jc w:val="right"/>
              <w:rPr>
                <w:i/>
                <w:color w:val="FF0000"/>
                <w:szCs w:val="24"/>
              </w:rPr>
            </w:pPr>
            <w:r w:rsidRPr="002511B8">
              <w:t>0</w:t>
            </w:r>
          </w:p>
        </w:tc>
        <w:tc>
          <w:tcPr>
            <w:tcW w:w="1276" w:type="dxa"/>
            <w:tcBorders>
              <w:top w:val="nil"/>
              <w:left w:val="single" w:sz="4" w:space="0" w:color="auto"/>
              <w:bottom w:val="nil"/>
              <w:right w:val="single" w:sz="4" w:space="0" w:color="auto"/>
            </w:tcBorders>
            <w:vAlign w:val="center"/>
          </w:tcPr>
          <w:p w14:paraId="499FAC34" w14:textId="2D985046" w:rsidR="002511B8" w:rsidRPr="002511B8" w:rsidRDefault="002511B8" w:rsidP="002511B8">
            <w:pPr>
              <w:jc w:val="right"/>
              <w:rPr>
                <w:i/>
                <w:color w:val="FF0000"/>
                <w:szCs w:val="24"/>
              </w:rPr>
            </w:pPr>
            <w:r w:rsidRPr="002511B8">
              <w:t>121,5</w:t>
            </w:r>
          </w:p>
        </w:tc>
        <w:tc>
          <w:tcPr>
            <w:tcW w:w="1134" w:type="dxa"/>
            <w:tcBorders>
              <w:top w:val="nil"/>
              <w:bottom w:val="nil"/>
            </w:tcBorders>
            <w:shd w:val="clear" w:color="auto" w:fill="auto"/>
            <w:vAlign w:val="center"/>
          </w:tcPr>
          <w:p w14:paraId="0D9E181E" w14:textId="59B24D45" w:rsidR="002511B8" w:rsidRPr="002511B8" w:rsidRDefault="002511B8" w:rsidP="002511B8">
            <w:pPr>
              <w:jc w:val="right"/>
              <w:rPr>
                <w:rFonts w:eastAsia="Times New Roman" w:cs="Times New Roman"/>
                <w:i/>
                <w:lang w:eastAsia="cs-CZ"/>
              </w:rPr>
            </w:pPr>
            <w:r w:rsidRPr="002511B8">
              <w:t>101,5</w:t>
            </w:r>
          </w:p>
        </w:tc>
        <w:tc>
          <w:tcPr>
            <w:tcW w:w="992" w:type="dxa"/>
            <w:tcBorders>
              <w:top w:val="nil"/>
              <w:bottom w:val="nil"/>
            </w:tcBorders>
            <w:shd w:val="clear" w:color="auto" w:fill="auto"/>
            <w:vAlign w:val="center"/>
          </w:tcPr>
          <w:p w14:paraId="050FE67B" w14:textId="6A1FD215" w:rsidR="002511B8" w:rsidRPr="002511B8" w:rsidRDefault="002511B8" w:rsidP="002511B8">
            <w:pPr>
              <w:jc w:val="right"/>
              <w:rPr>
                <w:rFonts w:eastAsia="Times New Roman" w:cs="Times New Roman"/>
                <w:i/>
                <w:lang w:eastAsia="cs-CZ"/>
              </w:rPr>
            </w:pPr>
            <w:r w:rsidRPr="002511B8">
              <w:t>83,54</w:t>
            </w:r>
          </w:p>
        </w:tc>
      </w:tr>
      <w:tr w:rsidR="002511B8" w:rsidRPr="002511B8" w14:paraId="7E62E747" w14:textId="77777777" w:rsidTr="00D175D6">
        <w:tc>
          <w:tcPr>
            <w:tcW w:w="4280" w:type="dxa"/>
            <w:tcBorders>
              <w:top w:val="nil"/>
              <w:bottom w:val="single" w:sz="4" w:space="0" w:color="auto"/>
            </w:tcBorders>
            <w:shd w:val="clear" w:color="auto" w:fill="auto"/>
          </w:tcPr>
          <w:p w14:paraId="66AEEFEF" w14:textId="1E702176"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603784EE" w14:textId="54CD4D34" w:rsidR="002511B8" w:rsidRPr="002511B8" w:rsidRDefault="002511B8" w:rsidP="002511B8">
            <w:pPr>
              <w:jc w:val="right"/>
              <w:rPr>
                <w:i/>
                <w:color w:val="FF0000"/>
                <w:szCs w:val="24"/>
              </w:rPr>
            </w:pPr>
            <w:r w:rsidRPr="002511B8">
              <w:t>0</w:t>
            </w:r>
          </w:p>
        </w:tc>
        <w:tc>
          <w:tcPr>
            <w:tcW w:w="1276" w:type="dxa"/>
            <w:tcBorders>
              <w:top w:val="nil"/>
              <w:left w:val="single" w:sz="4" w:space="0" w:color="auto"/>
              <w:bottom w:val="single" w:sz="4" w:space="0" w:color="auto"/>
              <w:right w:val="single" w:sz="4" w:space="0" w:color="auto"/>
            </w:tcBorders>
            <w:vAlign w:val="center"/>
          </w:tcPr>
          <w:p w14:paraId="4CF387E2" w14:textId="1FA2B739" w:rsidR="002511B8" w:rsidRPr="002511B8" w:rsidRDefault="002511B8" w:rsidP="002511B8">
            <w:pPr>
              <w:jc w:val="right"/>
              <w:rPr>
                <w:i/>
                <w:color w:val="FF0000"/>
                <w:szCs w:val="24"/>
              </w:rPr>
            </w:pPr>
            <w:r w:rsidRPr="002511B8">
              <w:t>121,5</w:t>
            </w:r>
          </w:p>
        </w:tc>
        <w:tc>
          <w:tcPr>
            <w:tcW w:w="1134" w:type="dxa"/>
            <w:tcBorders>
              <w:top w:val="nil"/>
              <w:bottom w:val="single" w:sz="4" w:space="0" w:color="auto"/>
            </w:tcBorders>
            <w:shd w:val="clear" w:color="auto" w:fill="auto"/>
            <w:vAlign w:val="center"/>
          </w:tcPr>
          <w:p w14:paraId="35B0D8BF" w14:textId="1D62A924" w:rsidR="002511B8" w:rsidRPr="002511B8" w:rsidRDefault="002511B8" w:rsidP="002511B8">
            <w:pPr>
              <w:jc w:val="right"/>
              <w:rPr>
                <w:rFonts w:eastAsia="Times New Roman" w:cs="Times New Roman"/>
                <w:i/>
                <w:lang w:eastAsia="cs-CZ"/>
              </w:rPr>
            </w:pPr>
            <w:r w:rsidRPr="002511B8">
              <w:t>101,5</w:t>
            </w:r>
          </w:p>
        </w:tc>
        <w:tc>
          <w:tcPr>
            <w:tcW w:w="992" w:type="dxa"/>
            <w:tcBorders>
              <w:top w:val="nil"/>
              <w:bottom w:val="single" w:sz="4" w:space="0" w:color="auto"/>
            </w:tcBorders>
            <w:shd w:val="clear" w:color="auto" w:fill="auto"/>
            <w:vAlign w:val="center"/>
          </w:tcPr>
          <w:p w14:paraId="5C77E396" w14:textId="21FBF130" w:rsidR="002511B8" w:rsidRPr="002511B8" w:rsidRDefault="002511B8" w:rsidP="002511B8">
            <w:pPr>
              <w:jc w:val="right"/>
              <w:rPr>
                <w:rFonts w:eastAsia="Times New Roman" w:cs="Times New Roman"/>
                <w:i/>
                <w:lang w:eastAsia="cs-CZ"/>
              </w:rPr>
            </w:pPr>
            <w:r w:rsidRPr="002511B8">
              <w:t>83,54</w:t>
            </w:r>
          </w:p>
        </w:tc>
      </w:tr>
      <w:tr w:rsidR="002511B8" w:rsidRPr="002511B8" w14:paraId="4C1A569C" w14:textId="77777777" w:rsidTr="00D175D6">
        <w:tc>
          <w:tcPr>
            <w:tcW w:w="4280" w:type="dxa"/>
            <w:tcBorders>
              <w:top w:val="single" w:sz="4" w:space="0" w:color="auto"/>
              <w:bottom w:val="nil"/>
            </w:tcBorders>
            <w:shd w:val="clear" w:color="auto" w:fill="auto"/>
          </w:tcPr>
          <w:p w14:paraId="1F5EA6A3" w14:textId="3007A8B6" w:rsidR="002511B8" w:rsidRPr="002511B8" w:rsidRDefault="002511B8" w:rsidP="002511B8">
            <w:pPr>
              <w:rPr>
                <w:rFonts w:eastAsia="Times New Roman" w:cs="Times New Roman"/>
                <w:i/>
                <w:lang w:eastAsia="cs-CZ"/>
              </w:rPr>
            </w:pPr>
            <w:r w:rsidRPr="002511B8">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14:paraId="0D2B7AC2" w14:textId="68AAB9E1" w:rsidR="002511B8" w:rsidRPr="002511B8" w:rsidRDefault="002511B8" w:rsidP="002511B8">
            <w:pPr>
              <w:jc w:val="right"/>
              <w:rPr>
                <w:color w:val="FF0000"/>
              </w:rPr>
            </w:pPr>
            <w:r w:rsidRPr="002511B8">
              <w:rPr>
                <w:szCs w:val="24"/>
              </w:rPr>
              <w:t>830</w:t>
            </w:r>
          </w:p>
        </w:tc>
        <w:tc>
          <w:tcPr>
            <w:tcW w:w="1276" w:type="dxa"/>
            <w:tcBorders>
              <w:top w:val="single" w:sz="4" w:space="0" w:color="auto"/>
              <w:left w:val="single" w:sz="4" w:space="0" w:color="auto"/>
              <w:bottom w:val="nil"/>
              <w:right w:val="single" w:sz="4" w:space="0" w:color="auto"/>
            </w:tcBorders>
            <w:vAlign w:val="center"/>
          </w:tcPr>
          <w:p w14:paraId="58111926" w14:textId="25EE9986" w:rsidR="002511B8" w:rsidRPr="002511B8" w:rsidRDefault="002511B8" w:rsidP="002511B8">
            <w:pPr>
              <w:jc w:val="right"/>
              <w:rPr>
                <w:color w:val="FF0000"/>
              </w:rPr>
            </w:pPr>
            <w:r w:rsidRPr="002511B8">
              <w:t>416</w:t>
            </w:r>
          </w:p>
        </w:tc>
        <w:tc>
          <w:tcPr>
            <w:tcW w:w="1134" w:type="dxa"/>
            <w:tcBorders>
              <w:top w:val="single" w:sz="4" w:space="0" w:color="auto"/>
              <w:bottom w:val="nil"/>
            </w:tcBorders>
            <w:shd w:val="clear" w:color="auto" w:fill="auto"/>
            <w:vAlign w:val="center"/>
          </w:tcPr>
          <w:p w14:paraId="22FEBB3F" w14:textId="6C85FBB7" w:rsidR="002511B8" w:rsidRPr="002511B8" w:rsidRDefault="002511B8" w:rsidP="002511B8">
            <w:pPr>
              <w:jc w:val="right"/>
            </w:pPr>
            <w:r w:rsidRPr="002511B8">
              <w:t>435</w:t>
            </w:r>
          </w:p>
        </w:tc>
        <w:tc>
          <w:tcPr>
            <w:tcW w:w="992" w:type="dxa"/>
            <w:tcBorders>
              <w:top w:val="single" w:sz="4" w:space="0" w:color="auto"/>
              <w:bottom w:val="nil"/>
            </w:tcBorders>
            <w:shd w:val="clear" w:color="auto" w:fill="auto"/>
            <w:vAlign w:val="center"/>
          </w:tcPr>
          <w:p w14:paraId="21621DB4" w14:textId="5A79BBB0" w:rsidR="002511B8" w:rsidRPr="002511B8" w:rsidRDefault="002511B8" w:rsidP="002511B8">
            <w:pPr>
              <w:jc w:val="right"/>
            </w:pPr>
            <w:r w:rsidRPr="002511B8">
              <w:t>104,57</w:t>
            </w:r>
          </w:p>
        </w:tc>
      </w:tr>
      <w:tr w:rsidR="002511B8" w:rsidRPr="002511B8" w14:paraId="4C4E2A7C" w14:textId="77777777" w:rsidTr="00D175D6">
        <w:tc>
          <w:tcPr>
            <w:tcW w:w="4280" w:type="dxa"/>
            <w:tcBorders>
              <w:top w:val="nil"/>
              <w:bottom w:val="nil"/>
            </w:tcBorders>
            <w:shd w:val="clear" w:color="auto" w:fill="auto"/>
          </w:tcPr>
          <w:p w14:paraId="40D91B42" w14:textId="6C34D56B" w:rsidR="002511B8" w:rsidRPr="002511B8" w:rsidRDefault="002511B8" w:rsidP="002511B8">
            <w:pPr>
              <w:jc w:val="left"/>
              <w:rPr>
                <w:rFonts w:eastAsia="Times New Roman" w:cs="Times New Roman"/>
                <w:i/>
                <w:lang w:eastAsia="cs-CZ"/>
              </w:rPr>
            </w:pPr>
            <w:r w:rsidRPr="002511B8">
              <w:rPr>
                <w:rFonts w:eastAsia="Times New Roman" w:cs="Times New Roman"/>
                <w:i/>
                <w:lang w:eastAsia="cs-CZ"/>
              </w:rPr>
              <w:t xml:space="preserve">z toho: výdaje na programy spolufin.            </w:t>
            </w:r>
            <w:r w:rsidRPr="002511B8">
              <w:rPr>
                <w:rFonts w:eastAsia="Times New Roman" w:cs="Times New Roman"/>
                <w:i/>
                <w:lang w:eastAsia="cs-CZ"/>
              </w:rPr>
              <w:tab/>
              <w:t>z rozpočtu EU</w:t>
            </w:r>
          </w:p>
        </w:tc>
        <w:tc>
          <w:tcPr>
            <w:tcW w:w="1380" w:type="dxa"/>
            <w:tcBorders>
              <w:top w:val="nil"/>
              <w:left w:val="single" w:sz="4" w:space="0" w:color="auto"/>
              <w:bottom w:val="nil"/>
              <w:right w:val="single" w:sz="4" w:space="0" w:color="auto"/>
            </w:tcBorders>
            <w:vAlign w:val="center"/>
          </w:tcPr>
          <w:p w14:paraId="63F77822" w14:textId="37DC7377" w:rsidR="002511B8" w:rsidRPr="002511B8" w:rsidRDefault="002511B8" w:rsidP="002511B8">
            <w:pPr>
              <w:jc w:val="right"/>
              <w:rPr>
                <w:color w:val="FF0000"/>
              </w:rPr>
            </w:pPr>
            <w:r w:rsidRPr="002511B8">
              <w:t>0</w:t>
            </w:r>
          </w:p>
        </w:tc>
        <w:tc>
          <w:tcPr>
            <w:tcW w:w="1276" w:type="dxa"/>
            <w:tcBorders>
              <w:top w:val="nil"/>
              <w:left w:val="single" w:sz="4" w:space="0" w:color="auto"/>
              <w:bottom w:val="nil"/>
              <w:right w:val="single" w:sz="4" w:space="0" w:color="auto"/>
            </w:tcBorders>
            <w:vAlign w:val="center"/>
          </w:tcPr>
          <w:p w14:paraId="27C8A34B" w14:textId="6E6E53B9" w:rsidR="002511B8" w:rsidRPr="002511B8" w:rsidRDefault="002511B8" w:rsidP="002511B8">
            <w:pPr>
              <w:jc w:val="right"/>
              <w:rPr>
                <w:color w:val="FF0000"/>
              </w:rPr>
            </w:pPr>
            <w:r w:rsidRPr="002511B8">
              <w:t>7,2</w:t>
            </w:r>
          </w:p>
        </w:tc>
        <w:tc>
          <w:tcPr>
            <w:tcW w:w="1134" w:type="dxa"/>
            <w:tcBorders>
              <w:top w:val="nil"/>
              <w:bottom w:val="nil"/>
            </w:tcBorders>
            <w:shd w:val="clear" w:color="auto" w:fill="auto"/>
            <w:vAlign w:val="center"/>
          </w:tcPr>
          <w:p w14:paraId="572D4026" w14:textId="1904B0BD" w:rsidR="002511B8" w:rsidRPr="002511B8" w:rsidRDefault="002511B8" w:rsidP="002511B8">
            <w:pPr>
              <w:jc w:val="right"/>
            </w:pPr>
            <w:r w:rsidRPr="002511B8">
              <w:t>6</w:t>
            </w:r>
          </w:p>
        </w:tc>
        <w:tc>
          <w:tcPr>
            <w:tcW w:w="992" w:type="dxa"/>
            <w:tcBorders>
              <w:top w:val="nil"/>
              <w:bottom w:val="nil"/>
            </w:tcBorders>
            <w:shd w:val="clear" w:color="auto" w:fill="auto"/>
            <w:vAlign w:val="center"/>
          </w:tcPr>
          <w:p w14:paraId="7E02CBB7" w14:textId="7D8C2B14" w:rsidR="002511B8" w:rsidRPr="002511B8" w:rsidRDefault="002511B8" w:rsidP="002511B8">
            <w:pPr>
              <w:jc w:val="right"/>
            </w:pPr>
            <w:r w:rsidRPr="002511B8">
              <w:t>83,33</w:t>
            </w:r>
          </w:p>
        </w:tc>
      </w:tr>
      <w:tr w:rsidR="002511B8" w:rsidRPr="002511B8" w14:paraId="5FEABBAD" w14:textId="77777777" w:rsidTr="00D175D6">
        <w:tc>
          <w:tcPr>
            <w:tcW w:w="4280" w:type="dxa"/>
            <w:tcBorders>
              <w:top w:val="nil"/>
              <w:bottom w:val="nil"/>
            </w:tcBorders>
            <w:shd w:val="clear" w:color="auto" w:fill="auto"/>
          </w:tcPr>
          <w:p w14:paraId="0127DDDE" w14:textId="7E2E31BF"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71773BCD" w14:textId="71A3E9C9" w:rsidR="002511B8" w:rsidRPr="002511B8" w:rsidRDefault="002511B8" w:rsidP="002511B8">
            <w:pPr>
              <w:jc w:val="right"/>
              <w:rPr>
                <w:color w:val="FF0000"/>
              </w:rPr>
            </w:pPr>
            <w:r w:rsidRPr="002511B8">
              <w:t>0</w:t>
            </w:r>
          </w:p>
        </w:tc>
        <w:tc>
          <w:tcPr>
            <w:tcW w:w="1276" w:type="dxa"/>
            <w:tcBorders>
              <w:top w:val="nil"/>
              <w:left w:val="single" w:sz="4" w:space="0" w:color="auto"/>
              <w:bottom w:val="nil"/>
              <w:right w:val="single" w:sz="4" w:space="0" w:color="auto"/>
            </w:tcBorders>
            <w:vAlign w:val="center"/>
          </w:tcPr>
          <w:p w14:paraId="063E237C" w14:textId="73B1B4CB" w:rsidR="002511B8" w:rsidRPr="002511B8" w:rsidRDefault="002511B8" w:rsidP="002511B8">
            <w:pPr>
              <w:jc w:val="right"/>
              <w:rPr>
                <w:color w:val="FF0000"/>
              </w:rPr>
            </w:pPr>
            <w:r w:rsidRPr="002511B8">
              <w:t>3,6</w:t>
            </w:r>
          </w:p>
        </w:tc>
        <w:tc>
          <w:tcPr>
            <w:tcW w:w="1134" w:type="dxa"/>
            <w:tcBorders>
              <w:top w:val="nil"/>
              <w:bottom w:val="nil"/>
            </w:tcBorders>
            <w:shd w:val="clear" w:color="auto" w:fill="auto"/>
            <w:vAlign w:val="center"/>
          </w:tcPr>
          <w:p w14:paraId="18E3FC61" w14:textId="3FAB15F4" w:rsidR="002511B8" w:rsidRPr="002511B8" w:rsidRDefault="002511B8" w:rsidP="002511B8">
            <w:pPr>
              <w:jc w:val="right"/>
            </w:pPr>
            <w:r w:rsidRPr="002511B8">
              <w:t>3</w:t>
            </w:r>
          </w:p>
        </w:tc>
        <w:tc>
          <w:tcPr>
            <w:tcW w:w="992" w:type="dxa"/>
            <w:tcBorders>
              <w:top w:val="nil"/>
              <w:bottom w:val="nil"/>
            </w:tcBorders>
            <w:shd w:val="clear" w:color="auto" w:fill="auto"/>
            <w:vAlign w:val="center"/>
          </w:tcPr>
          <w:p w14:paraId="7D55CEC8" w14:textId="48E55C61" w:rsidR="002511B8" w:rsidRPr="002511B8" w:rsidRDefault="002511B8" w:rsidP="002511B8">
            <w:pPr>
              <w:jc w:val="right"/>
            </w:pPr>
            <w:r w:rsidRPr="002511B8">
              <w:t>83,33</w:t>
            </w:r>
          </w:p>
        </w:tc>
      </w:tr>
      <w:tr w:rsidR="002511B8" w:rsidRPr="002511B8" w14:paraId="3BB91763" w14:textId="77777777" w:rsidTr="00D175D6">
        <w:tc>
          <w:tcPr>
            <w:tcW w:w="4280" w:type="dxa"/>
            <w:tcBorders>
              <w:top w:val="nil"/>
              <w:bottom w:val="single" w:sz="4" w:space="0" w:color="auto"/>
            </w:tcBorders>
            <w:shd w:val="clear" w:color="auto" w:fill="auto"/>
          </w:tcPr>
          <w:p w14:paraId="1A4AF908" w14:textId="69E4BF8B"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494068B8" w14:textId="3CAFC1AB" w:rsidR="002511B8" w:rsidRPr="002511B8" w:rsidRDefault="002511B8" w:rsidP="002511B8">
            <w:pPr>
              <w:jc w:val="right"/>
              <w:rPr>
                <w:color w:val="FF0000"/>
              </w:rPr>
            </w:pPr>
            <w:r w:rsidRPr="002511B8">
              <w:t>0</w:t>
            </w:r>
          </w:p>
        </w:tc>
        <w:tc>
          <w:tcPr>
            <w:tcW w:w="1276" w:type="dxa"/>
            <w:tcBorders>
              <w:top w:val="nil"/>
              <w:left w:val="single" w:sz="4" w:space="0" w:color="auto"/>
              <w:bottom w:val="single" w:sz="4" w:space="0" w:color="auto"/>
              <w:right w:val="single" w:sz="4" w:space="0" w:color="auto"/>
            </w:tcBorders>
            <w:vAlign w:val="center"/>
          </w:tcPr>
          <w:p w14:paraId="46FE3941" w14:textId="11DCECBA" w:rsidR="002511B8" w:rsidRPr="002511B8" w:rsidRDefault="002511B8" w:rsidP="002511B8">
            <w:pPr>
              <w:jc w:val="right"/>
              <w:rPr>
                <w:color w:val="FF0000"/>
              </w:rPr>
            </w:pPr>
            <w:r w:rsidRPr="002511B8">
              <w:t>3,6</w:t>
            </w:r>
          </w:p>
        </w:tc>
        <w:tc>
          <w:tcPr>
            <w:tcW w:w="1134" w:type="dxa"/>
            <w:tcBorders>
              <w:top w:val="nil"/>
              <w:bottom w:val="single" w:sz="4" w:space="0" w:color="auto"/>
            </w:tcBorders>
            <w:shd w:val="clear" w:color="auto" w:fill="auto"/>
            <w:vAlign w:val="center"/>
          </w:tcPr>
          <w:p w14:paraId="21E7475C" w14:textId="35129CBA" w:rsidR="002511B8" w:rsidRPr="002511B8" w:rsidRDefault="002511B8" w:rsidP="002511B8">
            <w:pPr>
              <w:jc w:val="right"/>
            </w:pPr>
            <w:r w:rsidRPr="002511B8">
              <w:t>3</w:t>
            </w:r>
          </w:p>
        </w:tc>
        <w:tc>
          <w:tcPr>
            <w:tcW w:w="992" w:type="dxa"/>
            <w:tcBorders>
              <w:top w:val="nil"/>
              <w:bottom w:val="single" w:sz="4" w:space="0" w:color="auto"/>
            </w:tcBorders>
            <w:shd w:val="clear" w:color="auto" w:fill="auto"/>
            <w:vAlign w:val="center"/>
          </w:tcPr>
          <w:p w14:paraId="40A9589B" w14:textId="51DB56AB" w:rsidR="002511B8" w:rsidRPr="002511B8" w:rsidRDefault="002511B8" w:rsidP="002511B8">
            <w:pPr>
              <w:jc w:val="right"/>
            </w:pPr>
            <w:r w:rsidRPr="002511B8">
              <w:t>83,33</w:t>
            </w:r>
          </w:p>
        </w:tc>
      </w:tr>
      <w:tr w:rsidR="002511B8" w:rsidRPr="002511B8" w14:paraId="3D4B052F" w14:textId="77777777" w:rsidTr="00E676B6">
        <w:tc>
          <w:tcPr>
            <w:tcW w:w="4280" w:type="dxa"/>
            <w:tcBorders>
              <w:top w:val="single" w:sz="4" w:space="0" w:color="auto"/>
              <w:bottom w:val="nil"/>
            </w:tcBorders>
            <w:shd w:val="clear" w:color="auto" w:fill="auto"/>
          </w:tcPr>
          <w:p w14:paraId="53ED92E0" w14:textId="299E5025" w:rsidR="002511B8" w:rsidRPr="002511B8" w:rsidRDefault="002511B8" w:rsidP="002511B8">
            <w:pPr>
              <w:rPr>
                <w:rFonts w:eastAsia="Times New Roman" w:cs="Times New Roman"/>
                <w:i/>
                <w:lang w:eastAsia="cs-CZ"/>
              </w:rPr>
            </w:pPr>
            <w:r w:rsidRPr="002511B8">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14:paraId="5C2875BD" w14:textId="502AAD0F" w:rsidR="002511B8" w:rsidRPr="002511B8" w:rsidRDefault="002511B8" w:rsidP="002511B8">
            <w:pPr>
              <w:jc w:val="right"/>
              <w:rPr>
                <w:color w:val="FF0000"/>
              </w:rPr>
            </w:pPr>
            <w:r w:rsidRPr="002511B8">
              <w:rPr>
                <w:szCs w:val="24"/>
              </w:rPr>
              <w:t>19 157</w:t>
            </w:r>
          </w:p>
        </w:tc>
        <w:tc>
          <w:tcPr>
            <w:tcW w:w="1276" w:type="dxa"/>
            <w:tcBorders>
              <w:top w:val="single" w:sz="4" w:space="0" w:color="auto"/>
              <w:left w:val="single" w:sz="4" w:space="0" w:color="auto"/>
              <w:bottom w:val="nil"/>
              <w:right w:val="single" w:sz="4" w:space="0" w:color="auto"/>
            </w:tcBorders>
            <w:vAlign w:val="center"/>
          </w:tcPr>
          <w:p w14:paraId="1739AFC0" w14:textId="34DAE32A" w:rsidR="002511B8" w:rsidRPr="002511B8" w:rsidRDefault="002511B8" w:rsidP="002511B8">
            <w:pPr>
              <w:jc w:val="right"/>
              <w:rPr>
                <w:color w:val="FF0000"/>
              </w:rPr>
            </w:pPr>
            <w:r w:rsidRPr="002511B8">
              <w:t>16 531</w:t>
            </w:r>
          </w:p>
        </w:tc>
        <w:tc>
          <w:tcPr>
            <w:tcW w:w="1134" w:type="dxa"/>
            <w:tcBorders>
              <w:top w:val="single" w:sz="4" w:space="0" w:color="auto"/>
              <w:bottom w:val="nil"/>
            </w:tcBorders>
            <w:shd w:val="clear" w:color="auto" w:fill="auto"/>
            <w:vAlign w:val="center"/>
          </w:tcPr>
          <w:p w14:paraId="1B18154B" w14:textId="40240F2D" w:rsidR="002511B8" w:rsidRPr="002511B8" w:rsidRDefault="002511B8" w:rsidP="002511B8">
            <w:pPr>
              <w:jc w:val="right"/>
            </w:pPr>
            <w:r w:rsidRPr="002511B8">
              <w:t xml:space="preserve">17 689 </w:t>
            </w:r>
          </w:p>
        </w:tc>
        <w:tc>
          <w:tcPr>
            <w:tcW w:w="992" w:type="dxa"/>
            <w:tcBorders>
              <w:top w:val="single" w:sz="4" w:space="0" w:color="auto"/>
              <w:bottom w:val="nil"/>
            </w:tcBorders>
            <w:shd w:val="clear" w:color="auto" w:fill="auto"/>
            <w:vAlign w:val="center"/>
          </w:tcPr>
          <w:p w14:paraId="05F5AF19" w14:textId="0478B562" w:rsidR="002511B8" w:rsidRPr="002511B8" w:rsidRDefault="002511B8" w:rsidP="002511B8">
            <w:pPr>
              <w:jc w:val="right"/>
            </w:pPr>
            <w:r w:rsidRPr="002511B8">
              <w:t>107,01</w:t>
            </w:r>
          </w:p>
        </w:tc>
      </w:tr>
      <w:tr w:rsidR="002511B8" w:rsidRPr="002511B8" w14:paraId="0BABF2C2" w14:textId="77777777" w:rsidTr="00E676B6">
        <w:tc>
          <w:tcPr>
            <w:tcW w:w="4280" w:type="dxa"/>
            <w:tcBorders>
              <w:top w:val="nil"/>
              <w:bottom w:val="nil"/>
            </w:tcBorders>
            <w:shd w:val="clear" w:color="auto" w:fill="auto"/>
          </w:tcPr>
          <w:p w14:paraId="58B758AE" w14:textId="3BA4A933" w:rsidR="002511B8" w:rsidRPr="002511B8" w:rsidRDefault="002511B8" w:rsidP="002511B8">
            <w:pPr>
              <w:jc w:val="left"/>
              <w:rPr>
                <w:rFonts w:eastAsia="Times New Roman" w:cs="Times New Roman"/>
                <w:i/>
                <w:lang w:eastAsia="cs-CZ"/>
              </w:rPr>
            </w:pPr>
            <w:r w:rsidRPr="002511B8">
              <w:rPr>
                <w:rFonts w:eastAsia="Times New Roman" w:cs="Times New Roman"/>
                <w:i/>
                <w:lang w:eastAsia="cs-CZ"/>
              </w:rPr>
              <w:t xml:space="preserve">z toho: programové financování </w:t>
            </w:r>
            <w:r w:rsidRPr="002511B8">
              <w:rPr>
                <w:rFonts w:eastAsia="Times New Roman" w:cs="Times New Roman"/>
                <w:i/>
                <w:lang w:eastAsia="cs-CZ"/>
              </w:rPr>
              <w:tab/>
              <w:t>(EDS/SMVS)</w:t>
            </w:r>
          </w:p>
        </w:tc>
        <w:tc>
          <w:tcPr>
            <w:tcW w:w="1380" w:type="dxa"/>
            <w:tcBorders>
              <w:top w:val="nil"/>
              <w:left w:val="single" w:sz="4" w:space="0" w:color="auto"/>
              <w:bottom w:val="nil"/>
              <w:right w:val="single" w:sz="4" w:space="0" w:color="auto"/>
            </w:tcBorders>
            <w:vAlign w:val="center"/>
          </w:tcPr>
          <w:p w14:paraId="0CD1E115" w14:textId="30134554" w:rsidR="002511B8" w:rsidRPr="002511B8" w:rsidRDefault="002511B8" w:rsidP="002511B8">
            <w:pPr>
              <w:jc w:val="right"/>
              <w:rPr>
                <w:color w:val="FF0000"/>
              </w:rPr>
            </w:pPr>
            <w:r w:rsidRPr="002511B8">
              <w:t>0</w:t>
            </w:r>
          </w:p>
        </w:tc>
        <w:tc>
          <w:tcPr>
            <w:tcW w:w="1276" w:type="dxa"/>
            <w:tcBorders>
              <w:top w:val="nil"/>
              <w:left w:val="single" w:sz="4" w:space="0" w:color="auto"/>
              <w:bottom w:val="nil"/>
              <w:right w:val="single" w:sz="4" w:space="0" w:color="auto"/>
            </w:tcBorders>
            <w:vAlign w:val="center"/>
          </w:tcPr>
          <w:p w14:paraId="6AB49C3F" w14:textId="2A139F62" w:rsidR="002511B8" w:rsidRPr="002511B8" w:rsidRDefault="002511B8" w:rsidP="002511B8">
            <w:pPr>
              <w:jc w:val="right"/>
              <w:rPr>
                <w:color w:val="FF0000"/>
              </w:rPr>
            </w:pPr>
            <w:r w:rsidRPr="002511B8">
              <w:rPr>
                <w:i/>
                <w:iCs/>
              </w:rPr>
              <w:t>0</w:t>
            </w:r>
          </w:p>
        </w:tc>
        <w:tc>
          <w:tcPr>
            <w:tcW w:w="1134" w:type="dxa"/>
            <w:tcBorders>
              <w:top w:val="nil"/>
              <w:bottom w:val="nil"/>
            </w:tcBorders>
            <w:shd w:val="clear" w:color="auto" w:fill="auto"/>
            <w:vAlign w:val="center"/>
          </w:tcPr>
          <w:p w14:paraId="2DDB10E1" w14:textId="30BB22AC" w:rsidR="002511B8" w:rsidRPr="002511B8" w:rsidRDefault="002511B8" w:rsidP="002511B8">
            <w:pPr>
              <w:jc w:val="right"/>
            </w:pPr>
            <w:r w:rsidRPr="002511B8">
              <w:rPr>
                <w:i/>
                <w:iCs/>
              </w:rPr>
              <w:t>0</w:t>
            </w:r>
          </w:p>
        </w:tc>
        <w:tc>
          <w:tcPr>
            <w:tcW w:w="992" w:type="dxa"/>
            <w:tcBorders>
              <w:top w:val="nil"/>
              <w:bottom w:val="nil"/>
            </w:tcBorders>
            <w:shd w:val="clear" w:color="auto" w:fill="auto"/>
            <w:vAlign w:val="center"/>
          </w:tcPr>
          <w:p w14:paraId="4823421B" w14:textId="7C81987A" w:rsidR="002511B8" w:rsidRPr="002511B8" w:rsidRDefault="002511B8" w:rsidP="002511B8">
            <w:pPr>
              <w:jc w:val="right"/>
            </w:pPr>
            <w:r w:rsidRPr="002511B8">
              <w:rPr>
                <w:i/>
                <w:iCs/>
              </w:rPr>
              <w:t>x</w:t>
            </w:r>
          </w:p>
        </w:tc>
      </w:tr>
      <w:tr w:rsidR="002511B8" w:rsidRPr="002511B8" w14:paraId="362C8AD3" w14:textId="77777777" w:rsidTr="00E676B6">
        <w:tc>
          <w:tcPr>
            <w:tcW w:w="4280" w:type="dxa"/>
            <w:tcBorders>
              <w:top w:val="nil"/>
              <w:bottom w:val="nil"/>
            </w:tcBorders>
            <w:shd w:val="clear" w:color="auto" w:fill="auto"/>
          </w:tcPr>
          <w:p w14:paraId="2B9F0CD1" w14:textId="66E756E4" w:rsidR="002511B8" w:rsidRPr="002511B8" w:rsidRDefault="002511B8" w:rsidP="002511B8">
            <w:pPr>
              <w:jc w:val="left"/>
              <w:rPr>
                <w:rFonts w:eastAsia="Times New Roman" w:cs="Times New Roman"/>
                <w:i/>
                <w:lang w:eastAsia="cs-CZ"/>
              </w:rPr>
            </w:pPr>
            <w:r w:rsidRPr="002511B8">
              <w:rPr>
                <w:rFonts w:eastAsia="Times New Roman" w:cs="Times New Roman"/>
                <w:i/>
                <w:lang w:eastAsia="cs-CZ"/>
              </w:rPr>
              <w:tab/>
              <w:t xml:space="preserve">výdaje na programy spolufin.            </w:t>
            </w:r>
            <w:r w:rsidRPr="002511B8">
              <w:rPr>
                <w:rFonts w:eastAsia="Times New Roman" w:cs="Times New Roman"/>
                <w:i/>
                <w:lang w:eastAsia="cs-CZ"/>
              </w:rPr>
              <w:tab/>
              <w:t>z rozpočtu EU</w:t>
            </w:r>
          </w:p>
        </w:tc>
        <w:tc>
          <w:tcPr>
            <w:tcW w:w="1380" w:type="dxa"/>
            <w:tcBorders>
              <w:top w:val="nil"/>
              <w:left w:val="single" w:sz="4" w:space="0" w:color="auto"/>
              <w:bottom w:val="nil"/>
              <w:right w:val="single" w:sz="4" w:space="0" w:color="auto"/>
            </w:tcBorders>
            <w:vAlign w:val="center"/>
          </w:tcPr>
          <w:p w14:paraId="0FBB73B0" w14:textId="7051AFFE" w:rsidR="002511B8" w:rsidRPr="002511B8" w:rsidRDefault="002511B8" w:rsidP="002511B8">
            <w:pPr>
              <w:jc w:val="right"/>
              <w:rPr>
                <w:color w:val="FF0000"/>
              </w:rPr>
            </w:pPr>
            <w:r w:rsidRPr="002511B8">
              <w:t>0</w:t>
            </w:r>
          </w:p>
        </w:tc>
        <w:tc>
          <w:tcPr>
            <w:tcW w:w="1276" w:type="dxa"/>
            <w:tcBorders>
              <w:top w:val="nil"/>
              <w:left w:val="single" w:sz="4" w:space="0" w:color="auto"/>
              <w:bottom w:val="nil"/>
              <w:right w:val="single" w:sz="4" w:space="0" w:color="auto"/>
            </w:tcBorders>
            <w:vAlign w:val="center"/>
          </w:tcPr>
          <w:p w14:paraId="2551DE89" w14:textId="2110A91B" w:rsidR="002511B8" w:rsidRPr="002511B8" w:rsidRDefault="002511B8" w:rsidP="002511B8">
            <w:pPr>
              <w:jc w:val="right"/>
              <w:rPr>
                <w:color w:val="FF0000"/>
              </w:rPr>
            </w:pPr>
            <w:r w:rsidRPr="002511B8">
              <w:rPr>
                <w:i/>
                <w:iCs/>
              </w:rPr>
              <w:t>247</w:t>
            </w:r>
          </w:p>
        </w:tc>
        <w:tc>
          <w:tcPr>
            <w:tcW w:w="1134" w:type="dxa"/>
            <w:tcBorders>
              <w:top w:val="nil"/>
              <w:bottom w:val="nil"/>
            </w:tcBorders>
            <w:shd w:val="clear" w:color="auto" w:fill="auto"/>
            <w:vAlign w:val="center"/>
          </w:tcPr>
          <w:p w14:paraId="50D2FF11" w14:textId="48E1D95A" w:rsidR="002511B8" w:rsidRPr="002511B8" w:rsidRDefault="002511B8" w:rsidP="002511B8">
            <w:pPr>
              <w:jc w:val="right"/>
            </w:pPr>
            <w:r w:rsidRPr="002511B8">
              <w:rPr>
                <w:i/>
                <w:iCs/>
              </w:rPr>
              <w:t>247</w:t>
            </w:r>
          </w:p>
        </w:tc>
        <w:tc>
          <w:tcPr>
            <w:tcW w:w="992" w:type="dxa"/>
            <w:tcBorders>
              <w:top w:val="nil"/>
              <w:bottom w:val="nil"/>
            </w:tcBorders>
            <w:shd w:val="clear" w:color="auto" w:fill="auto"/>
            <w:vAlign w:val="center"/>
          </w:tcPr>
          <w:p w14:paraId="49900C16" w14:textId="3A2FD63E" w:rsidR="002511B8" w:rsidRPr="002511B8" w:rsidRDefault="002511B8" w:rsidP="002511B8">
            <w:pPr>
              <w:jc w:val="right"/>
            </w:pPr>
            <w:r w:rsidRPr="002511B8">
              <w:rPr>
                <w:i/>
                <w:iCs/>
              </w:rPr>
              <w:t>100,00</w:t>
            </w:r>
          </w:p>
        </w:tc>
      </w:tr>
      <w:tr w:rsidR="002511B8" w:rsidRPr="002511B8" w14:paraId="4649BE6F" w14:textId="77777777" w:rsidTr="00E676B6">
        <w:tc>
          <w:tcPr>
            <w:tcW w:w="4280" w:type="dxa"/>
            <w:tcBorders>
              <w:top w:val="nil"/>
              <w:bottom w:val="nil"/>
            </w:tcBorders>
            <w:shd w:val="clear" w:color="auto" w:fill="auto"/>
          </w:tcPr>
          <w:p w14:paraId="31A0D56F" w14:textId="3CDB957B"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0228D826" w14:textId="66F970B9" w:rsidR="002511B8" w:rsidRPr="002511B8" w:rsidRDefault="002511B8" w:rsidP="002511B8">
            <w:pPr>
              <w:jc w:val="right"/>
              <w:rPr>
                <w:color w:val="FF0000"/>
              </w:rPr>
            </w:pPr>
            <w:r w:rsidRPr="002511B8">
              <w:t>0</w:t>
            </w:r>
          </w:p>
        </w:tc>
        <w:tc>
          <w:tcPr>
            <w:tcW w:w="1276" w:type="dxa"/>
            <w:tcBorders>
              <w:top w:val="nil"/>
              <w:left w:val="single" w:sz="4" w:space="0" w:color="auto"/>
              <w:bottom w:val="nil"/>
              <w:right w:val="single" w:sz="4" w:space="0" w:color="auto"/>
            </w:tcBorders>
            <w:vAlign w:val="center"/>
          </w:tcPr>
          <w:p w14:paraId="73F8CE97" w14:textId="10915040" w:rsidR="002511B8" w:rsidRPr="002511B8" w:rsidRDefault="002511B8" w:rsidP="002511B8">
            <w:pPr>
              <w:jc w:val="right"/>
              <w:rPr>
                <w:color w:val="FF0000"/>
              </w:rPr>
            </w:pPr>
            <w:r w:rsidRPr="002511B8">
              <w:rPr>
                <w:i/>
                <w:iCs/>
              </w:rPr>
              <w:t>123,5</w:t>
            </w:r>
          </w:p>
        </w:tc>
        <w:tc>
          <w:tcPr>
            <w:tcW w:w="1134" w:type="dxa"/>
            <w:tcBorders>
              <w:top w:val="nil"/>
              <w:bottom w:val="nil"/>
            </w:tcBorders>
            <w:shd w:val="clear" w:color="auto" w:fill="auto"/>
            <w:vAlign w:val="center"/>
          </w:tcPr>
          <w:p w14:paraId="2B1A7E2E" w14:textId="3B798256" w:rsidR="002511B8" w:rsidRPr="002511B8" w:rsidRDefault="002511B8" w:rsidP="002511B8">
            <w:pPr>
              <w:jc w:val="right"/>
            </w:pPr>
            <w:r w:rsidRPr="002511B8">
              <w:rPr>
                <w:i/>
                <w:iCs/>
              </w:rPr>
              <w:t>123,5</w:t>
            </w:r>
          </w:p>
        </w:tc>
        <w:tc>
          <w:tcPr>
            <w:tcW w:w="992" w:type="dxa"/>
            <w:tcBorders>
              <w:top w:val="nil"/>
              <w:bottom w:val="nil"/>
            </w:tcBorders>
            <w:shd w:val="clear" w:color="auto" w:fill="auto"/>
            <w:vAlign w:val="center"/>
          </w:tcPr>
          <w:p w14:paraId="326776EA" w14:textId="2C3482A7" w:rsidR="002511B8" w:rsidRPr="002511B8" w:rsidRDefault="002511B8" w:rsidP="002511B8">
            <w:pPr>
              <w:jc w:val="right"/>
            </w:pPr>
            <w:r w:rsidRPr="002511B8">
              <w:rPr>
                <w:i/>
                <w:iCs/>
              </w:rPr>
              <w:t>100,00</w:t>
            </w:r>
          </w:p>
        </w:tc>
      </w:tr>
      <w:tr w:rsidR="002511B8" w:rsidRPr="00D070B8" w14:paraId="579C5DC5" w14:textId="77777777" w:rsidTr="00E676B6">
        <w:tc>
          <w:tcPr>
            <w:tcW w:w="4280" w:type="dxa"/>
            <w:tcBorders>
              <w:top w:val="nil"/>
              <w:bottom w:val="single" w:sz="4" w:space="0" w:color="auto"/>
            </w:tcBorders>
            <w:shd w:val="clear" w:color="auto" w:fill="auto"/>
          </w:tcPr>
          <w:p w14:paraId="25022020" w14:textId="2B66A2BB" w:rsidR="002511B8" w:rsidRPr="002511B8" w:rsidRDefault="002511B8" w:rsidP="002511B8">
            <w:pPr>
              <w:rPr>
                <w:rFonts w:eastAsia="Times New Roman" w:cs="Times New Roman"/>
                <w:i/>
                <w:lang w:eastAsia="cs-CZ"/>
              </w:rPr>
            </w:pPr>
            <w:r w:rsidRPr="002511B8">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5D971F79" w14:textId="0E485F8C" w:rsidR="002511B8" w:rsidRPr="002511B8" w:rsidRDefault="002511B8" w:rsidP="002511B8">
            <w:pPr>
              <w:jc w:val="right"/>
              <w:rPr>
                <w:color w:val="FF0000"/>
              </w:rPr>
            </w:pPr>
            <w:r w:rsidRPr="002511B8">
              <w:t>0</w:t>
            </w:r>
          </w:p>
        </w:tc>
        <w:tc>
          <w:tcPr>
            <w:tcW w:w="1276" w:type="dxa"/>
            <w:tcBorders>
              <w:top w:val="nil"/>
              <w:left w:val="single" w:sz="4" w:space="0" w:color="auto"/>
              <w:bottom w:val="single" w:sz="4" w:space="0" w:color="auto"/>
              <w:right w:val="single" w:sz="4" w:space="0" w:color="auto"/>
            </w:tcBorders>
            <w:vAlign w:val="center"/>
          </w:tcPr>
          <w:p w14:paraId="099F5979" w14:textId="7F279EFE" w:rsidR="002511B8" w:rsidRPr="002511B8" w:rsidRDefault="002511B8" w:rsidP="002511B8">
            <w:pPr>
              <w:jc w:val="right"/>
              <w:rPr>
                <w:color w:val="FF0000"/>
              </w:rPr>
            </w:pPr>
            <w:r w:rsidRPr="002511B8">
              <w:rPr>
                <w:i/>
                <w:iCs/>
              </w:rPr>
              <w:t>123,5</w:t>
            </w:r>
          </w:p>
        </w:tc>
        <w:tc>
          <w:tcPr>
            <w:tcW w:w="1134" w:type="dxa"/>
            <w:tcBorders>
              <w:top w:val="nil"/>
              <w:bottom w:val="single" w:sz="4" w:space="0" w:color="auto"/>
            </w:tcBorders>
            <w:shd w:val="clear" w:color="auto" w:fill="auto"/>
            <w:vAlign w:val="center"/>
          </w:tcPr>
          <w:p w14:paraId="41383BBE" w14:textId="08B5F91B" w:rsidR="002511B8" w:rsidRPr="002511B8" w:rsidRDefault="002511B8" w:rsidP="002511B8">
            <w:pPr>
              <w:jc w:val="right"/>
            </w:pPr>
            <w:r w:rsidRPr="002511B8">
              <w:rPr>
                <w:i/>
                <w:iCs/>
              </w:rPr>
              <w:t>123,5</w:t>
            </w:r>
          </w:p>
        </w:tc>
        <w:tc>
          <w:tcPr>
            <w:tcW w:w="992" w:type="dxa"/>
            <w:tcBorders>
              <w:top w:val="nil"/>
              <w:bottom w:val="single" w:sz="4" w:space="0" w:color="auto"/>
            </w:tcBorders>
            <w:shd w:val="clear" w:color="auto" w:fill="auto"/>
            <w:vAlign w:val="center"/>
          </w:tcPr>
          <w:p w14:paraId="2558B820" w14:textId="6367C440" w:rsidR="002511B8" w:rsidRPr="002511B8" w:rsidRDefault="002511B8" w:rsidP="002511B8">
            <w:pPr>
              <w:jc w:val="right"/>
            </w:pPr>
            <w:r w:rsidRPr="002511B8">
              <w:rPr>
                <w:i/>
                <w:iCs/>
              </w:rPr>
              <w:t>100,00</w:t>
            </w:r>
          </w:p>
        </w:tc>
      </w:tr>
    </w:tbl>
    <w:p w14:paraId="4A64602C" w14:textId="17EDF759" w:rsidR="00925A88" w:rsidRPr="002511B8" w:rsidRDefault="002511B8" w:rsidP="00925A88">
      <w:pPr>
        <w:pStyle w:val="Styl1"/>
      </w:pPr>
      <w:r w:rsidRPr="002511B8">
        <w:t xml:space="preserve">Návrh rozpočtu běžných výdajů na rok 2025 je oproti schválenému rozpočtu na rok 2024 </w:t>
      </w:r>
      <w:r w:rsidRPr="002511B8">
        <w:br/>
        <w:t>o 3 751 tis. Kč vyšší z důvodu posílení prostředků na platy zaměstnanců vč. příslušenství (podrobněji viz oddíl 3.2.2 Výdaje na platy a počty pracovníků za OSS a PO) a posílení prostředků na provoz organizace.</w:t>
      </w:r>
      <w:r w:rsidR="00925A88" w:rsidRPr="002511B8">
        <w:t xml:space="preserve"> </w:t>
      </w:r>
    </w:p>
    <w:p w14:paraId="4A4D1DB1" w14:textId="77777777" w:rsidR="002511B8" w:rsidRPr="002511B8" w:rsidRDefault="002511B8" w:rsidP="002511B8">
      <w:pPr>
        <w:pStyle w:val="Styl1"/>
      </w:pPr>
      <w:r w:rsidRPr="002511B8">
        <w:t xml:space="preserve">Z celkového objemu běžných výdajů tvoří největší položku výdaje na platy a ostatní platby </w:t>
      </w:r>
      <w:r w:rsidRPr="002511B8">
        <w:br/>
        <w:t xml:space="preserve">za provedenou práci, které jsou navrhovány ve výši 43 678 tis. Kč. </w:t>
      </w:r>
    </w:p>
    <w:p w14:paraId="0B78F548" w14:textId="77777777" w:rsidR="002511B8" w:rsidRPr="002511B8" w:rsidRDefault="002511B8" w:rsidP="002511B8">
      <w:pPr>
        <w:pStyle w:val="Styl1"/>
        <w:widowControl w:val="0"/>
        <w:spacing w:before="0" w:after="120"/>
      </w:pPr>
      <w:r w:rsidRPr="002511B8">
        <w:lastRenderedPageBreak/>
        <w:t xml:space="preserve">Na ostatní běžné výdaje je alokováno 17 689 tis. Kč. Ty jsou určeny především k zabezpečení činností a úkolů vyplývajících z předmětných zákonů a dále na krytí výdajů spojených s činnostmi, které organizace provádí v rámci jí delegovaných činností, jako </w:t>
      </w:r>
      <w:r w:rsidRPr="002511B8">
        <w:br/>
        <w:t xml:space="preserve">je např. agenda normalizace v oblasti vodní dopravy a zastupování v Mezinárodní plavební asociaci – PIANC. Dále jsou prostředky určeny na činnosti, které přímo souvisí s vlastní realizací opatření k vydávání plavecké služební knížky, s odborným školením v otázkách mezinárodní plavby a bezpečnosti plavby na vodních cestách zemí EU, se zabezpečením úkolů vyplývajících z novely zákona č. 114/1995 Sb., o vnitrozemské plavbě, pro zajištění „Říčního informačního systému – LAVDIS“, a s vydáváním a kontrolou knihy o odběru zaolejovaných vod na plavidlech, která je stanovena vyhláškou MDS č. 223/1995 Sb.  </w:t>
      </w:r>
    </w:p>
    <w:p w14:paraId="3A6686CD" w14:textId="77777777" w:rsidR="002511B8" w:rsidRPr="002511B8" w:rsidRDefault="002511B8" w:rsidP="002511B8">
      <w:pPr>
        <w:pStyle w:val="Styl1"/>
        <w:spacing w:before="120" w:after="120"/>
      </w:pPr>
      <w:r w:rsidRPr="002511B8">
        <w:t>Prostředky ve výši 528 tis. Kč budou použity na národní spolufinancování (50 %) výdajů projektu RIS COMEX II (komunitární program CEF),</w:t>
      </w:r>
      <w:r w:rsidRPr="002511B8">
        <w:rPr>
          <w:color w:val="FF0000"/>
        </w:rPr>
        <w:t xml:space="preserve"> </w:t>
      </w:r>
      <w:r w:rsidRPr="002511B8">
        <w:t xml:space="preserve">ve výši 528 tis. Kč (50 %) bude organizace příjemcem prostředků EU. Tento projekt je zaměřen na další rozvoj služeb RIS, a to v rámci tzv. koridorového přístupu, jež přináší výrazné synergické efekty vzájemné spolupráce sousedících zemí v rámci jednotlivých evropských systémů vodních cest. Koridorové informační služby RIS mají umožnit řízení dopravy pomocí kompetentních úřadů a řízení přepravy pomocí logistiky. Náplní zmíněného projektu bude pokračování v činnostech prováděných v projektu RIS COMEX. </w:t>
      </w:r>
    </w:p>
    <w:p w14:paraId="777D894C" w14:textId="0A4E306E" w:rsidR="002C6533" w:rsidRPr="002511B8" w:rsidRDefault="002511B8" w:rsidP="002511B8">
      <w:pPr>
        <w:pStyle w:val="Styl1"/>
      </w:pPr>
      <w:r w:rsidRPr="002511B8">
        <w:t xml:space="preserve">Počet zaměstnanců organizace pro rok 2025 je navrhován ve stejné výši jako v roce 2024, </w:t>
      </w:r>
      <w:r w:rsidRPr="002511B8">
        <w:br/>
        <w:t>a to 84, v tom 17 zaměstnanců v pracovním poměru a 67 státních zaměstnanců</w:t>
      </w:r>
      <w:r w:rsidR="0073748B" w:rsidRPr="002511B8">
        <w:t xml:space="preserve">. </w:t>
      </w:r>
    </w:p>
    <w:p w14:paraId="0DF451D8" w14:textId="77777777" w:rsidR="00BD28A7" w:rsidRPr="008874CF" w:rsidRDefault="00BD28A7" w:rsidP="00A66629">
      <w:pPr>
        <w:pStyle w:val="Nadpis9"/>
      </w:pPr>
      <w:r w:rsidRPr="008874CF">
        <w:t xml:space="preserve">Drážní úřad </w:t>
      </w:r>
    </w:p>
    <w:p w14:paraId="6FA5A9CF" w14:textId="0DDDEB95" w:rsidR="001E02BC" w:rsidRPr="008874CF" w:rsidRDefault="008874CF" w:rsidP="001E02BC">
      <w:pPr>
        <w:pStyle w:val="Styl1"/>
      </w:pPr>
      <w:bookmarkStart w:id="162" w:name="_Toc462314393"/>
      <w:r w:rsidRPr="008874CF">
        <w:t>Drážní úřad byl zřízen k 1. 1. 1995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a určených technických zařízení, vydávání průkazů způsobilosti drážních vozidel a určených technických zařízení, provádění zkoušek a vydávání průkazů způsobilosti k řízení drážních vozidel, vydávání licencí a úředních povolení k provozování drážní dopravy, výkon státní správy, výkon státního dozoru ve věcech drah, výkon činnosti národního bezpečnostního úřadu pro provozování drah a drážní dopravy v rámci EU</w:t>
      </w:r>
      <w:r w:rsidR="001E02BC" w:rsidRPr="008874CF">
        <w:t>.</w:t>
      </w:r>
    </w:p>
    <w:p w14:paraId="0C3C7662" w14:textId="377F50A4" w:rsidR="001E02BC" w:rsidRPr="008874CF" w:rsidRDefault="001E02BC" w:rsidP="001E02BC">
      <w:pPr>
        <w:pStyle w:val="Titulek"/>
      </w:pPr>
      <w:r w:rsidRPr="008874CF">
        <w:t xml:space="preserve">Tabulka č. </w:t>
      </w:r>
      <w:r w:rsidRPr="008874CF">
        <w:rPr>
          <w:noProof/>
        </w:rPr>
        <w:fldChar w:fldCharType="begin"/>
      </w:r>
      <w:r w:rsidRPr="008874CF">
        <w:rPr>
          <w:noProof/>
        </w:rPr>
        <w:instrText xml:space="preserve"> SEQ Tabulka \* ARABIC </w:instrText>
      </w:r>
      <w:r w:rsidRPr="008874CF">
        <w:rPr>
          <w:noProof/>
        </w:rPr>
        <w:fldChar w:fldCharType="separate"/>
      </w:r>
      <w:r w:rsidR="003B0B01" w:rsidRPr="008874CF">
        <w:rPr>
          <w:noProof/>
        </w:rPr>
        <w:t>16</w:t>
      </w:r>
      <w:r w:rsidRPr="008874CF">
        <w:rPr>
          <w:noProof/>
        </w:rPr>
        <w:fldChar w:fldCharType="end"/>
      </w:r>
      <w:r w:rsidRPr="008874CF">
        <w:t xml:space="preserve"> Drážní úřad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26"/>
        <w:gridCol w:w="1337"/>
        <w:gridCol w:w="1261"/>
        <w:gridCol w:w="1132"/>
        <w:gridCol w:w="1006"/>
      </w:tblGrid>
      <w:tr w:rsidR="008874CF" w:rsidRPr="008874CF" w14:paraId="789BF30C" w14:textId="77777777" w:rsidTr="001E02BC">
        <w:trPr>
          <w:trHeight w:val="276"/>
        </w:trPr>
        <w:tc>
          <w:tcPr>
            <w:tcW w:w="432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69635EB" w14:textId="77777777"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Ukazatel</w:t>
            </w:r>
          </w:p>
        </w:tc>
        <w:tc>
          <w:tcPr>
            <w:tcW w:w="1337"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B9F2135" w14:textId="77777777"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Skutečnost</w:t>
            </w:r>
          </w:p>
          <w:p w14:paraId="32C9C7DF" w14:textId="669356AB"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202</w:t>
            </w:r>
            <w:r w:rsidR="008874CF" w:rsidRPr="008874CF">
              <w:rPr>
                <w:rFonts w:eastAsia="Times New Roman" w:cs="Times New Roman"/>
                <w:b/>
                <w:szCs w:val="24"/>
                <w:lang w:eastAsia="cs-CZ"/>
              </w:rPr>
              <w:t>3</w:t>
            </w:r>
          </w:p>
        </w:tc>
        <w:tc>
          <w:tcPr>
            <w:tcW w:w="1261"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20572C8" w14:textId="77777777"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Schválený</w:t>
            </w:r>
          </w:p>
          <w:p w14:paraId="2611220C" w14:textId="77777777"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rozpočet</w:t>
            </w:r>
          </w:p>
          <w:p w14:paraId="7A53F376" w14:textId="2DC5AF0C"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202</w:t>
            </w:r>
            <w:r w:rsidR="008874CF" w:rsidRPr="008874CF">
              <w:rPr>
                <w:rFonts w:eastAsia="Times New Roman" w:cs="Times New Roman"/>
                <w:b/>
                <w:szCs w:val="24"/>
                <w:lang w:eastAsia="cs-CZ"/>
              </w:rPr>
              <w:t>4</w:t>
            </w:r>
          </w:p>
        </w:tc>
        <w:tc>
          <w:tcPr>
            <w:tcW w:w="1132"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1AFE331" w14:textId="77777777"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Návrh</w:t>
            </w:r>
          </w:p>
          <w:p w14:paraId="53AB82E0" w14:textId="77777777"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rozpočtu</w:t>
            </w:r>
          </w:p>
          <w:p w14:paraId="75C8AE6E" w14:textId="0D43A46C"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202</w:t>
            </w:r>
            <w:r w:rsidR="008874CF" w:rsidRPr="008874CF">
              <w:rPr>
                <w:rFonts w:eastAsia="Times New Roman" w:cs="Times New Roman"/>
                <w:b/>
                <w:szCs w:val="24"/>
                <w:lang w:eastAsia="cs-CZ"/>
              </w:rPr>
              <w:t>5</w:t>
            </w:r>
          </w:p>
        </w:tc>
        <w:tc>
          <w:tcPr>
            <w:tcW w:w="100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ED8A7C0" w14:textId="77777777"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Index</w:t>
            </w:r>
          </w:p>
          <w:p w14:paraId="48A838E8" w14:textId="713F4668" w:rsidR="001E02BC" w:rsidRPr="008874CF" w:rsidRDefault="001E02BC" w:rsidP="001E02BC">
            <w:pPr>
              <w:jc w:val="center"/>
              <w:rPr>
                <w:rFonts w:eastAsia="Times New Roman" w:cs="Times New Roman"/>
                <w:b/>
                <w:szCs w:val="24"/>
                <w:lang w:eastAsia="cs-CZ"/>
              </w:rPr>
            </w:pPr>
            <w:r w:rsidRPr="008874CF">
              <w:rPr>
                <w:rFonts w:eastAsia="Times New Roman" w:cs="Times New Roman"/>
                <w:b/>
                <w:szCs w:val="24"/>
                <w:lang w:eastAsia="cs-CZ"/>
              </w:rPr>
              <w:t>202</w:t>
            </w:r>
            <w:r w:rsidR="008874CF" w:rsidRPr="008874CF">
              <w:rPr>
                <w:rFonts w:eastAsia="Times New Roman" w:cs="Times New Roman"/>
                <w:b/>
                <w:szCs w:val="24"/>
                <w:lang w:eastAsia="cs-CZ"/>
              </w:rPr>
              <w:t>5</w:t>
            </w:r>
            <w:r w:rsidRPr="008874CF">
              <w:rPr>
                <w:rFonts w:eastAsia="Times New Roman" w:cs="Times New Roman"/>
                <w:b/>
                <w:szCs w:val="24"/>
                <w:lang w:eastAsia="cs-CZ"/>
              </w:rPr>
              <w:t>/</w:t>
            </w:r>
            <w:r w:rsidRPr="008874CF">
              <w:rPr>
                <w:rFonts w:eastAsia="Times New Roman" w:cs="Times New Roman"/>
                <w:b/>
                <w:szCs w:val="24"/>
                <w:lang w:eastAsia="cs-CZ"/>
              </w:rPr>
              <w:br/>
              <w:t>202</w:t>
            </w:r>
            <w:r w:rsidR="008874CF" w:rsidRPr="008874CF">
              <w:rPr>
                <w:rFonts w:eastAsia="Times New Roman" w:cs="Times New Roman"/>
                <w:b/>
                <w:szCs w:val="24"/>
                <w:lang w:eastAsia="cs-CZ"/>
              </w:rPr>
              <w:t>4</w:t>
            </w:r>
            <w:r w:rsidRPr="008874CF">
              <w:rPr>
                <w:rFonts w:eastAsia="Times New Roman" w:cs="Times New Roman"/>
                <w:b/>
                <w:szCs w:val="24"/>
                <w:lang w:eastAsia="cs-CZ"/>
              </w:rPr>
              <w:t xml:space="preserve"> </w:t>
            </w:r>
            <w:r w:rsidRPr="008874CF">
              <w:rPr>
                <w:rFonts w:eastAsia="Times New Roman" w:cs="Times New Roman"/>
                <w:b/>
                <w:szCs w:val="24"/>
                <w:lang w:eastAsia="cs-CZ"/>
              </w:rPr>
              <w:br/>
              <w:t>(v %)</w:t>
            </w:r>
          </w:p>
        </w:tc>
      </w:tr>
      <w:tr w:rsidR="008874CF" w:rsidRPr="008874CF" w14:paraId="0D705276" w14:textId="77777777" w:rsidTr="001E02BC">
        <w:trPr>
          <w:trHeight w:val="63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1C7FA3D" w14:textId="77777777" w:rsidR="001E02BC" w:rsidRPr="008874CF" w:rsidRDefault="001E02BC" w:rsidP="001E02BC">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FD7B8C6" w14:textId="77777777" w:rsidR="001E02BC" w:rsidRPr="008874CF" w:rsidRDefault="001E02BC" w:rsidP="001E02BC">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1D849C3" w14:textId="77777777" w:rsidR="001E02BC" w:rsidRPr="008874CF" w:rsidRDefault="001E02BC" w:rsidP="001E02BC">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192A2C4" w14:textId="77777777" w:rsidR="001E02BC" w:rsidRPr="008874CF" w:rsidRDefault="001E02BC" w:rsidP="001E02BC">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17B2CBF" w14:textId="77777777" w:rsidR="001E02BC" w:rsidRPr="008874CF" w:rsidRDefault="001E02BC" w:rsidP="001E02BC">
            <w:pPr>
              <w:rPr>
                <w:rFonts w:eastAsia="Times New Roman" w:cs="Times New Roman"/>
                <w:lang w:eastAsia="cs-CZ"/>
              </w:rPr>
            </w:pPr>
          </w:p>
        </w:tc>
      </w:tr>
      <w:tr w:rsidR="008874CF" w:rsidRPr="008874CF" w14:paraId="6493533D" w14:textId="77777777" w:rsidTr="001E02BC">
        <w:trPr>
          <w:trHeight w:val="27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9183FC0" w14:textId="77777777" w:rsidR="001E02BC" w:rsidRPr="008874CF" w:rsidRDefault="001E02BC" w:rsidP="001E02BC">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2527C26" w14:textId="77777777" w:rsidR="001E02BC" w:rsidRPr="008874CF" w:rsidRDefault="001E02BC" w:rsidP="001E02BC">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17177A6" w14:textId="77777777" w:rsidR="001E02BC" w:rsidRPr="008874CF" w:rsidRDefault="001E02BC" w:rsidP="001E02BC">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907FDD7" w14:textId="77777777" w:rsidR="001E02BC" w:rsidRPr="008874CF" w:rsidRDefault="001E02BC" w:rsidP="001E02BC">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2A1CF1D" w14:textId="77777777" w:rsidR="001E02BC" w:rsidRPr="008874CF" w:rsidRDefault="001E02BC" w:rsidP="001E02BC">
            <w:pPr>
              <w:rPr>
                <w:rFonts w:eastAsia="Times New Roman" w:cs="Times New Roman"/>
                <w:lang w:eastAsia="cs-CZ"/>
              </w:rPr>
            </w:pPr>
          </w:p>
        </w:tc>
      </w:tr>
      <w:tr w:rsidR="008874CF" w:rsidRPr="008874CF" w14:paraId="504945AD" w14:textId="77777777" w:rsidTr="001E02BC">
        <w:trPr>
          <w:trHeight w:val="300"/>
        </w:trPr>
        <w:tc>
          <w:tcPr>
            <w:tcW w:w="4326" w:type="dxa"/>
            <w:tcBorders>
              <w:top w:val="single" w:sz="4" w:space="0" w:color="7F7F7F" w:themeColor="text1" w:themeTint="80"/>
              <w:bottom w:val="single" w:sz="8" w:space="0" w:color="7F7F7F" w:themeColor="text1" w:themeTint="80"/>
            </w:tcBorders>
            <w:shd w:val="clear" w:color="auto" w:fill="auto"/>
          </w:tcPr>
          <w:p w14:paraId="02ED44D9" w14:textId="77777777" w:rsidR="001E02BC" w:rsidRPr="008874CF" w:rsidRDefault="001E02BC" w:rsidP="001E02BC">
            <w:pPr>
              <w:jc w:val="center"/>
              <w:rPr>
                <w:rFonts w:eastAsia="Times New Roman" w:cs="Times New Roman"/>
                <w:lang w:eastAsia="cs-CZ"/>
              </w:rPr>
            </w:pPr>
            <w:r w:rsidRPr="008874CF">
              <w:rPr>
                <w:rFonts w:eastAsia="Times New Roman" w:cs="Times New Roman"/>
                <w:lang w:eastAsia="cs-CZ"/>
              </w:rPr>
              <w:t>a</w:t>
            </w:r>
          </w:p>
        </w:tc>
        <w:tc>
          <w:tcPr>
            <w:tcW w:w="1337" w:type="dxa"/>
            <w:tcBorders>
              <w:top w:val="single" w:sz="4" w:space="0" w:color="7F7F7F" w:themeColor="text1" w:themeTint="80"/>
              <w:bottom w:val="single" w:sz="8" w:space="0" w:color="7F7F7F" w:themeColor="text1" w:themeTint="80"/>
            </w:tcBorders>
            <w:shd w:val="clear" w:color="auto" w:fill="auto"/>
          </w:tcPr>
          <w:p w14:paraId="6376EBB5" w14:textId="77777777" w:rsidR="001E02BC" w:rsidRPr="008874CF" w:rsidRDefault="001E02BC" w:rsidP="001E02BC">
            <w:pPr>
              <w:jc w:val="center"/>
              <w:rPr>
                <w:rFonts w:eastAsia="Times New Roman" w:cs="Times New Roman"/>
                <w:lang w:eastAsia="cs-CZ"/>
              </w:rPr>
            </w:pPr>
            <w:r w:rsidRPr="008874CF">
              <w:rPr>
                <w:rFonts w:eastAsia="Times New Roman" w:cs="Times New Roman"/>
                <w:lang w:eastAsia="cs-CZ"/>
              </w:rPr>
              <w:t>1</w:t>
            </w:r>
          </w:p>
        </w:tc>
        <w:tc>
          <w:tcPr>
            <w:tcW w:w="1261" w:type="dxa"/>
            <w:tcBorders>
              <w:top w:val="single" w:sz="4" w:space="0" w:color="7F7F7F" w:themeColor="text1" w:themeTint="80"/>
              <w:bottom w:val="single" w:sz="8" w:space="0" w:color="7F7F7F" w:themeColor="text1" w:themeTint="80"/>
            </w:tcBorders>
            <w:shd w:val="clear" w:color="auto" w:fill="auto"/>
          </w:tcPr>
          <w:p w14:paraId="643D6568" w14:textId="77777777" w:rsidR="001E02BC" w:rsidRPr="008874CF" w:rsidRDefault="001E02BC" w:rsidP="001E02BC">
            <w:pPr>
              <w:jc w:val="center"/>
              <w:rPr>
                <w:rFonts w:eastAsia="Times New Roman" w:cs="Times New Roman"/>
                <w:lang w:eastAsia="cs-CZ"/>
              </w:rPr>
            </w:pPr>
            <w:r w:rsidRPr="008874CF">
              <w:rPr>
                <w:rFonts w:eastAsia="Times New Roman" w:cs="Times New Roman"/>
                <w:lang w:eastAsia="cs-CZ"/>
              </w:rPr>
              <w:t>2</w:t>
            </w:r>
          </w:p>
        </w:tc>
        <w:tc>
          <w:tcPr>
            <w:tcW w:w="1132" w:type="dxa"/>
            <w:tcBorders>
              <w:top w:val="single" w:sz="4" w:space="0" w:color="7F7F7F" w:themeColor="text1" w:themeTint="80"/>
              <w:bottom w:val="single" w:sz="8" w:space="0" w:color="7F7F7F" w:themeColor="text1" w:themeTint="80"/>
            </w:tcBorders>
            <w:shd w:val="clear" w:color="auto" w:fill="auto"/>
          </w:tcPr>
          <w:p w14:paraId="226831C8" w14:textId="77777777" w:rsidR="001E02BC" w:rsidRPr="008874CF" w:rsidRDefault="001E02BC" w:rsidP="001E02BC">
            <w:pPr>
              <w:jc w:val="center"/>
              <w:rPr>
                <w:rFonts w:eastAsia="Times New Roman" w:cs="Times New Roman"/>
                <w:lang w:eastAsia="cs-CZ"/>
              </w:rPr>
            </w:pPr>
            <w:r w:rsidRPr="008874CF">
              <w:rPr>
                <w:rFonts w:eastAsia="Times New Roman" w:cs="Times New Roman"/>
                <w:lang w:eastAsia="cs-CZ"/>
              </w:rPr>
              <w:t>3</w:t>
            </w:r>
          </w:p>
        </w:tc>
        <w:tc>
          <w:tcPr>
            <w:tcW w:w="1006" w:type="dxa"/>
            <w:tcBorders>
              <w:top w:val="single" w:sz="4" w:space="0" w:color="7F7F7F" w:themeColor="text1" w:themeTint="80"/>
              <w:bottom w:val="single" w:sz="8" w:space="0" w:color="7F7F7F" w:themeColor="text1" w:themeTint="80"/>
            </w:tcBorders>
            <w:shd w:val="clear" w:color="auto" w:fill="auto"/>
          </w:tcPr>
          <w:p w14:paraId="124A87D2" w14:textId="77777777" w:rsidR="001E02BC" w:rsidRPr="008874CF" w:rsidRDefault="001E02BC" w:rsidP="001E02BC">
            <w:pPr>
              <w:jc w:val="center"/>
              <w:rPr>
                <w:rFonts w:eastAsia="Times New Roman" w:cs="Times New Roman"/>
                <w:lang w:eastAsia="cs-CZ"/>
              </w:rPr>
            </w:pPr>
            <w:r w:rsidRPr="008874CF">
              <w:rPr>
                <w:rFonts w:eastAsia="Times New Roman" w:cs="Times New Roman"/>
                <w:lang w:eastAsia="cs-CZ"/>
              </w:rPr>
              <w:t>4</w:t>
            </w:r>
          </w:p>
        </w:tc>
      </w:tr>
      <w:tr w:rsidR="008874CF" w:rsidRPr="008874CF" w14:paraId="5073BFDD" w14:textId="77777777" w:rsidTr="002B5B2C">
        <w:trPr>
          <w:trHeight w:val="309"/>
        </w:trPr>
        <w:tc>
          <w:tcPr>
            <w:tcW w:w="4326" w:type="dxa"/>
            <w:tcBorders>
              <w:top w:val="single" w:sz="8" w:space="0" w:color="7F7F7F" w:themeColor="text1" w:themeTint="80"/>
              <w:bottom w:val="single" w:sz="8" w:space="0" w:color="7F7F7F" w:themeColor="text1" w:themeTint="80"/>
            </w:tcBorders>
            <w:shd w:val="clear" w:color="auto" w:fill="auto"/>
          </w:tcPr>
          <w:p w14:paraId="2602D524" w14:textId="77777777" w:rsidR="008874CF" w:rsidRPr="008874CF" w:rsidRDefault="008874CF" w:rsidP="008874CF">
            <w:pPr>
              <w:spacing w:before="40"/>
              <w:rPr>
                <w:rFonts w:eastAsia="Times New Roman" w:cs="Times New Roman"/>
                <w:b/>
                <w:bCs/>
                <w:lang w:eastAsia="cs-CZ"/>
              </w:rPr>
            </w:pPr>
            <w:r w:rsidRPr="008874CF">
              <w:rPr>
                <w:rFonts w:eastAsia="Times New Roman" w:cs="Times New Roman"/>
                <w:b/>
                <w:bCs/>
                <w:lang w:eastAsia="cs-CZ"/>
              </w:rPr>
              <w:t xml:space="preserve">Běžné výdaje </w:t>
            </w:r>
            <w:r w:rsidRPr="008874CF">
              <w:rPr>
                <w:rFonts w:eastAsia="Times New Roman" w:cs="Times New Roman"/>
                <w:bCs/>
                <w:lang w:eastAsia="cs-CZ"/>
              </w:rPr>
              <w:t>v tom:</w:t>
            </w:r>
          </w:p>
        </w:tc>
        <w:tc>
          <w:tcPr>
            <w:tcW w:w="1337" w:type="dxa"/>
            <w:tcBorders>
              <w:top w:val="single" w:sz="8" w:space="0" w:color="7F7F7F" w:themeColor="text1" w:themeTint="80"/>
              <w:bottom w:val="single" w:sz="8" w:space="0" w:color="7F7F7F" w:themeColor="text1" w:themeTint="80"/>
            </w:tcBorders>
            <w:shd w:val="clear" w:color="auto" w:fill="auto"/>
            <w:vAlign w:val="center"/>
          </w:tcPr>
          <w:p w14:paraId="55B79101" w14:textId="3B0FA4EE" w:rsidR="008874CF" w:rsidRPr="008874CF" w:rsidRDefault="008874CF" w:rsidP="008874CF">
            <w:pPr>
              <w:spacing w:before="40"/>
              <w:jc w:val="right"/>
              <w:rPr>
                <w:rFonts w:eastAsia="Times New Roman" w:cs="Times New Roman"/>
                <w:b/>
                <w:bCs/>
                <w:lang w:eastAsia="cs-CZ"/>
              </w:rPr>
            </w:pPr>
            <w:r w:rsidRPr="008874CF">
              <w:rPr>
                <w:b/>
                <w:bCs/>
              </w:rPr>
              <w:t>111 168</w:t>
            </w:r>
          </w:p>
        </w:tc>
        <w:tc>
          <w:tcPr>
            <w:tcW w:w="1261" w:type="dxa"/>
            <w:tcBorders>
              <w:top w:val="single" w:sz="8" w:space="0" w:color="7F7F7F" w:themeColor="text1" w:themeTint="80"/>
              <w:bottom w:val="single" w:sz="8" w:space="0" w:color="7F7F7F" w:themeColor="text1" w:themeTint="80"/>
            </w:tcBorders>
            <w:shd w:val="clear" w:color="auto" w:fill="auto"/>
            <w:vAlign w:val="center"/>
          </w:tcPr>
          <w:p w14:paraId="7E42C5C6" w14:textId="780DA3BC" w:rsidR="008874CF" w:rsidRPr="008874CF" w:rsidRDefault="008874CF" w:rsidP="008874CF">
            <w:pPr>
              <w:spacing w:before="40"/>
              <w:jc w:val="right"/>
              <w:rPr>
                <w:rFonts w:eastAsia="Times New Roman" w:cs="Times New Roman"/>
                <w:b/>
                <w:bCs/>
                <w:lang w:eastAsia="cs-CZ"/>
              </w:rPr>
            </w:pPr>
            <w:r w:rsidRPr="008874CF">
              <w:rPr>
                <w:b/>
                <w:bCs/>
              </w:rPr>
              <w:t>96 273</w:t>
            </w:r>
          </w:p>
        </w:tc>
        <w:tc>
          <w:tcPr>
            <w:tcW w:w="1132" w:type="dxa"/>
            <w:tcBorders>
              <w:top w:val="single" w:sz="8" w:space="0" w:color="7F7F7F" w:themeColor="text1" w:themeTint="80"/>
              <w:bottom w:val="single" w:sz="8" w:space="0" w:color="7F7F7F" w:themeColor="text1" w:themeTint="80"/>
            </w:tcBorders>
            <w:shd w:val="clear" w:color="auto" w:fill="auto"/>
            <w:vAlign w:val="center"/>
          </w:tcPr>
          <w:p w14:paraId="62AA4B24" w14:textId="055E660C" w:rsidR="008874CF" w:rsidRPr="008874CF" w:rsidRDefault="008874CF" w:rsidP="008874CF">
            <w:pPr>
              <w:spacing w:before="40"/>
              <w:jc w:val="right"/>
              <w:rPr>
                <w:rFonts w:eastAsia="Times New Roman" w:cs="Times New Roman"/>
                <w:b/>
                <w:bCs/>
                <w:lang w:eastAsia="cs-CZ"/>
              </w:rPr>
            </w:pPr>
            <w:r w:rsidRPr="008874CF">
              <w:rPr>
                <w:b/>
                <w:bCs/>
              </w:rPr>
              <w:t>99 780</w:t>
            </w:r>
          </w:p>
        </w:tc>
        <w:tc>
          <w:tcPr>
            <w:tcW w:w="1006" w:type="dxa"/>
            <w:tcBorders>
              <w:top w:val="single" w:sz="8" w:space="0" w:color="7F7F7F" w:themeColor="text1" w:themeTint="80"/>
              <w:bottom w:val="single" w:sz="8" w:space="0" w:color="7F7F7F" w:themeColor="text1" w:themeTint="80"/>
            </w:tcBorders>
            <w:shd w:val="clear" w:color="auto" w:fill="auto"/>
            <w:vAlign w:val="center"/>
          </w:tcPr>
          <w:p w14:paraId="3A119AFD" w14:textId="1AAE25C9" w:rsidR="008874CF" w:rsidRPr="008874CF" w:rsidRDefault="008874CF" w:rsidP="008874CF">
            <w:pPr>
              <w:spacing w:before="40"/>
              <w:jc w:val="right"/>
              <w:rPr>
                <w:rFonts w:eastAsia="Times New Roman" w:cs="Times New Roman"/>
                <w:b/>
                <w:bCs/>
                <w:lang w:eastAsia="cs-CZ"/>
              </w:rPr>
            </w:pPr>
            <w:r w:rsidRPr="008874CF">
              <w:rPr>
                <w:b/>
                <w:bCs/>
              </w:rPr>
              <w:t>103,64</w:t>
            </w:r>
          </w:p>
        </w:tc>
      </w:tr>
      <w:tr w:rsidR="008874CF" w:rsidRPr="008874CF" w14:paraId="611A96B8" w14:textId="77777777" w:rsidTr="002B5B2C">
        <w:trPr>
          <w:trHeight w:val="520"/>
        </w:trPr>
        <w:tc>
          <w:tcPr>
            <w:tcW w:w="4326" w:type="dxa"/>
            <w:tcBorders>
              <w:top w:val="single" w:sz="8" w:space="0" w:color="7F7F7F" w:themeColor="text1" w:themeTint="80"/>
            </w:tcBorders>
            <w:shd w:val="clear" w:color="auto" w:fill="auto"/>
          </w:tcPr>
          <w:p w14:paraId="039466F8" w14:textId="77777777" w:rsidR="008874CF" w:rsidRPr="008874CF" w:rsidRDefault="008874CF" w:rsidP="008874CF">
            <w:pPr>
              <w:rPr>
                <w:rFonts w:eastAsia="Times New Roman" w:cs="Times New Roman"/>
                <w:lang w:eastAsia="cs-CZ"/>
              </w:rPr>
            </w:pPr>
            <w:r w:rsidRPr="008874CF">
              <w:rPr>
                <w:rFonts w:eastAsia="Times New Roman" w:cs="Times New Roman"/>
                <w:lang w:eastAsia="cs-CZ"/>
              </w:rPr>
              <w:t>platy zaměstnanců a ostatní platby</w:t>
            </w:r>
          </w:p>
          <w:p w14:paraId="6F3ED7DC" w14:textId="77777777" w:rsidR="008874CF" w:rsidRPr="008874CF" w:rsidRDefault="008874CF" w:rsidP="008874CF">
            <w:pPr>
              <w:rPr>
                <w:rFonts w:eastAsia="Times New Roman" w:cs="Times New Roman"/>
                <w:lang w:eastAsia="cs-CZ"/>
              </w:rPr>
            </w:pPr>
            <w:r w:rsidRPr="008874CF">
              <w:rPr>
                <w:rFonts w:eastAsia="Times New Roman" w:cs="Times New Roman"/>
                <w:lang w:eastAsia="cs-CZ"/>
              </w:rPr>
              <w:t>za provedenou práci</w:t>
            </w:r>
          </w:p>
        </w:tc>
        <w:tc>
          <w:tcPr>
            <w:tcW w:w="1337" w:type="dxa"/>
            <w:tcBorders>
              <w:top w:val="single" w:sz="8" w:space="0" w:color="7F7F7F" w:themeColor="text1" w:themeTint="80"/>
            </w:tcBorders>
            <w:shd w:val="clear" w:color="auto" w:fill="auto"/>
            <w:noWrap/>
            <w:vAlign w:val="center"/>
          </w:tcPr>
          <w:p w14:paraId="58EC13B9" w14:textId="74FD0443" w:rsidR="008874CF" w:rsidRPr="008874CF" w:rsidRDefault="008874CF" w:rsidP="008874CF">
            <w:pPr>
              <w:spacing w:before="81"/>
              <w:jc w:val="right"/>
              <w:rPr>
                <w:rFonts w:eastAsia="Times New Roman" w:cs="Times New Roman"/>
                <w:lang w:eastAsia="cs-CZ"/>
              </w:rPr>
            </w:pPr>
            <w:r w:rsidRPr="008874CF">
              <w:t>56 862</w:t>
            </w:r>
          </w:p>
        </w:tc>
        <w:tc>
          <w:tcPr>
            <w:tcW w:w="1261" w:type="dxa"/>
            <w:tcBorders>
              <w:top w:val="single" w:sz="8" w:space="0" w:color="7F7F7F" w:themeColor="text1" w:themeTint="80"/>
            </w:tcBorders>
            <w:shd w:val="clear" w:color="auto" w:fill="auto"/>
            <w:noWrap/>
            <w:vAlign w:val="center"/>
          </w:tcPr>
          <w:p w14:paraId="73BD8356" w14:textId="7E1D28E5" w:rsidR="008874CF" w:rsidRPr="008874CF" w:rsidRDefault="008874CF" w:rsidP="008874CF">
            <w:pPr>
              <w:spacing w:before="81"/>
              <w:jc w:val="right"/>
              <w:rPr>
                <w:rFonts w:eastAsia="Times New Roman" w:cstheme="minorHAnsi"/>
                <w:lang w:eastAsia="cs-CZ"/>
              </w:rPr>
            </w:pPr>
            <w:r w:rsidRPr="008874CF">
              <w:t>52 152</w:t>
            </w:r>
          </w:p>
        </w:tc>
        <w:tc>
          <w:tcPr>
            <w:tcW w:w="1132" w:type="dxa"/>
            <w:tcBorders>
              <w:top w:val="single" w:sz="8" w:space="0" w:color="7F7F7F" w:themeColor="text1" w:themeTint="80"/>
            </w:tcBorders>
            <w:shd w:val="clear" w:color="auto" w:fill="auto"/>
            <w:noWrap/>
            <w:vAlign w:val="center"/>
          </w:tcPr>
          <w:p w14:paraId="48645FFF" w14:textId="6545E36F" w:rsidR="008874CF" w:rsidRPr="008874CF" w:rsidRDefault="008874CF" w:rsidP="008874CF">
            <w:pPr>
              <w:spacing w:before="81"/>
              <w:jc w:val="right"/>
              <w:rPr>
                <w:rFonts w:eastAsia="Times New Roman" w:cstheme="minorHAnsi"/>
                <w:lang w:eastAsia="cs-CZ"/>
              </w:rPr>
            </w:pPr>
            <w:r w:rsidRPr="008874CF">
              <w:t>54 754</w:t>
            </w:r>
          </w:p>
        </w:tc>
        <w:tc>
          <w:tcPr>
            <w:tcW w:w="1006" w:type="dxa"/>
            <w:tcBorders>
              <w:top w:val="single" w:sz="8" w:space="0" w:color="7F7F7F" w:themeColor="text1" w:themeTint="80"/>
            </w:tcBorders>
            <w:shd w:val="clear" w:color="auto" w:fill="auto"/>
            <w:vAlign w:val="center"/>
          </w:tcPr>
          <w:p w14:paraId="4DC386E3" w14:textId="5064EFE2" w:rsidR="008874CF" w:rsidRPr="008874CF" w:rsidRDefault="008874CF" w:rsidP="008874CF">
            <w:pPr>
              <w:spacing w:before="81"/>
              <w:jc w:val="right"/>
              <w:rPr>
                <w:rFonts w:eastAsia="Times New Roman" w:cs="Times New Roman"/>
                <w:b/>
                <w:bCs/>
                <w:lang w:eastAsia="cs-CZ"/>
              </w:rPr>
            </w:pPr>
            <w:r w:rsidRPr="008874CF">
              <w:t>104,99</w:t>
            </w:r>
          </w:p>
        </w:tc>
      </w:tr>
      <w:tr w:rsidR="008874CF" w:rsidRPr="008874CF" w14:paraId="1A347156" w14:textId="77777777" w:rsidTr="002B5B2C">
        <w:trPr>
          <w:trHeight w:val="255"/>
        </w:trPr>
        <w:tc>
          <w:tcPr>
            <w:tcW w:w="4326" w:type="dxa"/>
            <w:shd w:val="clear" w:color="auto" w:fill="auto"/>
          </w:tcPr>
          <w:p w14:paraId="5414EC08" w14:textId="77777777" w:rsidR="008874CF" w:rsidRPr="008874CF" w:rsidRDefault="008874CF" w:rsidP="008874CF">
            <w:pPr>
              <w:rPr>
                <w:rFonts w:eastAsia="Times New Roman" w:cs="Times New Roman"/>
                <w:lang w:eastAsia="cs-CZ"/>
              </w:rPr>
            </w:pPr>
            <w:r w:rsidRPr="008874CF">
              <w:rPr>
                <w:rFonts w:eastAsia="Times New Roman" w:cs="Times New Roman"/>
                <w:lang w:eastAsia="cs-CZ"/>
              </w:rPr>
              <w:t>povinné pojistné placené zaměstnavatelem</w:t>
            </w:r>
          </w:p>
        </w:tc>
        <w:tc>
          <w:tcPr>
            <w:tcW w:w="1337" w:type="dxa"/>
            <w:shd w:val="clear" w:color="auto" w:fill="auto"/>
            <w:vAlign w:val="center"/>
          </w:tcPr>
          <w:p w14:paraId="41AFCAEB" w14:textId="60F75AD9" w:rsidR="008874CF" w:rsidRPr="008874CF" w:rsidRDefault="008874CF" w:rsidP="008874CF">
            <w:pPr>
              <w:jc w:val="right"/>
              <w:rPr>
                <w:rFonts w:eastAsia="Times New Roman" w:cs="Times New Roman"/>
                <w:lang w:eastAsia="cs-CZ"/>
              </w:rPr>
            </w:pPr>
            <w:r w:rsidRPr="008874CF">
              <w:t>19 230</w:t>
            </w:r>
          </w:p>
        </w:tc>
        <w:tc>
          <w:tcPr>
            <w:tcW w:w="1261" w:type="dxa"/>
            <w:shd w:val="clear" w:color="auto" w:fill="auto"/>
            <w:vAlign w:val="center"/>
          </w:tcPr>
          <w:p w14:paraId="10087550" w14:textId="1E906D63" w:rsidR="008874CF" w:rsidRPr="008874CF" w:rsidRDefault="008874CF" w:rsidP="008874CF">
            <w:pPr>
              <w:jc w:val="right"/>
              <w:rPr>
                <w:rFonts w:eastAsia="Times New Roman" w:cs="Times New Roman"/>
                <w:lang w:eastAsia="cs-CZ"/>
              </w:rPr>
            </w:pPr>
            <w:r w:rsidRPr="008874CF">
              <w:t>17 627</w:t>
            </w:r>
          </w:p>
        </w:tc>
        <w:tc>
          <w:tcPr>
            <w:tcW w:w="1132" w:type="dxa"/>
            <w:shd w:val="clear" w:color="auto" w:fill="auto"/>
            <w:vAlign w:val="center"/>
          </w:tcPr>
          <w:p w14:paraId="2F892CAB" w14:textId="01A5C8F0" w:rsidR="008874CF" w:rsidRPr="008874CF" w:rsidRDefault="008874CF" w:rsidP="008874CF">
            <w:pPr>
              <w:jc w:val="right"/>
              <w:rPr>
                <w:rFonts w:eastAsia="Times New Roman" w:cs="Times New Roman"/>
                <w:lang w:eastAsia="cs-CZ"/>
              </w:rPr>
            </w:pPr>
            <w:r w:rsidRPr="008874CF">
              <w:t>18 507</w:t>
            </w:r>
          </w:p>
        </w:tc>
        <w:tc>
          <w:tcPr>
            <w:tcW w:w="1006" w:type="dxa"/>
            <w:shd w:val="clear" w:color="auto" w:fill="auto"/>
            <w:vAlign w:val="center"/>
          </w:tcPr>
          <w:p w14:paraId="3C837536" w14:textId="1AC2CDE0" w:rsidR="008874CF" w:rsidRPr="008874CF" w:rsidRDefault="008874CF" w:rsidP="008874CF">
            <w:pPr>
              <w:jc w:val="right"/>
              <w:rPr>
                <w:rFonts w:eastAsia="Times New Roman" w:cs="Times New Roman"/>
                <w:lang w:eastAsia="cs-CZ"/>
              </w:rPr>
            </w:pPr>
            <w:r w:rsidRPr="008874CF">
              <w:t>104,99</w:t>
            </w:r>
          </w:p>
        </w:tc>
      </w:tr>
      <w:tr w:rsidR="008874CF" w:rsidRPr="008874CF" w14:paraId="5483035B" w14:textId="77777777" w:rsidTr="002B5B2C">
        <w:trPr>
          <w:trHeight w:val="255"/>
        </w:trPr>
        <w:tc>
          <w:tcPr>
            <w:tcW w:w="4326" w:type="dxa"/>
            <w:tcBorders>
              <w:bottom w:val="single" w:sz="4" w:space="0" w:color="7F7F7F" w:themeColor="text1" w:themeTint="80"/>
            </w:tcBorders>
            <w:shd w:val="clear" w:color="auto" w:fill="auto"/>
          </w:tcPr>
          <w:p w14:paraId="68ECA61D" w14:textId="77777777" w:rsidR="008874CF" w:rsidRPr="008874CF" w:rsidRDefault="008874CF" w:rsidP="008874CF">
            <w:pPr>
              <w:rPr>
                <w:rFonts w:eastAsia="Times New Roman" w:cs="Times New Roman"/>
                <w:lang w:eastAsia="cs-CZ"/>
              </w:rPr>
            </w:pPr>
            <w:r w:rsidRPr="008874CF">
              <w:rPr>
                <w:rFonts w:eastAsia="Times New Roman" w:cs="Times New Roman"/>
                <w:lang w:eastAsia="cs-CZ"/>
              </w:rPr>
              <w:t>příděl FKSP</w:t>
            </w:r>
          </w:p>
        </w:tc>
        <w:tc>
          <w:tcPr>
            <w:tcW w:w="1337" w:type="dxa"/>
            <w:tcBorders>
              <w:bottom w:val="single" w:sz="4" w:space="0" w:color="7F7F7F" w:themeColor="text1" w:themeTint="80"/>
            </w:tcBorders>
            <w:shd w:val="clear" w:color="auto" w:fill="auto"/>
            <w:vAlign w:val="center"/>
          </w:tcPr>
          <w:p w14:paraId="59AD9760" w14:textId="23C43ED0" w:rsidR="008874CF" w:rsidRPr="008874CF" w:rsidRDefault="008874CF" w:rsidP="008874CF">
            <w:pPr>
              <w:jc w:val="right"/>
              <w:rPr>
                <w:rFonts w:eastAsia="Times New Roman" w:cs="Times New Roman"/>
                <w:lang w:eastAsia="cs-CZ"/>
              </w:rPr>
            </w:pPr>
            <w:r w:rsidRPr="008874CF">
              <w:t>1 135</w:t>
            </w:r>
          </w:p>
        </w:tc>
        <w:tc>
          <w:tcPr>
            <w:tcW w:w="1261" w:type="dxa"/>
            <w:tcBorders>
              <w:bottom w:val="single" w:sz="4" w:space="0" w:color="7F7F7F" w:themeColor="text1" w:themeTint="80"/>
            </w:tcBorders>
            <w:shd w:val="clear" w:color="auto" w:fill="auto"/>
            <w:vAlign w:val="center"/>
          </w:tcPr>
          <w:p w14:paraId="73952CD7" w14:textId="3917DE18" w:rsidR="008874CF" w:rsidRPr="008874CF" w:rsidRDefault="008874CF" w:rsidP="008874CF">
            <w:pPr>
              <w:jc w:val="right"/>
              <w:rPr>
                <w:rFonts w:eastAsia="Times New Roman" w:cs="Times New Roman"/>
                <w:lang w:eastAsia="cs-CZ"/>
              </w:rPr>
            </w:pPr>
            <w:r w:rsidRPr="008874CF">
              <w:t>520</w:t>
            </w:r>
          </w:p>
        </w:tc>
        <w:tc>
          <w:tcPr>
            <w:tcW w:w="1132" w:type="dxa"/>
            <w:tcBorders>
              <w:bottom w:val="single" w:sz="4" w:space="0" w:color="7F7F7F" w:themeColor="text1" w:themeTint="80"/>
            </w:tcBorders>
            <w:shd w:val="clear" w:color="auto" w:fill="auto"/>
            <w:vAlign w:val="center"/>
          </w:tcPr>
          <w:p w14:paraId="3CE634AF" w14:textId="7526BD91" w:rsidR="008874CF" w:rsidRPr="008874CF" w:rsidRDefault="008874CF" w:rsidP="008874CF">
            <w:pPr>
              <w:jc w:val="right"/>
              <w:rPr>
                <w:rFonts w:eastAsia="Times New Roman" w:cs="Times New Roman"/>
                <w:lang w:eastAsia="cs-CZ"/>
              </w:rPr>
            </w:pPr>
            <w:r w:rsidRPr="008874CF">
              <w:t>546,3</w:t>
            </w:r>
          </w:p>
        </w:tc>
        <w:tc>
          <w:tcPr>
            <w:tcW w:w="1006" w:type="dxa"/>
            <w:tcBorders>
              <w:bottom w:val="single" w:sz="4" w:space="0" w:color="7F7F7F" w:themeColor="text1" w:themeTint="80"/>
            </w:tcBorders>
            <w:shd w:val="clear" w:color="auto" w:fill="auto"/>
            <w:vAlign w:val="center"/>
          </w:tcPr>
          <w:p w14:paraId="667FEBB9" w14:textId="35F40524" w:rsidR="008874CF" w:rsidRPr="008874CF" w:rsidRDefault="008874CF" w:rsidP="008874CF">
            <w:pPr>
              <w:jc w:val="right"/>
              <w:rPr>
                <w:rFonts w:eastAsia="Times New Roman" w:cs="Times New Roman"/>
                <w:lang w:eastAsia="cs-CZ"/>
              </w:rPr>
            </w:pPr>
            <w:r w:rsidRPr="008874CF">
              <w:t>105,00</w:t>
            </w:r>
          </w:p>
        </w:tc>
      </w:tr>
      <w:tr w:rsidR="008874CF" w:rsidRPr="008874CF" w14:paraId="313BCF19" w14:textId="77777777" w:rsidTr="002B5B2C">
        <w:trPr>
          <w:trHeight w:val="255"/>
        </w:trPr>
        <w:tc>
          <w:tcPr>
            <w:tcW w:w="4326" w:type="dxa"/>
            <w:tcBorders>
              <w:top w:val="single" w:sz="4" w:space="0" w:color="7F7F7F" w:themeColor="text1" w:themeTint="80"/>
              <w:bottom w:val="nil"/>
            </w:tcBorders>
            <w:shd w:val="clear" w:color="auto" w:fill="auto"/>
          </w:tcPr>
          <w:p w14:paraId="41248A28" w14:textId="77777777" w:rsidR="008874CF" w:rsidRPr="008874CF" w:rsidRDefault="008874CF" w:rsidP="008874CF">
            <w:pPr>
              <w:rPr>
                <w:rFonts w:eastAsia="Times New Roman" w:cs="Times New Roman"/>
                <w:lang w:eastAsia="cs-CZ"/>
              </w:rPr>
            </w:pPr>
            <w:r w:rsidRPr="008874CF">
              <w:rPr>
                <w:rFonts w:eastAsia="Times New Roman" w:cs="Times New Roman"/>
                <w:lang w:eastAsia="cs-CZ"/>
              </w:rPr>
              <w:t>ostatní neinv. nákupy a související výdaje</w:t>
            </w:r>
          </w:p>
        </w:tc>
        <w:tc>
          <w:tcPr>
            <w:tcW w:w="1337" w:type="dxa"/>
            <w:tcBorders>
              <w:top w:val="single" w:sz="4" w:space="0" w:color="7F7F7F" w:themeColor="text1" w:themeTint="80"/>
              <w:bottom w:val="nil"/>
            </w:tcBorders>
            <w:shd w:val="clear" w:color="auto" w:fill="auto"/>
            <w:vAlign w:val="center"/>
          </w:tcPr>
          <w:p w14:paraId="31D5010A" w14:textId="65841995" w:rsidR="008874CF" w:rsidRPr="008874CF" w:rsidRDefault="008874CF" w:rsidP="008874CF">
            <w:pPr>
              <w:jc w:val="right"/>
              <w:rPr>
                <w:rFonts w:eastAsia="Times New Roman" w:cs="Times New Roman"/>
                <w:lang w:eastAsia="cs-CZ"/>
              </w:rPr>
            </w:pPr>
            <w:r w:rsidRPr="008874CF">
              <w:t>33 941</w:t>
            </w:r>
          </w:p>
        </w:tc>
        <w:tc>
          <w:tcPr>
            <w:tcW w:w="1261" w:type="dxa"/>
            <w:tcBorders>
              <w:top w:val="single" w:sz="4" w:space="0" w:color="7F7F7F" w:themeColor="text1" w:themeTint="80"/>
              <w:bottom w:val="nil"/>
            </w:tcBorders>
            <w:shd w:val="clear" w:color="auto" w:fill="auto"/>
            <w:vAlign w:val="center"/>
          </w:tcPr>
          <w:p w14:paraId="5395B4AC" w14:textId="1748F6EB" w:rsidR="008874CF" w:rsidRPr="008874CF" w:rsidRDefault="008874CF" w:rsidP="008874CF">
            <w:pPr>
              <w:jc w:val="right"/>
              <w:rPr>
                <w:rFonts w:eastAsia="Times New Roman" w:cs="Times New Roman"/>
                <w:lang w:eastAsia="cs-CZ"/>
              </w:rPr>
            </w:pPr>
            <w:r w:rsidRPr="008874CF">
              <w:t>25 974</w:t>
            </w:r>
          </w:p>
        </w:tc>
        <w:tc>
          <w:tcPr>
            <w:tcW w:w="1132" w:type="dxa"/>
            <w:tcBorders>
              <w:top w:val="single" w:sz="4" w:space="0" w:color="7F7F7F" w:themeColor="text1" w:themeTint="80"/>
              <w:bottom w:val="nil"/>
            </w:tcBorders>
            <w:shd w:val="clear" w:color="auto" w:fill="auto"/>
            <w:vAlign w:val="center"/>
          </w:tcPr>
          <w:p w14:paraId="314114BC" w14:textId="46F68CFD" w:rsidR="008874CF" w:rsidRPr="008874CF" w:rsidRDefault="008874CF" w:rsidP="008874CF">
            <w:pPr>
              <w:jc w:val="right"/>
              <w:rPr>
                <w:rFonts w:eastAsia="Times New Roman" w:cs="Times New Roman"/>
                <w:lang w:eastAsia="cs-CZ"/>
              </w:rPr>
            </w:pPr>
            <w:r w:rsidRPr="008874CF">
              <w:t>25 974</w:t>
            </w:r>
          </w:p>
        </w:tc>
        <w:tc>
          <w:tcPr>
            <w:tcW w:w="1006" w:type="dxa"/>
            <w:tcBorders>
              <w:top w:val="single" w:sz="4" w:space="0" w:color="7F7F7F" w:themeColor="text1" w:themeTint="80"/>
              <w:bottom w:val="nil"/>
            </w:tcBorders>
            <w:shd w:val="clear" w:color="auto" w:fill="auto"/>
            <w:vAlign w:val="center"/>
          </w:tcPr>
          <w:p w14:paraId="28C53981" w14:textId="36991921" w:rsidR="008874CF" w:rsidRPr="008874CF" w:rsidRDefault="008874CF" w:rsidP="008874CF">
            <w:pPr>
              <w:jc w:val="right"/>
              <w:rPr>
                <w:rFonts w:eastAsia="Times New Roman" w:cs="Times New Roman"/>
                <w:lang w:eastAsia="cs-CZ"/>
              </w:rPr>
            </w:pPr>
            <w:r w:rsidRPr="008874CF">
              <w:t>100,00</w:t>
            </w:r>
          </w:p>
        </w:tc>
      </w:tr>
      <w:tr w:rsidR="008874CF" w:rsidRPr="008874CF" w14:paraId="28E81A6D" w14:textId="77777777" w:rsidTr="002B5B2C">
        <w:trPr>
          <w:trHeight w:val="255"/>
        </w:trPr>
        <w:tc>
          <w:tcPr>
            <w:tcW w:w="4326" w:type="dxa"/>
            <w:tcBorders>
              <w:top w:val="nil"/>
            </w:tcBorders>
            <w:shd w:val="clear" w:color="auto" w:fill="auto"/>
          </w:tcPr>
          <w:p w14:paraId="5E84C5A0" w14:textId="1DBB75D8" w:rsidR="008874CF" w:rsidRPr="008874CF" w:rsidRDefault="008874CF" w:rsidP="008874CF">
            <w:pPr>
              <w:jc w:val="left"/>
              <w:rPr>
                <w:rFonts w:eastAsia="Times New Roman" w:cs="Times New Roman"/>
                <w:i/>
                <w:lang w:eastAsia="cs-CZ"/>
              </w:rPr>
            </w:pPr>
            <w:r w:rsidRPr="008874CF">
              <w:rPr>
                <w:rFonts w:eastAsia="Times New Roman" w:cs="Times New Roman"/>
                <w:i/>
                <w:lang w:eastAsia="cs-CZ"/>
              </w:rPr>
              <w:lastRenderedPageBreak/>
              <w:t xml:space="preserve">z toho: programové financování </w:t>
            </w:r>
            <w:r w:rsidRPr="008874CF">
              <w:rPr>
                <w:rFonts w:eastAsia="Times New Roman" w:cs="Times New Roman"/>
                <w:i/>
                <w:lang w:eastAsia="cs-CZ"/>
              </w:rPr>
              <w:tab/>
              <w:t>(EDS/SMVS)</w:t>
            </w:r>
          </w:p>
        </w:tc>
        <w:tc>
          <w:tcPr>
            <w:tcW w:w="1337" w:type="dxa"/>
            <w:tcBorders>
              <w:top w:val="nil"/>
            </w:tcBorders>
            <w:shd w:val="clear" w:color="auto" w:fill="auto"/>
            <w:vAlign w:val="center"/>
          </w:tcPr>
          <w:p w14:paraId="269E7945" w14:textId="20F07C61" w:rsidR="008874CF" w:rsidRPr="008874CF" w:rsidRDefault="008874CF" w:rsidP="008874CF">
            <w:pPr>
              <w:spacing w:before="81"/>
              <w:jc w:val="right"/>
              <w:rPr>
                <w:rFonts w:eastAsia="Times New Roman" w:cs="Times New Roman"/>
                <w:i/>
                <w:lang w:eastAsia="cs-CZ"/>
              </w:rPr>
            </w:pPr>
            <w:r w:rsidRPr="008874CF">
              <w:rPr>
                <w:rFonts w:eastAsia="Times New Roman" w:cs="Times New Roman"/>
                <w:i/>
                <w:lang w:eastAsia="cs-CZ"/>
              </w:rPr>
              <w:t>0</w:t>
            </w:r>
          </w:p>
        </w:tc>
        <w:tc>
          <w:tcPr>
            <w:tcW w:w="1261" w:type="dxa"/>
            <w:tcBorders>
              <w:top w:val="nil"/>
            </w:tcBorders>
            <w:shd w:val="clear" w:color="auto" w:fill="auto"/>
            <w:vAlign w:val="center"/>
          </w:tcPr>
          <w:p w14:paraId="289F265B" w14:textId="6F6E76D1" w:rsidR="008874CF" w:rsidRPr="008874CF" w:rsidRDefault="008874CF" w:rsidP="008874CF">
            <w:pPr>
              <w:jc w:val="right"/>
              <w:rPr>
                <w:rFonts w:eastAsia="Times New Roman" w:cs="Times New Roman"/>
                <w:i/>
                <w:lang w:eastAsia="cs-CZ"/>
              </w:rPr>
            </w:pPr>
            <w:r w:rsidRPr="008874CF">
              <w:rPr>
                <w:rFonts w:eastAsia="Times New Roman" w:cs="Times New Roman"/>
                <w:i/>
                <w:lang w:eastAsia="cs-CZ"/>
              </w:rPr>
              <w:t>0</w:t>
            </w:r>
          </w:p>
        </w:tc>
        <w:tc>
          <w:tcPr>
            <w:tcW w:w="1132" w:type="dxa"/>
            <w:tcBorders>
              <w:top w:val="nil"/>
            </w:tcBorders>
            <w:shd w:val="clear" w:color="auto" w:fill="auto"/>
            <w:vAlign w:val="center"/>
          </w:tcPr>
          <w:p w14:paraId="7C8F462C" w14:textId="214D4977" w:rsidR="008874CF" w:rsidRPr="008874CF" w:rsidRDefault="008874CF" w:rsidP="008874CF">
            <w:pPr>
              <w:jc w:val="right"/>
              <w:rPr>
                <w:rFonts w:eastAsia="Times New Roman" w:cs="Times New Roman"/>
                <w:i/>
                <w:lang w:eastAsia="cs-CZ"/>
              </w:rPr>
            </w:pPr>
            <w:r w:rsidRPr="008874CF">
              <w:rPr>
                <w:rFonts w:eastAsia="Times New Roman" w:cs="Times New Roman"/>
                <w:i/>
                <w:lang w:eastAsia="cs-CZ"/>
              </w:rPr>
              <w:t>0</w:t>
            </w:r>
          </w:p>
        </w:tc>
        <w:tc>
          <w:tcPr>
            <w:tcW w:w="1006" w:type="dxa"/>
            <w:tcBorders>
              <w:top w:val="nil"/>
            </w:tcBorders>
            <w:shd w:val="clear" w:color="auto" w:fill="auto"/>
            <w:vAlign w:val="center"/>
          </w:tcPr>
          <w:p w14:paraId="1F841360" w14:textId="2A449BF1" w:rsidR="008874CF" w:rsidRPr="008874CF" w:rsidRDefault="008874CF" w:rsidP="008874CF">
            <w:pPr>
              <w:jc w:val="right"/>
              <w:rPr>
                <w:rFonts w:eastAsia="Times New Roman" w:cs="Times New Roman"/>
                <w:i/>
                <w:lang w:eastAsia="cs-CZ"/>
              </w:rPr>
            </w:pPr>
            <w:r w:rsidRPr="008874CF">
              <w:rPr>
                <w:rFonts w:eastAsia="Times New Roman" w:cs="Times New Roman"/>
                <w:i/>
                <w:lang w:eastAsia="cs-CZ"/>
              </w:rPr>
              <w:t>x</w:t>
            </w:r>
          </w:p>
        </w:tc>
      </w:tr>
    </w:tbl>
    <w:p w14:paraId="6B4A8530" w14:textId="1E501537" w:rsidR="001E02BC" w:rsidRPr="008874CF" w:rsidRDefault="008874CF" w:rsidP="001E02BC">
      <w:pPr>
        <w:pStyle w:val="Styl1"/>
      </w:pPr>
      <w:r w:rsidRPr="008874CF">
        <w:t>Navrhovaný objem běžných výdajů na rok 2025 tvoří výdaje na platy zaměstnanců a ostatní platby za provedenou práci včetně souvisejících plateb na povinné pojistné a příděl FKSP ve výši 73 807 tis. Kč a dále ostatní neinvestiční výdaje ve výši 25 974 tis. Kč. Oproti roku 2024 se objem běžných výdajů zvýšil o částku 3 507 tis. Kč, což je způsobeno 5% navýšením prostředků na platy včetně příslušenství, podrobněji viz oddíl 3.2.2 Výdaje na platy a počty pracovníků za OSS a PO</w:t>
      </w:r>
      <w:r w:rsidR="001E02BC" w:rsidRPr="008874CF">
        <w:t xml:space="preserve">. </w:t>
      </w:r>
    </w:p>
    <w:p w14:paraId="697B0D1B" w14:textId="60FE1967" w:rsidR="001E02BC" w:rsidRPr="008874CF" w:rsidRDefault="001E02BC" w:rsidP="001E02BC">
      <w:pPr>
        <w:pStyle w:val="Styl1"/>
      </w:pPr>
      <w:r w:rsidRPr="008874CF">
        <w:t>Počet zaměstnanců organizace pro rok 202</w:t>
      </w:r>
      <w:r w:rsidR="008874CF" w:rsidRPr="008874CF">
        <w:t>5</w:t>
      </w:r>
      <w:r w:rsidRPr="008874CF">
        <w:t xml:space="preserve"> je navržen ve výši 102 zaměstnanců, v tom 91 státních zaměstnanců a 11 zaměstnanců v pracovním poměru. Ve srovnání s rokem 202</w:t>
      </w:r>
      <w:r w:rsidR="008874CF" w:rsidRPr="008874CF">
        <w:t>4</w:t>
      </w:r>
      <w:r w:rsidRPr="008874CF">
        <w:t xml:space="preserve"> </w:t>
      </w:r>
      <w:r w:rsidR="008874CF" w:rsidRPr="008874CF">
        <w:t>ne</w:t>
      </w:r>
      <w:r w:rsidRPr="008874CF">
        <w:t xml:space="preserve">dochází ke </w:t>
      </w:r>
      <w:r w:rsidR="008874CF" w:rsidRPr="008874CF">
        <w:t>změně</w:t>
      </w:r>
      <w:r w:rsidRPr="008874CF">
        <w:t>.</w:t>
      </w:r>
    </w:p>
    <w:p w14:paraId="30B2A637" w14:textId="7725AA34" w:rsidR="001E02BC" w:rsidRPr="008874CF" w:rsidRDefault="008874CF" w:rsidP="001E02BC">
      <w:pPr>
        <w:pStyle w:val="Styl1"/>
      </w:pPr>
      <w:r w:rsidRPr="008874CF">
        <w:t>Ostatní běžné výdaje se oproti roku 2024 nezměnily. V rámci ostatních běžných výdajů činí největší podíl výdaje na nájemné a výdaje na nákup ostatních služeb, dále pak zpracování dat a služby související s informačními a komunikačními technologiemi a výdaje na nákup materiálu</w:t>
      </w:r>
      <w:r w:rsidR="001E02BC" w:rsidRPr="008874CF">
        <w:t xml:space="preserve">. </w:t>
      </w:r>
    </w:p>
    <w:p w14:paraId="6C2D5FC2" w14:textId="77777777" w:rsidR="0057450B" w:rsidRPr="005F4348" w:rsidRDefault="0057450B" w:rsidP="00A66629">
      <w:pPr>
        <w:pStyle w:val="Nadpis9"/>
      </w:pPr>
      <w:r w:rsidRPr="005F4348">
        <w:t>Drážní inspekce</w:t>
      </w:r>
    </w:p>
    <w:p w14:paraId="0AA70283" w14:textId="77777777" w:rsidR="00CB0139" w:rsidRPr="005F4348" w:rsidRDefault="00CB0139" w:rsidP="00CB0139">
      <w:pPr>
        <w:pStyle w:val="Styl1"/>
      </w:pPr>
      <w:r w:rsidRPr="005F4348">
        <w:t xml:space="preserve">Organizační složka státu Drážní inspekce vznikla jako správní úřad k 1. 1. 2003 podle zákona č. 77/2002 Sb., o akciové společnosti České dráhy, státní organizaci Správa železniční dopravní cesty a o změně zákona č. 266/1994 Sb., o dráhách, ve znění pozdějších předpisů, a zákona </w:t>
      </w:r>
      <w:r w:rsidRPr="005F4348">
        <w:br/>
        <w:t xml:space="preserve">č. 77/1997 Sb., o státním podniku, ve znění pozdějších předpisů. </w:t>
      </w:r>
    </w:p>
    <w:p w14:paraId="44180E51" w14:textId="77777777" w:rsidR="00CB0139" w:rsidRPr="005F4348" w:rsidRDefault="00CB0139" w:rsidP="00CB0139">
      <w:pPr>
        <w:pStyle w:val="Styl1"/>
      </w:pPr>
      <w:r w:rsidRPr="005F4348">
        <w:t xml:space="preserve">Hlavní činností organizace je zjišťování příčin a okolností vzniku mimořádných událostí </w:t>
      </w:r>
      <w:r w:rsidRPr="005F4348">
        <w:br/>
        <w:t xml:space="preserve">v drážní dopravě, a to na drahách železničních, tramvajových, trolejbusových, lanových </w:t>
      </w:r>
      <w:r w:rsidRPr="005F4348">
        <w:br/>
        <w:t xml:space="preserve">a speciálních (metro) s cílem zabránit jejich opakování. </w:t>
      </w:r>
    </w:p>
    <w:p w14:paraId="7F733CE0" w14:textId="36FA947B" w:rsidR="0057450B" w:rsidRPr="00D50BEB" w:rsidRDefault="0057450B" w:rsidP="0057450B">
      <w:pPr>
        <w:pStyle w:val="Titulek"/>
      </w:pPr>
      <w:r w:rsidRPr="00D50BEB">
        <w:t xml:space="preserve">Tabulka č. </w:t>
      </w:r>
      <w:r w:rsidR="0001421C" w:rsidRPr="00D50BEB">
        <w:rPr>
          <w:noProof/>
        </w:rPr>
        <w:fldChar w:fldCharType="begin"/>
      </w:r>
      <w:r w:rsidR="0001421C" w:rsidRPr="00D50BEB">
        <w:rPr>
          <w:noProof/>
        </w:rPr>
        <w:instrText xml:space="preserve"> SEQ Tabulka \* ARABIC </w:instrText>
      </w:r>
      <w:r w:rsidR="0001421C" w:rsidRPr="00D50BEB">
        <w:rPr>
          <w:noProof/>
        </w:rPr>
        <w:fldChar w:fldCharType="separate"/>
      </w:r>
      <w:r w:rsidR="003B0B01" w:rsidRPr="00D50BEB">
        <w:rPr>
          <w:noProof/>
        </w:rPr>
        <w:t>17</w:t>
      </w:r>
      <w:r w:rsidR="0001421C" w:rsidRPr="00D50BEB">
        <w:rPr>
          <w:noProof/>
        </w:rPr>
        <w:fldChar w:fldCharType="end"/>
      </w:r>
      <w:r w:rsidRPr="00D50BEB">
        <w:t xml:space="preserve"> Drážní inspekce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8839DE" w:rsidRPr="00D070B8" w14:paraId="3ED518D8" w14:textId="77777777" w:rsidTr="001E02BC">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82F187F" w14:textId="77777777"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1CB90D6" w14:textId="77777777"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Skutečnost</w:t>
            </w:r>
          </w:p>
          <w:p w14:paraId="69802D45" w14:textId="3907E22A"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202</w:t>
            </w:r>
            <w:r w:rsidR="005F4348" w:rsidRPr="00D50BEB">
              <w:rPr>
                <w:rFonts w:eastAsia="Times New Roman" w:cs="Times New Roman"/>
                <w:b/>
                <w:szCs w:val="24"/>
                <w:lang w:eastAsia="cs-CZ"/>
              </w:rPr>
              <w:t>3</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5558D80" w14:textId="77777777"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Schválený</w:t>
            </w:r>
          </w:p>
          <w:p w14:paraId="6E2254BE" w14:textId="77777777"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rozpočet</w:t>
            </w:r>
          </w:p>
          <w:p w14:paraId="3619F6EF" w14:textId="0098C7BB"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202</w:t>
            </w:r>
            <w:r w:rsidR="005F4348" w:rsidRPr="00D50BEB">
              <w:rPr>
                <w:rFonts w:eastAsia="Times New Roman" w:cs="Times New Roman"/>
                <w:b/>
                <w:szCs w:val="24"/>
                <w:lang w:eastAsia="cs-CZ"/>
              </w:rPr>
              <w:t>4</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D22F6AF" w14:textId="77777777"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Návrh</w:t>
            </w:r>
          </w:p>
          <w:p w14:paraId="615E5277" w14:textId="77777777"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rozpočtu</w:t>
            </w:r>
          </w:p>
          <w:p w14:paraId="7A8E9697" w14:textId="403D01D1"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202</w:t>
            </w:r>
            <w:r w:rsidR="005F4348" w:rsidRPr="00D50BEB">
              <w:rPr>
                <w:rFonts w:eastAsia="Times New Roman" w:cs="Times New Roman"/>
                <w:b/>
                <w:szCs w:val="24"/>
                <w:lang w:eastAsia="cs-CZ"/>
              </w:rPr>
              <w:t>5</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B340642" w14:textId="77777777"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Index</w:t>
            </w:r>
          </w:p>
          <w:p w14:paraId="25E0DEEE" w14:textId="3D9D0D90" w:rsidR="008839DE" w:rsidRPr="00D50BEB" w:rsidRDefault="008839DE" w:rsidP="001E02BC">
            <w:pPr>
              <w:jc w:val="center"/>
              <w:rPr>
                <w:rFonts w:eastAsia="Times New Roman" w:cs="Times New Roman"/>
                <w:b/>
                <w:szCs w:val="24"/>
                <w:lang w:eastAsia="cs-CZ"/>
              </w:rPr>
            </w:pPr>
            <w:r w:rsidRPr="00D50BEB">
              <w:rPr>
                <w:rFonts w:eastAsia="Times New Roman" w:cs="Times New Roman"/>
                <w:b/>
                <w:szCs w:val="24"/>
                <w:lang w:eastAsia="cs-CZ"/>
              </w:rPr>
              <w:t>202</w:t>
            </w:r>
            <w:r w:rsidR="005F4348" w:rsidRPr="00D50BEB">
              <w:rPr>
                <w:rFonts w:eastAsia="Times New Roman" w:cs="Times New Roman"/>
                <w:b/>
                <w:szCs w:val="24"/>
                <w:lang w:eastAsia="cs-CZ"/>
              </w:rPr>
              <w:t>5</w:t>
            </w:r>
            <w:r w:rsidRPr="00D50BEB">
              <w:rPr>
                <w:rFonts w:eastAsia="Times New Roman" w:cs="Times New Roman"/>
                <w:b/>
                <w:szCs w:val="24"/>
                <w:lang w:eastAsia="cs-CZ"/>
              </w:rPr>
              <w:t>/</w:t>
            </w:r>
            <w:r w:rsidRPr="00D50BEB">
              <w:rPr>
                <w:rFonts w:eastAsia="Times New Roman" w:cs="Times New Roman"/>
                <w:b/>
                <w:szCs w:val="24"/>
                <w:lang w:eastAsia="cs-CZ"/>
              </w:rPr>
              <w:br/>
              <w:t>202</w:t>
            </w:r>
            <w:r w:rsidR="005F4348" w:rsidRPr="00D50BEB">
              <w:rPr>
                <w:rFonts w:eastAsia="Times New Roman" w:cs="Times New Roman"/>
                <w:b/>
                <w:szCs w:val="24"/>
                <w:lang w:eastAsia="cs-CZ"/>
              </w:rPr>
              <w:t>4</w:t>
            </w:r>
            <w:r w:rsidRPr="00D50BEB">
              <w:rPr>
                <w:rFonts w:eastAsia="Times New Roman" w:cs="Times New Roman"/>
                <w:b/>
                <w:szCs w:val="24"/>
                <w:lang w:eastAsia="cs-CZ"/>
              </w:rPr>
              <w:br/>
              <w:t>(v %)</w:t>
            </w:r>
          </w:p>
        </w:tc>
      </w:tr>
      <w:tr w:rsidR="008839DE" w:rsidRPr="00D070B8" w14:paraId="5120D5C7" w14:textId="77777777" w:rsidTr="001E02BC">
        <w:tc>
          <w:tcPr>
            <w:tcW w:w="4280" w:type="dxa"/>
            <w:tcBorders>
              <w:top w:val="single" w:sz="4" w:space="0" w:color="7F7F7F" w:themeColor="text1" w:themeTint="80"/>
              <w:bottom w:val="single" w:sz="8" w:space="0" w:color="7F7F7F" w:themeColor="text1" w:themeTint="80"/>
            </w:tcBorders>
            <w:shd w:val="clear" w:color="auto" w:fill="auto"/>
          </w:tcPr>
          <w:p w14:paraId="1026DBC8" w14:textId="77777777" w:rsidR="008839DE" w:rsidRPr="00D50BEB" w:rsidRDefault="008839DE" w:rsidP="001E02BC">
            <w:pPr>
              <w:jc w:val="center"/>
              <w:rPr>
                <w:rFonts w:eastAsia="Times New Roman" w:cs="Times New Roman"/>
                <w:szCs w:val="24"/>
                <w:lang w:eastAsia="cs-CZ"/>
              </w:rPr>
            </w:pPr>
            <w:r w:rsidRPr="00D50BEB">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14:paraId="3DCA3BCF" w14:textId="77777777" w:rsidR="008839DE" w:rsidRPr="00D50BEB" w:rsidRDefault="008839DE" w:rsidP="001E02BC">
            <w:pPr>
              <w:jc w:val="center"/>
              <w:rPr>
                <w:rFonts w:eastAsia="Times New Roman" w:cs="Times New Roman"/>
                <w:szCs w:val="24"/>
                <w:lang w:eastAsia="cs-CZ"/>
              </w:rPr>
            </w:pPr>
            <w:r w:rsidRPr="00D50BEB">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126537DD" w14:textId="77777777" w:rsidR="008839DE" w:rsidRPr="00D50BEB" w:rsidRDefault="008839DE" w:rsidP="001E02BC">
            <w:pPr>
              <w:jc w:val="center"/>
              <w:rPr>
                <w:rFonts w:eastAsia="Times New Roman" w:cs="Times New Roman"/>
                <w:szCs w:val="24"/>
                <w:lang w:eastAsia="cs-CZ"/>
              </w:rPr>
            </w:pPr>
            <w:r w:rsidRPr="00D50BEB">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501CCD96" w14:textId="77777777" w:rsidR="008839DE" w:rsidRPr="00D50BEB" w:rsidRDefault="008839DE" w:rsidP="001E02BC">
            <w:pPr>
              <w:jc w:val="center"/>
              <w:rPr>
                <w:rFonts w:eastAsia="Times New Roman" w:cs="Times New Roman"/>
                <w:szCs w:val="24"/>
                <w:lang w:eastAsia="cs-CZ"/>
              </w:rPr>
            </w:pPr>
            <w:r w:rsidRPr="00D50BEB">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7C07C516" w14:textId="77777777" w:rsidR="008839DE" w:rsidRPr="00D50BEB" w:rsidRDefault="008839DE" w:rsidP="001E02BC">
            <w:pPr>
              <w:jc w:val="center"/>
              <w:rPr>
                <w:rFonts w:eastAsia="Times New Roman" w:cs="Times New Roman"/>
                <w:szCs w:val="24"/>
                <w:lang w:eastAsia="cs-CZ"/>
              </w:rPr>
            </w:pPr>
            <w:r w:rsidRPr="00D50BEB">
              <w:rPr>
                <w:rFonts w:eastAsia="Times New Roman" w:cs="Times New Roman"/>
                <w:szCs w:val="24"/>
                <w:lang w:eastAsia="cs-CZ"/>
              </w:rPr>
              <w:t>4</w:t>
            </w:r>
          </w:p>
        </w:tc>
      </w:tr>
      <w:tr w:rsidR="00D50BEB" w:rsidRPr="00D070B8" w14:paraId="7C53530E" w14:textId="77777777" w:rsidTr="007D3D71">
        <w:trPr>
          <w:trHeight w:val="468"/>
        </w:trPr>
        <w:tc>
          <w:tcPr>
            <w:tcW w:w="4280" w:type="dxa"/>
            <w:tcBorders>
              <w:top w:val="single" w:sz="8" w:space="0" w:color="7F7F7F" w:themeColor="text1" w:themeTint="80"/>
              <w:bottom w:val="single" w:sz="8" w:space="0" w:color="7F7F7F" w:themeColor="text1" w:themeTint="80"/>
            </w:tcBorders>
            <w:shd w:val="clear" w:color="auto" w:fill="auto"/>
          </w:tcPr>
          <w:p w14:paraId="73B605A3" w14:textId="77777777" w:rsidR="00D50BEB" w:rsidRPr="00D50BEB" w:rsidRDefault="00D50BEB" w:rsidP="00D50BEB">
            <w:pPr>
              <w:spacing w:before="120"/>
              <w:rPr>
                <w:rFonts w:eastAsia="Times New Roman" w:cs="Times New Roman"/>
                <w:b/>
                <w:lang w:eastAsia="cs-CZ"/>
              </w:rPr>
            </w:pPr>
            <w:r w:rsidRPr="00D50BEB">
              <w:rPr>
                <w:rFonts w:eastAsia="Times New Roman" w:cs="Times New Roman"/>
                <w:b/>
                <w:bCs/>
                <w:lang w:eastAsia="cs-CZ"/>
              </w:rPr>
              <w:t xml:space="preserve">Běžné výdaje </w:t>
            </w:r>
            <w:r w:rsidRPr="00D50BEB">
              <w:rPr>
                <w:rFonts w:eastAsia="Times New Roman" w:cs="Times New Roman"/>
                <w:lang w:eastAsia="cs-CZ"/>
              </w:rPr>
              <w:t>v tom:</w:t>
            </w:r>
            <w:r w:rsidRPr="00D50BEB">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14:paraId="29032FF5" w14:textId="40D28119" w:rsidR="00D50BEB" w:rsidRPr="00D50BEB" w:rsidRDefault="00D50BEB" w:rsidP="00D50BEB">
            <w:pPr>
              <w:jc w:val="right"/>
              <w:rPr>
                <w:b/>
                <w:bCs/>
                <w:szCs w:val="24"/>
              </w:rPr>
            </w:pPr>
            <w:r w:rsidRPr="00D50BEB">
              <w:rPr>
                <w:b/>
                <w:bCs/>
                <w:szCs w:val="24"/>
              </w:rPr>
              <w:t>44 173</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14:paraId="7A5399A6" w14:textId="7FF46F1F" w:rsidR="00D50BEB" w:rsidRPr="00D50BEB" w:rsidRDefault="00D50BEB" w:rsidP="00D50BEB">
            <w:pPr>
              <w:jc w:val="right"/>
              <w:rPr>
                <w:b/>
                <w:bCs/>
                <w:szCs w:val="24"/>
              </w:rPr>
            </w:pPr>
            <w:r w:rsidRPr="00D50BEB">
              <w:rPr>
                <w:rFonts w:eastAsia="Times New Roman" w:cs="Times New Roman"/>
                <w:b/>
                <w:bCs/>
                <w:lang w:eastAsia="cs-CZ"/>
              </w:rPr>
              <w:t>39 741</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743A78BA" w14:textId="63B3468D" w:rsidR="00D50BEB" w:rsidRPr="00D070B8" w:rsidRDefault="00D50BEB" w:rsidP="00D50BEB">
            <w:pPr>
              <w:jc w:val="right"/>
              <w:rPr>
                <w:rFonts w:eastAsia="Times New Roman" w:cs="Times New Roman"/>
                <w:b/>
                <w:bCs/>
                <w:color w:val="FF0000"/>
                <w:highlight w:val="yellow"/>
                <w:lang w:eastAsia="cs-CZ"/>
              </w:rPr>
            </w:pPr>
            <w:r>
              <w:rPr>
                <w:rFonts w:eastAsia="Times New Roman" w:cs="Times New Roman"/>
                <w:b/>
                <w:bCs/>
                <w:lang w:eastAsia="cs-CZ"/>
              </w:rPr>
              <w:t>42 192</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0236687E" w14:textId="623B2CE4" w:rsidR="00D50BEB" w:rsidRPr="00D070B8" w:rsidRDefault="00D50BEB" w:rsidP="00D50BEB">
            <w:pPr>
              <w:jc w:val="right"/>
              <w:rPr>
                <w:rFonts w:eastAsia="Times New Roman" w:cs="Times New Roman"/>
                <w:b/>
                <w:bCs/>
                <w:color w:val="FF0000"/>
                <w:highlight w:val="yellow"/>
                <w:lang w:eastAsia="cs-CZ"/>
              </w:rPr>
            </w:pPr>
            <w:r>
              <w:rPr>
                <w:rFonts w:eastAsia="Times New Roman" w:cs="Times New Roman"/>
                <w:b/>
                <w:bCs/>
                <w:lang w:eastAsia="cs-CZ"/>
              </w:rPr>
              <w:t>106,17</w:t>
            </w:r>
          </w:p>
        </w:tc>
      </w:tr>
      <w:tr w:rsidR="00D50BEB" w:rsidRPr="00D070B8" w14:paraId="64B4AD98" w14:textId="77777777" w:rsidTr="007D3D71">
        <w:tc>
          <w:tcPr>
            <w:tcW w:w="4280" w:type="dxa"/>
            <w:tcBorders>
              <w:top w:val="single" w:sz="8" w:space="0" w:color="7F7F7F" w:themeColor="text1" w:themeTint="80"/>
              <w:bottom w:val="nil"/>
            </w:tcBorders>
            <w:shd w:val="clear" w:color="auto" w:fill="auto"/>
          </w:tcPr>
          <w:p w14:paraId="23A64384" w14:textId="77777777" w:rsidR="00D50BEB" w:rsidRPr="00D50BEB" w:rsidRDefault="00D50BEB" w:rsidP="00D50BEB">
            <w:pPr>
              <w:rPr>
                <w:rFonts w:eastAsia="Times New Roman" w:cs="Times New Roman"/>
                <w:lang w:eastAsia="cs-CZ"/>
              </w:rPr>
            </w:pPr>
            <w:r w:rsidRPr="00D50BEB">
              <w:rPr>
                <w:rFonts w:eastAsia="Times New Roman" w:cs="Times New Roman"/>
                <w:lang w:eastAsia="cs-CZ"/>
              </w:rPr>
              <w:t>platy zaměstnanců a ostatní platby</w:t>
            </w:r>
          </w:p>
          <w:p w14:paraId="3C78DA12" w14:textId="77777777" w:rsidR="00D50BEB" w:rsidRPr="00D50BEB" w:rsidRDefault="00D50BEB" w:rsidP="00D50BEB">
            <w:pPr>
              <w:rPr>
                <w:rFonts w:eastAsia="Times New Roman" w:cs="Times New Roman"/>
                <w:lang w:eastAsia="cs-CZ"/>
              </w:rPr>
            </w:pPr>
            <w:r w:rsidRPr="00D50BEB">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14:paraId="0352CA72" w14:textId="51B73954" w:rsidR="00D50BEB" w:rsidRPr="00D50BEB" w:rsidRDefault="00D50BEB" w:rsidP="00D50BEB">
            <w:pPr>
              <w:jc w:val="right"/>
              <w:rPr>
                <w:szCs w:val="24"/>
              </w:rPr>
            </w:pPr>
            <w:r w:rsidRPr="00D50BEB">
              <w:rPr>
                <w:szCs w:val="24"/>
              </w:rPr>
              <w:t>23 465</w:t>
            </w:r>
          </w:p>
        </w:tc>
        <w:tc>
          <w:tcPr>
            <w:tcW w:w="1276" w:type="dxa"/>
            <w:tcBorders>
              <w:top w:val="single" w:sz="4" w:space="0" w:color="auto"/>
              <w:left w:val="single" w:sz="4" w:space="0" w:color="auto"/>
              <w:bottom w:val="nil"/>
              <w:right w:val="single" w:sz="4" w:space="0" w:color="auto"/>
            </w:tcBorders>
            <w:vAlign w:val="center"/>
          </w:tcPr>
          <w:p w14:paraId="1A2D2C17" w14:textId="4ADE5641" w:rsidR="00D50BEB" w:rsidRPr="00D50BEB" w:rsidRDefault="00D50BEB" w:rsidP="00D50BEB">
            <w:pPr>
              <w:jc w:val="right"/>
              <w:rPr>
                <w:szCs w:val="24"/>
              </w:rPr>
            </w:pPr>
            <w:r w:rsidRPr="00D50BEB">
              <w:rPr>
                <w:rFonts w:eastAsia="Times New Roman" w:cs="Times New Roman"/>
                <w:lang w:eastAsia="cs-CZ"/>
              </w:rPr>
              <w:t>23 091</w:t>
            </w:r>
          </w:p>
        </w:tc>
        <w:tc>
          <w:tcPr>
            <w:tcW w:w="1134" w:type="dxa"/>
            <w:tcBorders>
              <w:top w:val="single" w:sz="8" w:space="0" w:color="7F7F7F" w:themeColor="text1" w:themeTint="80"/>
              <w:bottom w:val="nil"/>
            </w:tcBorders>
            <w:shd w:val="clear" w:color="auto" w:fill="auto"/>
            <w:vAlign w:val="center"/>
          </w:tcPr>
          <w:p w14:paraId="52013C6F" w14:textId="742105E6"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24 245</w:t>
            </w:r>
          </w:p>
        </w:tc>
        <w:tc>
          <w:tcPr>
            <w:tcW w:w="992" w:type="dxa"/>
            <w:tcBorders>
              <w:top w:val="single" w:sz="8" w:space="0" w:color="7F7F7F" w:themeColor="text1" w:themeTint="80"/>
              <w:bottom w:val="nil"/>
            </w:tcBorders>
            <w:shd w:val="clear" w:color="auto" w:fill="auto"/>
            <w:vAlign w:val="center"/>
          </w:tcPr>
          <w:p w14:paraId="14784325" w14:textId="3D512263"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105,00</w:t>
            </w:r>
          </w:p>
        </w:tc>
      </w:tr>
      <w:tr w:rsidR="00D50BEB" w:rsidRPr="00D070B8" w14:paraId="0E69C971" w14:textId="77777777" w:rsidTr="007D3D71">
        <w:tc>
          <w:tcPr>
            <w:tcW w:w="4280" w:type="dxa"/>
            <w:tcBorders>
              <w:top w:val="nil"/>
              <w:bottom w:val="nil"/>
            </w:tcBorders>
            <w:shd w:val="clear" w:color="auto" w:fill="auto"/>
          </w:tcPr>
          <w:p w14:paraId="0274812E" w14:textId="77777777" w:rsidR="00D50BEB" w:rsidRPr="00D50BEB" w:rsidRDefault="00D50BEB" w:rsidP="00D50BEB">
            <w:pPr>
              <w:jc w:val="left"/>
              <w:rPr>
                <w:rFonts w:eastAsia="Times New Roman" w:cs="Times New Roman"/>
                <w:i/>
                <w:lang w:eastAsia="cs-CZ"/>
              </w:rPr>
            </w:pPr>
            <w:r w:rsidRPr="00D50BEB">
              <w:rPr>
                <w:rFonts w:eastAsia="Times New Roman" w:cs="Times New Roman"/>
                <w:i/>
                <w:lang w:eastAsia="cs-CZ"/>
              </w:rPr>
              <w:t>z toho: výdaje na programy spolufin.</w:t>
            </w:r>
            <w:r w:rsidRPr="00D50BEB">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4A8C76D6" w14:textId="70DBB808" w:rsidR="00D50BEB" w:rsidRPr="00D50BEB" w:rsidRDefault="00D50BEB" w:rsidP="00D50BEB">
            <w:pPr>
              <w:jc w:val="right"/>
              <w:rPr>
                <w:i/>
                <w:szCs w:val="24"/>
              </w:rPr>
            </w:pPr>
            <w:r w:rsidRPr="00D50BEB">
              <w:rPr>
                <w:i/>
                <w:szCs w:val="24"/>
              </w:rPr>
              <w:t>430</w:t>
            </w:r>
          </w:p>
        </w:tc>
        <w:tc>
          <w:tcPr>
            <w:tcW w:w="1276" w:type="dxa"/>
            <w:tcBorders>
              <w:top w:val="nil"/>
              <w:left w:val="single" w:sz="4" w:space="0" w:color="auto"/>
              <w:bottom w:val="nil"/>
              <w:right w:val="single" w:sz="4" w:space="0" w:color="auto"/>
            </w:tcBorders>
            <w:vAlign w:val="center"/>
          </w:tcPr>
          <w:p w14:paraId="09B7C145" w14:textId="67B51351"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nil"/>
            </w:tcBorders>
            <w:shd w:val="clear" w:color="auto" w:fill="auto"/>
            <w:vAlign w:val="center"/>
          </w:tcPr>
          <w:p w14:paraId="697E3028"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nil"/>
            </w:tcBorders>
            <w:shd w:val="clear" w:color="auto" w:fill="auto"/>
            <w:vAlign w:val="center"/>
          </w:tcPr>
          <w:p w14:paraId="290A624C"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3DCD2598" w14:textId="77777777" w:rsidTr="007D3D71">
        <w:tc>
          <w:tcPr>
            <w:tcW w:w="4280" w:type="dxa"/>
            <w:tcBorders>
              <w:top w:val="nil"/>
              <w:bottom w:val="nil"/>
            </w:tcBorders>
            <w:shd w:val="clear" w:color="auto" w:fill="auto"/>
          </w:tcPr>
          <w:p w14:paraId="0B61A0A3" w14:textId="77777777" w:rsidR="00D50BEB" w:rsidRPr="00D50BEB" w:rsidRDefault="00D50BEB" w:rsidP="00D50BEB">
            <w:pPr>
              <w:rPr>
                <w:rFonts w:eastAsia="Times New Roman" w:cs="Times New Roman"/>
                <w:i/>
                <w:lang w:eastAsia="cs-CZ"/>
              </w:rPr>
            </w:pPr>
            <w:r w:rsidRPr="00D50BEB">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3B5C439D" w14:textId="26B99C66" w:rsidR="00D50BEB" w:rsidRPr="00D50BEB" w:rsidRDefault="00D50BEB" w:rsidP="00D50BEB">
            <w:pPr>
              <w:jc w:val="right"/>
              <w:rPr>
                <w:i/>
                <w:szCs w:val="24"/>
              </w:rPr>
            </w:pPr>
            <w:r w:rsidRPr="00D50BEB">
              <w:rPr>
                <w:i/>
                <w:szCs w:val="24"/>
              </w:rPr>
              <w:t>82</w:t>
            </w:r>
          </w:p>
        </w:tc>
        <w:tc>
          <w:tcPr>
            <w:tcW w:w="1276" w:type="dxa"/>
            <w:tcBorders>
              <w:top w:val="nil"/>
              <w:left w:val="single" w:sz="4" w:space="0" w:color="auto"/>
              <w:bottom w:val="nil"/>
              <w:right w:val="single" w:sz="4" w:space="0" w:color="auto"/>
            </w:tcBorders>
            <w:vAlign w:val="center"/>
          </w:tcPr>
          <w:p w14:paraId="5D9AB2ED" w14:textId="72E02B61"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nil"/>
            </w:tcBorders>
            <w:shd w:val="clear" w:color="auto" w:fill="auto"/>
            <w:vAlign w:val="center"/>
          </w:tcPr>
          <w:p w14:paraId="12CF2696"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nil"/>
            </w:tcBorders>
            <w:shd w:val="clear" w:color="auto" w:fill="auto"/>
            <w:vAlign w:val="center"/>
          </w:tcPr>
          <w:p w14:paraId="3007FEF7"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6E3D621B" w14:textId="77777777" w:rsidTr="007D3D71">
        <w:tc>
          <w:tcPr>
            <w:tcW w:w="4280" w:type="dxa"/>
            <w:tcBorders>
              <w:top w:val="nil"/>
              <w:bottom w:val="single" w:sz="4" w:space="0" w:color="7F7F7F" w:themeColor="text1" w:themeTint="80"/>
            </w:tcBorders>
            <w:shd w:val="clear" w:color="auto" w:fill="auto"/>
          </w:tcPr>
          <w:p w14:paraId="02280639" w14:textId="77777777" w:rsidR="00D50BEB" w:rsidRPr="00D50BEB" w:rsidRDefault="00D50BEB" w:rsidP="00D50BEB">
            <w:pPr>
              <w:rPr>
                <w:rFonts w:eastAsia="Times New Roman" w:cs="Times New Roman"/>
                <w:i/>
                <w:lang w:eastAsia="cs-CZ"/>
              </w:rPr>
            </w:pPr>
            <w:r w:rsidRPr="00D50BEB">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54836F8E" w14:textId="3E292CC8" w:rsidR="00D50BEB" w:rsidRPr="00D50BEB" w:rsidRDefault="00D50BEB" w:rsidP="00D50BEB">
            <w:pPr>
              <w:jc w:val="right"/>
              <w:rPr>
                <w:i/>
                <w:szCs w:val="24"/>
              </w:rPr>
            </w:pPr>
            <w:r w:rsidRPr="00D50BEB">
              <w:rPr>
                <w:i/>
                <w:szCs w:val="24"/>
              </w:rPr>
              <w:t>348</w:t>
            </w:r>
          </w:p>
        </w:tc>
        <w:tc>
          <w:tcPr>
            <w:tcW w:w="1276" w:type="dxa"/>
            <w:tcBorders>
              <w:top w:val="nil"/>
              <w:left w:val="single" w:sz="4" w:space="0" w:color="auto"/>
              <w:bottom w:val="single" w:sz="4" w:space="0" w:color="auto"/>
              <w:right w:val="single" w:sz="4" w:space="0" w:color="auto"/>
            </w:tcBorders>
            <w:vAlign w:val="center"/>
          </w:tcPr>
          <w:p w14:paraId="515B72EE" w14:textId="50637250"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single" w:sz="4" w:space="0" w:color="7F7F7F" w:themeColor="text1" w:themeTint="80"/>
            </w:tcBorders>
            <w:shd w:val="clear" w:color="auto" w:fill="auto"/>
            <w:vAlign w:val="center"/>
          </w:tcPr>
          <w:p w14:paraId="3C54E4DC"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14:paraId="1FDCA1F1"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2062E2B7" w14:textId="77777777" w:rsidTr="007D3D71">
        <w:trPr>
          <w:trHeight w:val="324"/>
        </w:trPr>
        <w:tc>
          <w:tcPr>
            <w:tcW w:w="4280" w:type="dxa"/>
            <w:tcBorders>
              <w:top w:val="single" w:sz="4" w:space="0" w:color="7F7F7F" w:themeColor="text1" w:themeTint="80"/>
              <w:bottom w:val="nil"/>
            </w:tcBorders>
            <w:shd w:val="clear" w:color="auto" w:fill="auto"/>
          </w:tcPr>
          <w:p w14:paraId="43E9918E" w14:textId="77777777" w:rsidR="00D50BEB" w:rsidRPr="00D50BEB" w:rsidRDefault="00D50BEB" w:rsidP="00D50BEB">
            <w:pPr>
              <w:rPr>
                <w:rFonts w:eastAsia="Times New Roman" w:cs="Times New Roman"/>
                <w:lang w:eastAsia="cs-CZ"/>
              </w:rPr>
            </w:pPr>
            <w:r w:rsidRPr="00D50BEB">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14:paraId="7281D637" w14:textId="04E3E931" w:rsidR="00D50BEB" w:rsidRPr="00D50BEB" w:rsidRDefault="00D50BEB" w:rsidP="00D50BEB">
            <w:pPr>
              <w:jc w:val="right"/>
              <w:rPr>
                <w:szCs w:val="24"/>
              </w:rPr>
            </w:pPr>
            <w:r w:rsidRPr="00D50BEB">
              <w:rPr>
                <w:szCs w:val="24"/>
              </w:rPr>
              <w:t>7 933</w:t>
            </w:r>
          </w:p>
        </w:tc>
        <w:tc>
          <w:tcPr>
            <w:tcW w:w="1276" w:type="dxa"/>
            <w:tcBorders>
              <w:top w:val="single" w:sz="4" w:space="0" w:color="auto"/>
              <w:left w:val="single" w:sz="4" w:space="0" w:color="auto"/>
              <w:bottom w:val="nil"/>
              <w:right w:val="single" w:sz="4" w:space="0" w:color="auto"/>
            </w:tcBorders>
            <w:vAlign w:val="center"/>
          </w:tcPr>
          <w:p w14:paraId="7A03EFD1" w14:textId="3B5442CA" w:rsidR="00D50BEB" w:rsidRPr="00D50BEB" w:rsidRDefault="00D50BEB" w:rsidP="00D50BEB">
            <w:pPr>
              <w:jc w:val="right"/>
              <w:rPr>
                <w:szCs w:val="24"/>
              </w:rPr>
            </w:pPr>
            <w:r w:rsidRPr="00D50BEB">
              <w:rPr>
                <w:rFonts w:eastAsia="Times New Roman" w:cs="Times New Roman"/>
                <w:lang w:eastAsia="cs-CZ"/>
              </w:rPr>
              <w:t>7 805</w:t>
            </w:r>
          </w:p>
        </w:tc>
        <w:tc>
          <w:tcPr>
            <w:tcW w:w="1134" w:type="dxa"/>
            <w:tcBorders>
              <w:top w:val="single" w:sz="4" w:space="0" w:color="7F7F7F" w:themeColor="text1" w:themeTint="80"/>
              <w:bottom w:val="nil"/>
            </w:tcBorders>
            <w:shd w:val="clear" w:color="auto" w:fill="auto"/>
            <w:vAlign w:val="center"/>
          </w:tcPr>
          <w:p w14:paraId="04141E3D" w14:textId="0A27C2AD"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8 195</w:t>
            </w:r>
          </w:p>
        </w:tc>
        <w:tc>
          <w:tcPr>
            <w:tcW w:w="992" w:type="dxa"/>
            <w:tcBorders>
              <w:top w:val="single" w:sz="4" w:space="0" w:color="7F7F7F" w:themeColor="text1" w:themeTint="80"/>
              <w:bottom w:val="nil"/>
            </w:tcBorders>
            <w:shd w:val="clear" w:color="auto" w:fill="auto"/>
            <w:vAlign w:val="center"/>
          </w:tcPr>
          <w:p w14:paraId="12D8C0A3" w14:textId="0499BD54"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 xml:space="preserve">105,00 </w:t>
            </w:r>
          </w:p>
        </w:tc>
      </w:tr>
      <w:tr w:rsidR="00D50BEB" w:rsidRPr="00D070B8" w14:paraId="5D767797" w14:textId="77777777" w:rsidTr="00527ACF">
        <w:tc>
          <w:tcPr>
            <w:tcW w:w="4280" w:type="dxa"/>
            <w:tcBorders>
              <w:top w:val="nil"/>
              <w:bottom w:val="nil"/>
            </w:tcBorders>
            <w:shd w:val="clear" w:color="auto" w:fill="auto"/>
          </w:tcPr>
          <w:p w14:paraId="0CA0547C" w14:textId="77777777" w:rsidR="00D50BEB" w:rsidRPr="00D50BEB" w:rsidRDefault="00D50BEB" w:rsidP="00D50BEB">
            <w:pPr>
              <w:jc w:val="left"/>
              <w:rPr>
                <w:rFonts w:eastAsia="Times New Roman" w:cs="Times New Roman"/>
                <w:i/>
                <w:lang w:eastAsia="cs-CZ"/>
              </w:rPr>
            </w:pPr>
            <w:r w:rsidRPr="00D50BEB">
              <w:rPr>
                <w:rFonts w:eastAsia="Times New Roman" w:cs="Times New Roman"/>
                <w:i/>
                <w:lang w:eastAsia="cs-CZ"/>
              </w:rPr>
              <w:t>z toho: výdaje na programy spolufin.</w:t>
            </w:r>
            <w:r w:rsidRPr="00D50BEB">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7DD5CFE4" w14:textId="53295641" w:rsidR="00D50BEB" w:rsidRPr="00D50BEB" w:rsidRDefault="00D50BEB" w:rsidP="00D50BEB">
            <w:pPr>
              <w:jc w:val="right"/>
              <w:rPr>
                <w:i/>
                <w:szCs w:val="24"/>
              </w:rPr>
            </w:pPr>
            <w:r w:rsidRPr="00D50BEB">
              <w:rPr>
                <w:i/>
                <w:szCs w:val="24"/>
              </w:rPr>
              <w:t>145</w:t>
            </w:r>
          </w:p>
        </w:tc>
        <w:tc>
          <w:tcPr>
            <w:tcW w:w="1276" w:type="dxa"/>
            <w:tcBorders>
              <w:top w:val="nil"/>
              <w:left w:val="single" w:sz="4" w:space="0" w:color="auto"/>
              <w:bottom w:val="nil"/>
              <w:right w:val="single" w:sz="4" w:space="0" w:color="auto"/>
            </w:tcBorders>
            <w:vAlign w:val="center"/>
          </w:tcPr>
          <w:p w14:paraId="0E955C89" w14:textId="6483FC2F"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nil"/>
            </w:tcBorders>
            <w:shd w:val="clear" w:color="auto" w:fill="auto"/>
            <w:vAlign w:val="center"/>
          </w:tcPr>
          <w:p w14:paraId="130BAD3E"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nil"/>
            </w:tcBorders>
            <w:shd w:val="clear" w:color="auto" w:fill="auto"/>
            <w:vAlign w:val="center"/>
          </w:tcPr>
          <w:p w14:paraId="4201E336"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206AEAE0" w14:textId="77777777" w:rsidTr="00527ACF">
        <w:tc>
          <w:tcPr>
            <w:tcW w:w="4280" w:type="dxa"/>
            <w:tcBorders>
              <w:top w:val="nil"/>
              <w:bottom w:val="nil"/>
            </w:tcBorders>
            <w:shd w:val="clear" w:color="auto" w:fill="auto"/>
          </w:tcPr>
          <w:p w14:paraId="24D6C80E" w14:textId="77777777" w:rsidR="00D50BEB" w:rsidRPr="00D50BEB" w:rsidRDefault="00D50BEB" w:rsidP="00D50BEB">
            <w:pPr>
              <w:rPr>
                <w:rFonts w:eastAsia="Times New Roman" w:cs="Times New Roman"/>
                <w:i/>
                <w:lang w:eastAsia="cs-CZ"/>
              </w:rPr>
            </w:pPr>
            <w:r w:rsidRPr="00D50BEB">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5EC57FA6" w14:textId="4678F745" w:rsidR="00D50BEB" w:rsidRPr="00D50BEB" w:rsidRDefault="00D50BEB" w:rsidP="00D50BEB">
            <w:pPr>
              <w:jc w:val="right"/>
              <w:rPr>
                <w:i/>
                <w:szCs w:val="24"/>
              </w:rPr>
            </w:pPr>
            <w:r w:rsidRPr="00D50BEB">
              <w:rPr>
                <w:i/>
                <w:szCs w:val="24"/>
              </w:rPr>
              <w:t>28</w:t>
            </w:r>
          </w:p>
        </w:tc>
        <w:tc>
          <w:tcPr>
            <w:tcW w:w="1276" w:type="dxa"/>
            <w:tcBorders>
              <w:top w:val="nil"/>
              <w:left w:val="single" w:sz="4" w:space="0" w:color="auto"/>
              <w:bottom w:val="nil"/>
              <w:right w:val="single" w:sz="4" w:space="0" w:color="auto"/>
            </w:tcBorders>
            <w:vAlign w:val="center"/>
          </w:tcPr>
          <w:p w14:paraId="59BEF6D8" w14:textId="49108E99"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nil"/>
            </w:tcBorders>
            <w:shd w:val="clear" w:color="auto" w:fill="auto"/>
            <w:vAlign w:val="center"/>
          </w:tcPr>
          <w:p w14:paraId="0E1099C2"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nil"/>
            </w:tcBorders>
            <w:shd w:val="clear" w:color="auto" w:fill="auto"/>
            <w:vAlign w:val="center"/>
          </w:tcPr>
          <w:p w14:paraId="2DE7606C"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78743ECE" w14:textId="77777777" w:rsidTr="007D3D71">
        <w:tc>
          <w:tcPr>
            <w:tcW w:w="4280" w:type="dxa"/>
            <w:tcBorders>
              <w:top w:val="nil"/>
              <w:bottom w:val="single" w:sz="4" w:space="0" w:color="7F7F7F" w:themeColor="text1" w:themeTint="80"/>
            </w:tcBorders>
            <w:shd w:val="clear" w:color="auto" w:fill="auto"/>
          </w:tcPr>
          <w:p w14:paraId="40C14C78" w14:textId="77777777" w:rsidR="00D50BEB" w:rsidRPr="00D50BEB" w:rsidRDefault="00D50BEB" w:rsidP="00D50BEB">
            <w:pPr>
              <w:rPr>
                <w:rFonts w:eastAsia="Times New Roman" w:cs="Times New Roman"/>
                <w:i/>
                <w:lang w:eastAsia="cs-CZ"/>
              </w:rPr>
            </w:pPr>
            <w:r w:rsidRPr="00D50BEB">
              <w:rPr>
                <w:rFonts w:eastAsia="Times New Roman" w:cs="Times New Roman"/>
                <w:i/>
                <w:lang w:eastAsia="cs-CZ"/>
              </w:rPr>
              <w:lastRenderedPageBreak/>
              <w:t xml:space="preserve">                        z rozpočtu EU</w:t>
            </w:r>
          </w:p>
        </w:tc>
        <w:tc>
          <w:tcPr>
            <w:tcW w:w="1380" w:type="dxa"/>
            <w:tcBorders>
              <w:top w:val="nil"/>
              <w:left w:val="single" w:sz="4" w:space="0" w:color="auto"/>
              <w:bottom w:val="single" w:sz="4" w:space="0" w:color="auto"/>
              <w:right w:val="single" w:sz="4" w:space="0" w:color="auto"/>
            </w:tcBorders>
            <w:vAlign w:val="center"/>
          </w:tcPr>
          <w:p w14:paraId="529F812B" w14:textId="19F8AC49" w:rsidR="00D50BEB" w:rsidRPr="00D50BEB" w:rsidRDefault="00D50BEB" w:rsidP="00D50BEB">
            <w:pPr>
              <w:jc w:val="right"/>
              <w:rPr>
                <w:i/>
                <w:szCs w:val="24"/>
              </w:rPr>
            </w:pPr>
            <w:r w:rsidRPr="00D50BEB">
              <w:rPr>
                <w:i/>
                <w:szCs w:val="24"/>
              </w:rPr>
              <w:t>118</w:t>
            </w:r>
          </w:p>
        </w:tc>
        <w:tc>
          <w:tcPr>
            <w:tcW w:w="1276" w:type="dxa"/>
            <w:tcBorders>
              <w:top w:val="nil"/>
              <w:left w:val="single" w:sz="4" w:space="0" w:color="auto"/>
              <w:bottom w:val="single" w:sz="4" w:space="0" w:color="auto"/>
              <w:right w:val="single" w:sz="4" w:space="0" w:color="auto"/>
            </w:tcBorders>
            <w:vAlign w:val="center"/>
          </w:tcPr>
          <w:p w14:paraId="4C2B25D6" w14:textId="4F95A8BE"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single" w:sz="4" w:space="0" w:color="7F7F7F" w:themeColor="text1" w:themeTint="80"/>
            </w:tcBorders>
            <w:shd w:val="clear" w:color="auto" w:fill="auto"/>
            <w:vAlign w:val="center"/>
          </w:tcPr>
          <w:p w14:paraId="2E576D11"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14:paraId="6AFFF559"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42C34BEE" w14:textId="77777777" w:rsidTr="007D3D71">
        <w:trPr>
          <w:trHeight w:val="358"/>
        </w:trPr>
        <w:tc>
          <w:tcPr>
            <w:tcW w:w="4280" w:type="dxa"/>
            <w:tcBorders>
              <w:top w:val="single" w:sz="4" w:space="0" w:color="7F7F7F" w:themeColor="text1" w:themeTint="80"/>
              <w:bottom w:val="nil"/>
            </w:tcBorders>
            <w:shd w:val="clear" w:color="auto" w:fill="auto"/>
          </w:tcPr>
          <w:p w14:paraId="1E9A5F32" w14:textId="77777777" w:rsidR="00D50BEB" w:rsidRPr="00D50BEB" w:rsidRDefault="00D50BEB" w:rsidP="00D50BEB">
            <w:pPr>
              <w:rPr>
                <w:rFonts w:eastAsia="Times New Roman" w:cs="Times New Roman"/>
                <w:lang w:eastAsia="cs-CZ"/>
              </w:rPr>
            </w:pPr>
            <w:r w:rsidRPr="00D50BEB">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14:paraId="2342CC78" w14:textId="2352E95E" w:rsidR="00D50BEB" w:rsidRPr="00D50BEB" w:rsidRDefault="00D50BEB" w:rsidP="00D50BEB">
            <w:pPr>
              <w:jc w:val="right"/>
              <w:rPr>
                <w:szCs w:val="24"/>
              </w:rPr>
            </w:pPr>
            <w:r w:rsidRPr="00D50BEB">
              <w:rPr>
                <w:szCs w:val="24"/>
              </w:rPr>
              <w:t>472</w:t>
            </w:r>
          </w:p>
        </w:tc>
        <w:tc>
          <w:tcPr>
            <w:tcW w:w="1276" w:type="dxa"/>
            <w:tcBorders>
              <w:top w:val="single" w:sz="4" w:space="0" w:color="auto"/>
              <w:left w:val="single" w:sz="4" w:space="0" w:color="auto"/>
              <w:bottom w:val="nil"/>
              <w:right w:val="single" w:sz="4" w:space="0" w:color="auto"/>
            </w:tcBorders>
            <w:vAlign w:val="center"/>
          </w:tcPr>
          <w:p w14:paraId="54AAE020" w14:textId="6D054088" w:rsidR="00D50BEB" w:rsidRPr="00D50BEB" w:rsidRDefault="00D50BEB" w:rsidP="00D50BEB">
            <w:pPr>
              <w:jc w:val="right"/>
              <w:rPr>
                <w:szCs w:val="24"/>
              </w:rPr>
            </w:pPr>
            <w:r w:rsidRPr="00D50BEB">
              <w:rPr>
                <w:rFonts w:eastAsia="Times New Roman" w:cs="Times New Roman"/>
                <w:lang w:eastAsia="cs-CZ"/>
              </w:rPr>
              <w:t>230</w:t>
            </w:r>
          </w:p>
        </w:tc>
        <w:tc>
          <w:tcPr>
            <w:tcW w:w="1134" w:type="dxa"/>
            <w:tcBorders>
              <w:top w:val="single" w:sz="4" w:space="0" w:color="7F7F7F" w:themeColor="text1" w:themeTint="80"/>
              <w:bottom w:val="nil"/>
            </w:tcBorders>
            <w:shd w:val="clear" w:color="auto" w:fill="auto"/>
            <w:vAlign w:val="center"/>
          </w:tcPr>
          <w:p w14:paraId="3A64FEDF" w14:textId="4A7293D5"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242</w:t>
            </w:r>
          </w:p>
        </w:tc>
        <w:tc>
          <w:tcPr>
            <w:tcW w:w="992" w:type="dxa"/>
            <w:tcBorders>
              <w:top w:val="single" w:sz="4" w:space="0" w:color="7F7F7F" w:themeColor="text1" w:themeTint="80"/>
              <w:bottom w:val="nil"/>
            </w:tcBorders>
            <w:shd w:val="clear" w:color="auto" w:fill="auto"/>
            <w:vAlign w:val="center"/>
          </w:tcPr>
          <w:p w14:paraId="4F928348" w14:textId="1E2EA6D8"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105,22</w:t>
            </w:r>
          </w:p>
        </w:tc>
      </w:tr>
      <w:tr w:rsidR="00D50BEB" w:rsidRPr="00D070B8" w14:paraId="539F9E0E" w14:textId="77777777" w:rsidTr="007D3D71">
        <w:tc>
          <w:tcPr>
            <w:tcW w:w="4280" w:type="dxa"/>
            <w:tcBorders>
              <w:top w:val="nil"/>
              <w:bottom w:val="nil"/>
            </w:tcBorders>
            <w:shd w:val="clear" w:color="auto" w:fill="auto"/>
          </w:tcPr>
          <w:p w14:paraId="5944BD14" w14:textId="77777777" w:rsidR="00D50BEB" w:rsidRPr="00D50BEB" w:rsidRDefault="00D50BEB" w:rsidP="00D50BEB">
            <w:pPr>
              <w:jc w:val="left"/>
              <w:rPr>
                <w:rFonts w:eastAsia="Times New Roman" w:cs="Times New Roman"/>
                <w:i/>
                <w:lang w:eastAsia="cs-CZ"/>
              </w:rPr>
            </w:pPr>
            <w:r w:rsidRPr="00D50BEB">
              <w:rPr>
                <w:rFonts w:eastAsia="Times New Roman" w:cs="Times New Roman"/>
                <w:i/>
                <w:lang w:eastAsia="cs-CZ"/>
              </w:rPr>
              <w:t>z toho: výdaje na programy spolufin.</w:t>
            </w:r>
            <w:r w:rsidRPr="00D50BEB">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3D169D61" w14:textId="435F8E4C" w:rsidR="00D50BEB" w:rsidRPr="00D50BEB" w:rsidRDefault="00D50BEB" w:rsidP="00D50BEB">
            <w:pPr>
              <w:jc w:val="right"/>
              <w:rPr>
                <w:i/>
                <w:szCs w:val="24"/>
              </w:rPr>
            </w:pPr>
            <w:r w:rsidRPr="00D50BEB">
              <w:rPr>
                <w:i/>
                <w:szCs w:val="24"/>
              </w:rPr>
              <w:t>9</w:t>
            </w:r>
          </w:p>
        </w:tc>
        <w:tc>
          <w:tcPr>
            <w:tcW w:w="1276" w:type="dxa"/>
            <w:tcBorders>
              <w:top w:val="nil"/>
              <w:left w:val="single" w:sz="4" w:space="0" w:color="auto"/>
              <w:bottom w:val="nil"/>
              <w:right w:val="single" w:sz="4" w:space="0" w:color="auto"/>
            </w:tcBorders>
            <w:vAlign w:val="center"/>
          </w:tcPr>
          <w:p w14:paraId="27A06868" w14:textId="22ED1C26"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nil"/>
            </w:tcBorders>
            <w:shd w:val="clear" w:color="auto" w:fill="auto"/>
            <w:vAlign w:val="center"/>
          </w:tcPr>
          <w:p w14:paraId="4FD23346"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14:paraId="4E05E7EF"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1268D74D" w14:textId="77777777" w:rsidTr="007D3D71">
        <w:tc>
          <w:tcPr>
            <w:tcW w:w="4280" w:type="dxa"/>
            <w:tcBorders>
              <w:top w:val="nil"/>
              <w:bottom w:val="nil"/>
            </w:tcBorders>
            <w:shd w:val="clear" w:color="auto" w:fill="auto"/>
          </w:tcPr>
          <w:p w14:paraId="2D7F5DF2" w14:textId="77777777" w:rsidR="00D50BEB" w:rsidRPr="00D50BEB" w:rsidRDefault="00D50BEB" w:rsidP="00D50BEB">
            <w:pPr>
              <w:rPr>
                <w:rFonts w:eastAsia="Times New Roman" w:cs="Times New Roman"/>
                <w:i/>
                <w:lang w:eastAsia="cs-CZ"/>
              </w:rPr>
            </w:pPr>
            <w:r w:rsidRPr="00D50BEB">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0A43E51C" w14:textId="43E2E3EF" w:rsidR="00D50BEB" w:rsidRPr="00D50BEB" w:rsidRDefault="00D50BEB" w:rsidP="00D50BEB">
            <w:pPr>
              <w:jc w:val="right"/>
              <w:rPr>
                <w:i/>
                <w:szCs w:val="24"/>
              </w:rPr>
            </w:pPr>
            <w:r w:rsidRPr="00D50BEB">
              <w:rPr>
                <w:i/>
                <w:szCs w:val="24"/>
              </w:rPr>
              <w:t>2</w:t>
            </w:r>
          </w:p>
        </w:tc>
        <w:tc>
          <w:tcPr>
            <w:tcW w:w="1276" w:type="dxa"/>
            <w:tcBorders>
              <w:top w:val="nil"/>
              <w:left w:val="single" w:sz="4" w:space="0" w:color="auto"/>
              <w:bottom w:val="nil"/>
              <w:right w:val="single" w:sz="4" w:space="0" w:color="auto"/>
            </w:tcBorders>
            <w:vAlign w:val="center"/>
          </w:tcPr>
          <w:p w14:paraId="69B90EA1" w14:textId="0D331F72"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nil"/>
            </w:tcBorders>
            <w:shd w:val="clear" w:color="auto" w:fill="auto"/>
            <w:vAlign w:val="center"/>
          </w:tcPr>
          <w:p w14:paraId="7B731DD0"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14:paraId="0A4BA0EA"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17DE142D" w14:textId="77777777" w:rsidTr="007D3D71">
        <w:tc>
          <w:tcPr>
            <w:tcW w:w="4280" w:type="dxa"/>
            <w:tcBorders>
              <w:top w:val="nil"/>
              <w:bottom w:val="single" w:sz="4" w:space="0" w:color="auto"/>
            </w:tcBorders>
            <w:shd w:val="clear" w:color="auto" w:fill="auto"/>
          </w:tcPr>
          <w:p w14:paraId="5B18517B" w14:textId="77777777" w:rsidR="00D50BEB" w:rsidRPr="00D50BEB" w:rsidRDefault="00D50BEB" w:rsidP="00D50BEB">
            <w:pPr>
              <w:rPr>
                <w:rFonts w:eastAsia="Times New Roman" w:cs="Times New Roman"/>
                <w:i/>
                <w:lang w:eastAsia="cs-CZ"/>
              </w:rPr>
            </w:pPr>
            <w:r w:rsidRPr="00D50BEB">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4EFAB17A" w14:textId="724F17FF" w:rsidR="00D50BEB" w:rsidRPr="00D50BEB" w:rsidRDefault="00D50BEB" w:rsidP="00D50BEB">
            <w:pPr>
              <w:jc w:val="right"/>
              <w:rPr>
                <w:i/>
                <w:szCs w:val="24"/>
              </w:rPr>
            </w:pPr>
            <w:r w:rsidRPr="00D50BEB">
              <w:rPr>
                <w:i/>
                <w:szCs w:val="24"/>
              </w:rPr>
              <w:t>7</w:t>
            </w:r>
          </w:p>
        </w:tc>
        <w:tc>
          <w:tcPr>
            <w:tcW w:w="1276" w:type="dxa"/>
            <w:tcBorders>
              <w:top w:val="nil"/>
              <w:left w:val="single" w:sz="4" w:space="0" w:color="auto"/>
              <w:bottom w:val="single" w:sz="4" w:space="0" w:color="auto"/>
              <w:right w:val="single" w:sz="4" w:space="0" w:color="auto"/>
            </w:tcBorders>
            <w:vAlign w:val="center"/>
          </w:tcPr>
          <w:p w14:paraId="02776E57" w14:textId="204352A3" w:rsidR="00D50BEB" w:rsidRPr="00D50BEB" w:rsidRDefault="00D50BEB" w:rsidP="00D50BEB">
            <w:pPr>
              <w:jc w:val="right"/>
              <w:rPr>
                <w:i/>
                <w:szCs w:val="24"/>
              </w:rPr>
            </w:pPr>
            <w:r w:rsidRPr="00D50BEB">
              <w:rPr>
                <w:rFonts w:eastAsia="Times New Roman" w:cs="Times New Roman"/>
                <w:i/>
                <w:lang w:eastAsia="cs-CZ"/>
              </w:rPr>
              <w:t>0</w:t>
            </w:r>
          </w:p>
        </w:tc>
        <w:tc>
          <w:tcPr>
            <w:tcW w:w="1134" w:type="dxa"/>
            <w:tcBorders>
              <w:top w:val="nil"/>
              <w:bottom w:val="single" w:sz="4" w:space="0" w:color="auto"/>
            </w:tcBorders>
            <w:shd w:val="clear" w:color="auto" w:fill="auto"/>
            <w:vAlign w:val="center"/>
          </w:tcPr>
          <w:p w14:paraId="3AD0AAFD"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0</w:t>
            </w:r>
          </w:p>
        </w:tc>
        <w:tc>
          <w:tcPr>
            <w:tcW w:w="992" w:type="dxa"/>
            <w:tcBorders>
              <w:top w:val="nil"/>
              <w:bottom w:val="single" w:sz="4" w:space="0" w:color="auto"/>
              <w:right w:val="single" w:sz="8" w:space="0" w:color="7F7F7F" w:themeColor="text1" w:themeTint="80"/>
            </w:tcBorders>
            <w:shd w:val="clear" w:color="auto" w:fill="auto"/>
            <w:vAlign w:val="center"/>
          </w:tcPr>
          <w:p w14:paraId="723C8C44"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10AA03C7" w14:textId="77777777" w:rsidTr="007D3D71">
        <w:trPr>
          <w:trHeight w:val="349"/>
        </w:trPr>
        <w:tc>
          <w:tcPr>
            <w:tcW w:w="4280" w:type="dxa"/>
            <w:tcBorders>
              <w:top w:val="single" w:sz="4" w:space="0" w:color="auto"/>
              <w:bottom w:val="nil"/>
            </w:tcBorders>
            <w:shd w:val="clear" w:color="auto" w:fill="auto"/>
          </w:tcPr>
          <w:p w14:paraId="3DB8C569" w14:textId="77777777" w:rsidR="00D50BEB" w:rsidRPr="00D50BEB" w:rsidRDefault="00D50BEB" w:rsidP="00D50BEB">
            <w:pPr>
              <w:spacing w:before="60"/>
              <w:rPr>
                <w:rFonts w:eastAsia="Times New Roman" w:cs="Times New Roman"/>
                <w:lang w:eastAsia="cs-CZ"/>
              </w:rPr>
            </w:pPr>
            <w:r w:rsidRPr="00D50BEB">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14:paraId="747A166C" w14:textId="1768552A" w:rsidR="00D50BEB" w:rsidRPr="00D50BEB" w:rsidRDefault="00D50BEB" w:rsidP="00D50BEB">
            <w:pPr>
              <w:jc w:val="right"/>
              <w:rPr>
                <w:szCs w:val="24"/>
              </w:rPr>
            </w:pPr>
            <w:r w:rsidRPr="00D50BEB">
              <w:rPr>
                <w:szCs w:val="24"/>
              </w:rPr>
              <w:t>12 304</w:t>
            </w:r>
          </w:p>
        </w:tc>
        <w:tc>
          <w:tcPr>
            <w:tcW w:w="1276" w:type="dxa"/>
            <w:tcBorders>
              <w:top w:val="single" w:sz="4" w:space="0" w:color="auto"/>
              <w:left w:val="single" w:sz="4" w:space="0" w:color="auto"/>
              <w:bottom w:val="nil"/>
              <w:right w:val="single" w:sz="4" w:space="0" w:color="auto"/>
            </w:tcBorders>
            <w:vAlign w:val="center"/>
          </w:tcPr>
          <w:p w14:paraId="0ABB1FCE" w14:textId="310E56DF" w:rsidR="00D50BEB" w:rsidRPr="00D50BEB" w:rsidRDefault="00D50BEB" w:rsidP="00D50BEB">
            <w:pPr>
              <w:jc w:val="right"/>
              <w:rPr>
                <w:szCs w:val="24"/>
              </w:rPr>
            </w:pPr>
            <w:r w:rsidRPr="00D50BEB">
              <w:rPr>
                <w:rFonts w:eastAsia="Times New Roman" w:cs="Times New Roman"/>
                <w:lang w:eastAsia="cs-CZ"/>
              </w:rPr>
              <w:t>8 614</w:t>
            </w:r>
          </w:p>
        </w:tc>
        <w:tc>
          <w:tcPr>
            <w:tcW w:w="1134" w:type="dxa"/>
            <w:tcBorders>
              <w:top w:val="single" w:sz="4" w:space="0" w:color="auto"/>
              <w:bottom w:val="nil"/>
            </w:tcBorders>
            <w:shd w:val="clear" w:color="auto" w:fill="auto"/>
            <w:vAlign w:val="center"/>
          </w:tcPr>
          <w:p w14:paraId="47BFCAF9" w14:textId="2FF013BC"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9 510</w:t>
            </w:r>
          </w:p>
        </w:tc>
        <w:tc>
          <w:tcPr>
            <w:tcW w:w="992" w:type="dxa"/>
            <w:tcBorders>
              <w:top w:val="single" w:sz="4" w:space="0" w:color="auto"/>
              <w:bottom w:val="nil"/>
            </w:tcBorders>
            <w:shd w:val="clear" w:color="auto" w:fill="auto"/>
            <w:vAlign w:val="center"/>
          </w:tcPr>
          <w:p w14:paraId="23DA8195" w14:textId="451E6B9E" w:rsidR="00D50BEB" w:rsidRPr="00D50BEB" w:rsidRDefault="00D50BEB" w:rsidP="00D50BEB">
            <w:pPr>
              <w:jc w:val="right"/>
              <w:rPr>
                <w:rFonts w:eastAsia="Times New Roman" w:cs="Times New Roman"/>
                <w:color w:val="FF0000"/>
                <w:lang w:eastAsia="cs-CZ"/>
              </w:rPr>
            </w:pPr>
            <w:r w:rsidRPr="00D50BEB">
              <w:rPr>
                <w:rFonts w:eastAsia="Times New Roman" w:cs="Times New Roman"/>
                <w:lang w:eastAsia="cs-CZ"/>
              </w:rPr>
              <w:t>110 ,40</w:t>
            </w:r>
          </w:p>
        </w:tc>
      </w:tr>
      <w:tr w:rsidR="00D50BEB" w:rsidRPr="00D070B8" w14:paraId="206A6B82" w14:textId="77777777" w:rsidTr="007D3D71">
        <w:tc>
          <w:tcPr>
            <w:tcW w:w="4280" w:type="dxa"/>
            <w:tcBorders>
              <w:top w:val="nil"/>
              <w:bottom w:val="nil"/>
            </w:tcBorders>
            <w:shd w:val="clear" w:color="auto" w:fill="auto"/>
          </w:tcPr>
          <w:p w14:paraId="655FAA2E" w14:textId="77777777" w:rsidR="00D50BEB" w:rsidRPr="00D50BEB" w:rsidRDefault="00D50BEB" w:rsidP="00D50BEB">
            <w:pPr>
              <w:jc w:val="left"/>
              <w:rPr>
                <w:rFonts w:eastAsia="Times New Roman" w:cs="Times New Roman"/>
                <w:i/>
                <w:lang w:eastAsia="cs-CZ"/>
              </w:rPr>
            </w:pPr>
            <w:r w:rsidRPr="00D50BEB">
              <w:rPr>
                <w:rFonts w:eastAsia="Times New Roman" w:cs="Times New Roman"/>
                <w:i/>
                <w:lang w:eastAsia="cs-CZ"/>
              </w:rPr>
              <w:t>z toho: programové financování</w:t>
            </w:r>
            <w:r w:rsidRPr="00D50BEB">
              <w:rPr>
                <w:rFonts w:eastAsia="Times New Roman" w:cs="Times New Roman"/>
                <w:i/>
                <w:lang w:eastAsia="cs-CZ"/>
              </w:rPr>
              <w:br/>
            </w:r>
            <w:r w:rsidRPr="00D50BEB">
              <w:rPr>
                <w:rFonts w:eastAsia="Times New Roman" w:cs="Times New Roman"/>
                <w:i/>
                <w:lang w:eastAsia="cs-CZ"/>
              </w:rPr>
              <w:tab/>
              <w:t>(EDS/SMVS)</w:t>
            </w:r>
          </w:p>
        </w:tc>
        <w:tc>
          <w:tcPr>
            <w:tcW w:w="1380" w:type="dxa"/>
            <w:tcBorders>
              <w:top w:val="nil"/>
              <w:left w:val="single" w:sz="4" w:space="0" w:color="auto"/>
              <w:bottom w:val="nil"/>
              <w:right w:val="single" w:sz="4" w:space="0" w:color="auto"/>
            </w:tcBorders>
            <w:vAlign w:val="center"/>
          </w:tcPr>
          <w:p w14:paraId="22108C17" w14:textId="1897F012" w:rsidR="00D50BEB" w:rsidRPr="00D50BEB" w:rsidRDefault="00D50BEB" w:rsidP="00D50BEB">
            <w:pPr>
              <w:jc w:val="right"/>
              <w:rPr>
                <w:i/>
                <w:szCs w:val="24"/>
              </w:rPr>
            </w:pPr>
            <w:r w:rsidRPr="00D50BEB">
              <w:rPr>
                <w:i/>
                <w:szCs w:val="24"/>
              </w:rPr>
              <w:t>0</w:t>
            </w:r>
          </w:p>
        </w:tc>
        <w:tc>
          <w:tcPr>
            <w:tcW w:w="1276" w:type="dxa"/>
            <w:tcBorders>
              <w:top w:val="nil"/>
              <w:left w:val="single" w:sz="4" w:space="0" w:color="auto"/>
              <w:bottom w:val="nil"/>
              <w:right w:val="single" w:sz="4" w:space="0" w:color="auto"/>
            </w:tcBorders>
            <w:vAlign w:val="center"/>
          </w:tcPr>
          <w:p w14:paraId="6FDB1EFA" w14:textId="196F9DED" w:rsidR="00D50BEB" w:rsidRPr="00D50BEB" w:rsidRDefault="00D50BEB" w:rsidP="00D50BEB">
            <w:pPr>
              <w:jc w:val="right"/>
              <w:rPr>
                <w:i/>
                <w:szCs w:val="24"/>
              </w:rPr>
            </w:pPr>
            <w:r w:rsidRPr="00D50BEB">
              <w:rPr>
                <w:rFonts w:cs="Times New Roman"/>
              </w:rPr>
              <w:t>0</w:t>
            </w:r>
          </w:p>
        </w:tc>
        <w:tc>
          <w:tcPr>
            <w:tcW w:w="1134" w:type="dxa"/>
            <w:tcBorders>
              <w:top w:val="nil"/>
              <w:bottom w:val="nil"/>
            </w:tcBorders>
            <w:shd w:val="clear" w:color="auto" w:fill="auto"/>
            <w:vAlign w:val="center"/>
          </w:tcPr>
          <w:p w14:paraId="444047BE" w14:textId="77777777" w:rsidR="00D50BEB" w:rsidRPr="00D50BEB" w:rsidRDefault="00D50BEB" w:rsidP="00D50BEB">
            <w:pPr>
              <w:jc w:val="right"/>
              <w:rPr>
                <w:rFonts w:cs="Times New Roman"/>
              </w:rPr>
            </w:pPr>
            <w:r w:rsidRPr="00D50BEB">
              <w:rPr>
                <w:rFonts w:cs="Times New Roman"/>
              </w:rPr>
              <w:t>0</w:t>
            </w:r>
          </w:p>
        </w:tc>
        <w:tc>
          <w:tcPr>
            <w:tcW w:w="992" w:type="dxa"/>
            <w:tcBorders>
              <w:top w:val="nil"/>
              <w:bottom w:val="nil"/>
            </w:tcBorders>
            <w:shd w:val="clear" w:color="auto" w:fill="auto"/>
            <w:vAlign w:val="center"/>
          </w:tcPr>
          <w:p w14:paraId="710D25A7"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0EE5995B" w14:textId="77777777" w:rsidTr="007D3D71">
        <w:tc>
          <w:tcPr>
            <w:tcW w:w="4280" w:type="dxa"/>
            <w:tcBorders>
              <w:top w:val="nil"/>
              <w:bottom w:val="nil"/>
            </w:tcBorders>
            <w:shd w:val="clear" w:color="auto" w:fill="auto"/>
          </w:tcPr>
          <w:p w14:paraId="2DAB2D2C" w14:textId="77777777" w:rsidR="00D50BEB" w:rsidRPr="00D50BEB" w:rsidRDefault="00D50BEB" w:rsidP="00D50BEB">
            <w:pPr>
              <w:jc w:val="left"/>
              <w:rPr>
                <w:rFonts w:eastAsia="Times New Roman" w:cs="Times New Roman"/>
                <w:i/>
                <w:lang w:eastAsia="cs-CZ"/>
              </w:rPr>
            </w:pPr>
            <w:r w:rsidRPr="00D50BEB">
              <w:rPr>
                <w:rFonts w:eastAsia="Times New Roman" w:cs="Times New Roman"/>
                <w:i/>
                <w:lang w:eastAsia="cs-CZ"/>
              </w:rPr>
              <w:t xml:space="preserve">            výdaje na programy spolufin.</w:t>
            </w:r>
            <w:r w:rsidRPr="00D50BEB">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1AF0CDC0" w14:textId="1F211FBC" w:rsidR="00D50BEB" w:rsidRPr="00D50BEB" w:rsidRDefault="00D50BEB" w:rsidP="00D50BEB">
            <w:pPr>
              <w:jc w:val="right"/>
              <w:rPr>
                <w:i/>
                <w:szCs w:val="24"/>
              </w:rPr>
            </w:pPr>
            <w:r w:rsidRPr="00D50BEB">
              <w:rPr>
                <w:i/>
                <w:szCs w:val="24"/>
              </w:rPr>
              <w:t>312</w:t>
            </w:r>
          </w:p>
        </w:tc>
        <w:tc>
          <w:tcPr>
            <w:tcW w:w="1276" w:type="dxa"/>
            <w:tcBorders>
              <w:top w:val="nil"/>
              <w:left w:val="single" w:sz="4" w:space="0" w:color="auto"/>
              <w:bottom w:val="nil"/>
              <w:right w:val="single" w:sz="4" w:space="0" w:color="auto"/>
            </w:tcBorders>
            <w:vAlign w:val="center"/>
          </w:tcPr>
          <w:p w14:paraId="2311ED48" w14:textId="28D47CA0" w:rsidR="00D50BEB" w:rsidRPr="00D50BEB" w:rsidRDefault="00D50BEB" w:rsidP="00D50BEB">
            <w:pPr>
              <w:jc w:val="right"/>
              <w:rPr>
                <w:i/>
                <w:szCs w:val="24"/>
              </w:rPr>
            </w:pPr>
            <w:r w:rsidRPr="00D50BEB">
              <w:rPr>
                <w:rFonts w:cs="Times New Roman"/>
              </w:rPr>
              <w:t>0</w:t>
            </w:r>
          </w:p>
        </w:tc>
        <w:tc>
          <w:tcPr>
            <w:tcW w:w="1134" w:type="dxa"/>
            <w:tcBorders>
              <w:top w:val="nil"/>
              <w:bottom w:val="nil"/>
            </w:tcBorders>
            <w:shd w:val="clear" w:color="auto" w:fill="auto"/>
            <w:vAlign w:val="center"/>
          </w:tcPr>
          <w:p w14:paraId="01C8B548" w14:textId="77777777" w:rsidR="00D50BEB" w:rsidRPr="00D50BEB" w:rsidRDefault="00D50BEB" w:rsidP="00D50BEB">
            <w:pPr>
              <w:jc w:val="right"/>
              <w:rPr>
                <w:rFonts w:cs="Times New Roman"/>
              </w:rPr>
            </w:pPr>
            <w:r w:rsidRPr="00D50BEB">
              <w:rPr>
                <w:rFonts w:cs="Times New Roman"/>
              </w:rPr>
              <w:t>0</w:t>
            </w:r>
          </w:p>
        </w:tc>
        <w:tc>
          <w:tcPr>
            <w:tcW w:w="992" w:type="dxa"/>
            <w:tcBorders>
              <w:top w:val="nil"/>
              <w:bottom w:val="nil"/>
            </w:tcBorders>
            <w:shd w:val="clear" w:color="auto" w:fill="auto"/>
            <w:vAlign w:val="center"/>
          </w:tcPr>
          <w:p w14:paraId="0BDF41A2"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76941766" w14:textId="77777777" w:rsidTr="007D3D71">
        <w:tc>
          <w:tcPr>
            <w:tcW w:w="4280" w:type="dxa"/>
            <w:tcBorders>
              <w:top w:val="nil"/>
              <w:bottom w:val="nil"/>
            </w:tcBorders>
            <w:shd w:val="clear" w:color="auto" w:fill="auto"/>
          </w:tcPr>
          <w:p w14:paraId="1938F6B1" w14:textId="77777777" w:rsidR="00D50BEB" w:rsidRPr="00D50BEB" w:rsidRDefault="00D50BEB" w:rsidP="00D50BEB">
            <w:pPr>
              <w:rPr>
                <w:rFonts w:eastAsia="Times New Roman" w:cs="Times New Roman"/>
                <w:i/>
                <w:lang w:eastAsia="cs-CZ"/>
              </w:rPr>
            </w:pPr>
            <w:r w:rsidRPr="00D50BEB">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395CA933" w14:textId="101036F5" w:rsidR="00D50BEB" w:rsidRPr="00D50BEB" w:rsidRDefault="00D50BEB" w:rsidP="00D50BEB">
            <w:pPr>
              <w:jc w:val="right"/>
              <w:rPr>
                <w:i/>
                <w:szCs w:val="24"/>
              </w:rPr>
            </w:pPr>
            <w:r w:rsidRPr="00D50BEB">
              <w:rPr>
                <w:i/>
                <w:szCs w:val="24"/>
              </w:rPr>
              <w:t>60</w:t>
            </w:r>
          </w:p>
        </w:tc>
        <w:tc>
          <w:tcPr>
            <w:tcW w:w="1276" w:type="dxa"/>
            <w:tcBorders>
              <w:top w:val="nil"/>
              <w:left w:val="single" w:sz="4" w:space="0" w:color="auto"/>
              <w:bottom w:val="nil"/>
              <w:right w:val="single" w:sz="4" w:space="0" w:color="auto"/>
            </w:tcBorders>
            <w:vAlign w:val="center"/>
          </w:tcPr>
          <w:p w14:paraId="32D3D0E6" w14:textId="5D914314" w:rsidR="00D50BEB" w:rsidRPr="00D50BEB" w:rsidRDefault="00D50BEB" w:rsidP="00D50BEB">
            <w:pPr>
              <w:jc w:val="right"/>
              <w:rPr>
                <w:i/>
                <w:szCs w:val="24"/>
              </w:rPr>
            </w:pPr>
            <w:r w:rsidRPr="00D50BEB">
              <w:rPr>
                <w:rFonts w:cs="Times New Roman"/>
              </w:rPr>
              <w:t>0</w:t>
            </w:r>
          </w:p>
        </w:tc>
        <w:tc>
          <w:tcPr>
            <w:tcW w:w="1134" w:type="dxa"/>
            <w:tcBorders>
              <w:top w:val="nil"/>
              <w:bottom w:val="nil"/>
            </w:tcBorders>
            <w:shd w:val="clear" w:color="auto" w:fill="auto"/>
            <w:vAlign w:val="center"/>
          </w:tcPr>
          <w:p w14:paraId="0301CEBE" w14:textId="77777777" w:rsidR="00D50BEB" w:rsidRPr="00D50BEB" w:rsidRDefault="00D50BEB" w:rsidP="00D50BEB">
            <w:pPr>
              <w:jc w:val="right"/>
              <w:rPr>
                <w:rFonts w:cs="Times New Roman"/>
              </w:rPr>
            </w:pPr>
            <w:r w:rsidRPr="00D50BEB">
              <w:rPr>
                <w:rFonts w:cs="Times New Roman"/>
              </w:rPr>
              <w:t>0</w:t>
            </w:r>
          </w:p>
        </w:tc>
        <w:tc>
          <w:tcPr>
            <w:tcW w:w="992" w:type="dxa"/>
            <w:tcBorders>
              <w:top w:val="nil"/>
              <w:bottom w:val="nil"/>
            </w:tcBorders>
            <w:shd w:val="clear" w:color="auto" w:fill="auto"/>
            <w:vAlign w:val="center"/>
          </w:tcPr>
          <w:p w14:paraId="7764F190"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r w:rsidR="00D50BEB" w:rsidRPr="00D070B8" w14:paraId="6ED18FD6" w14:textId="77777777" w:rsidTr="007D3D71">
        <w:tc>
          <w:tcPr>
            <w:tcW w:w="4280" w:type="dxa"/>
            <w:tcBorders>
              <w:top w:val="nil"/>
              <w:bottom w:val="single" w:sz="8" w:space="0" w:color="7F7F7F" w:themeColor="text1" w:themeTint="80"/>
            </w:tcBorders>
            <w:shd w:val="clear" w:color="auto" w:fill="auto"/>
          </w:tcPr>
          <w:p w14:paraId="2A529F2A" w14:textId="5163C29B" w:rsidR="00D50BEB" w:rsidRPr="00D50BEB" w:rsidRDefault="00D50BEB" w:rsidP="00D50BEB">
            <w:pPr>
              <w:rPr>
                <w:rFonts w:eastAsia="Times New Roman" w:cs="Times New Roman"/>
                <w:i/>
                <w:lang w:eastAsia="cs-CZ"/>
              </w:rPr>
            </w:pPr>
            <w:r w:rsidRPr="00D50BEB">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3EB0D285" w14:textId="020D9132" w:rsidR="00D50BEB" w:rsidRPr="00D50BEB" w:rsidRDefault="00D50BEB" w:rsidP="00D50BEB">
            <w:pPr>
              <w:jc w:val="right"/>
              <w:rPr>
                <w:i/>
                <w:szCs w:val="24"/>
              </w:rPr>
            </w:pPr>
            <w:r w:rsidRPr="00D50BEB">
              <w:rPr>
                <w:i/>
                <w:szCs w:val="24"/>
              </w:rPr>
              <w:t>252</w:t>
            </w:r>
          </w:p>
        </w:tc>
        <w:tc>
          <w:tcPr>
            <w:tcW w:w="1276" w:type="dxa"/>
            <w:tcBorders>
              <w:top w:val="nil"/>
              <w:left w:val="single" w:sz="4" w:space="0" w:color="auto"/>
              <w:bottom w:val="single" w:sz="4" w:space="0" w:color="auto"/>
              <w:right w:val="single" w:sz="4" w:space="0" w:color="auto"/>
            </w:tcBorders>
            <w:vAlign w:val="center"/>
          </w:tcPr>
          <w:p w14:paraId="2088FE01" w14:textId="7F113082" w:rsidR="00D50BEB" w:rsidRPr="00D50BEB" w:rsidRDefault="00D50BEB" w:rsidP="00D50BEB">
            <w:pPr>
              <w:jc w:val="right"/>
              <w:rPr>
                <w:i/>
                <w:szCs w:val="24"/>
              </w:rPr>
            </w:pPr>
            <w:r w:rsidRPr="00D50BEB">
              <w:rPr>
                <w:rFonts w:cs="Times New Roman"/>
              </w:rPr>
              <w:t>0</w:t>
            </w:r>
          </w:p>
        </w:tc>
        <w:tc>
          <w:tcPr>
            <w:tcW w:w="1134" w:type="dxa"/>
            <w:tcBorders>
              <w:top w:val="nil"/>
              <w:bottom w:val="single" w:sz="8" w:space="0" w:color="7F7F7F" w:themeColor="text1" w:themeTint="80"/>
            </w:tcBorders>
            <w:shd w:val="clear" w:color="auto" w:fill="auto"/>
            <w:vAlign w:val="center"/>
          </w:tcPr>
          <w:p w14:paraId="42851CFE" w14:textId="77777777" w:rsidR="00D50BEB" w:rsidRPr="00D50BEB" w:rsidRDefault="00D50BEB" w:rsidP="00D50BEB">
            <w:pPr>
              <w:jc w:val="right"/>
              <w:rPr>
                <w:rFonts w:cs="Times New Roman"/>
              </w:rPr>
            </w:pPr>
            <w:r w:rsidRPr="00D50BEB">
              <w:rPr>
                <w:rFonts w:cs="Times New Roman"/>
              </w:rPr>
              <w:t>0</w:t>
            </w:r>
          </w:p>
        </w:tc>
        <w:tc>
          <w:tcPr>
            <w:tcW w:w="992" w:type="dxa"/>
            <w:tcBorders>
              <w:top w:val="nil"/>
              <w:bottom w:val="single" w:sz="8" w:space="0" w:color="7F7F7F" w:themeColor="text1" w:themeTint="80"/>
            </w:tcBorders>
            <w:shd w:val="clear" w:color="auto" w:fill="auto"/>
            <w:vAlign w:val="center"/>
          </w:tcPr>
          <w:p w14:paraId="07B611B2" w14:textId="77777777" w:rsidR="00D50BEB" w:rsidRPr="00D50BEB" w:rsidRDefault="00D50BEB" w:rsidP="00D50BEB">
            <w:pPr>
              <w:jc w:val="right"/>
              <w:rPr>
                <w:rFonts w:eastAsia="Times New Roman" w:cs="Times New Roman"/>
                <w:i/>
                <w:lang w:eastAsia="cs-CZ"/>
              </w:rPr>
            </w:pPr>
            <w:r w:rsidRPr="00D50BEB">
              <w:rPr>
                <w:rFonts w:eastAsia="Times New Roman" w:cs="Times New Roman"/>
                <w:i/>
                <w:lang w:eastAsia="cs-CZ"/>
              </w:rPr>
              <w:t>x</w:t>
            </w:r>
          </w:p>
        </w:tc>
      </w:tr>
    </w:tbl>
    <w:p w14:paraId="3DCC577C" w14:textId="46A3B925" w:rsidR="002154D5" w:rsidRDefault="002154D5" w:rsidP="008D198C">
      <w:pPr>
        <w:pStyle w:val="Styl1"/>
      </w:pPr>
      <w:r w:rsidRPr="002511B8">
        <w:t xml:space="preserve">Návrh rozpočtu běžných výdajů na rok 2025 je oproti schválenému rozpočtu na rok 2024 </w:t>
      </w:r>
      <w:r w:rsidRPr="002511B8">
        <w:br/>
        <w:t xml:space="preserve">o </w:t>
      </w:r>
      <w:r>
        <w:t>2 451</w:t>
      </w:r>
      <w:r w:rsidRPr="002511B8">
        <w:t xml:space="preserve"> tis. Kč vyšší z důvodu posílení prostředků na platy zaměstnanců vč. příslušenství (podrobněji viz oddíl 3.2.2 Výdaje na platy a počty pracovníků za OSS a PO) a posílení prostředků na provoz organizace</w:t>
      </w:r>
      <w:r>
        <w:t>.</w:t>
      </w:r>
    </w:p>
    <w:p w14:paraId="7E3B157E" w14:textId="1C499663" w:rsidR="003B0CD2" w:rsidRPr="002154D5" w:rsidRDefault="003B0CD2" w:rsidP="003B0CD2">
      <w:pPr>
        <w:pStyle w:val="Styl1"/>
      </w:pPr>
      <w:r w:rsidRPr="002154D5">
        <w:t>Počet zaměstnanců organizace je pro rok 202</w:t>
      </w:r>
      <w:r w:rsidR="002154D5" w:rsidRPr="002154D5">
        <w:t>5</w:t>
      </w:r>
      <w:r w:rsidRPr="002154D5">
        <w:t xml:space="preserve"> stanoven ve výši 38 zaměstnanců, v tom 38 státních zaměstnanců.</w:t>
      </w:r>
      <w:r w:rsidR="0052134B" w:rsidRPr="0052134B">
        <w:t xml:space="preserve"> Ve srovnání s rokem 2024 nedochází ke změně</w:t>
      </w:r>
      <w:r w:rsidR="0052134B">
        <w:t>.</w:t>
      </w:r>
    </w:p>
    <w:p w14:paraId="1F8F14C6" w14:textId="6F7E12F2" w:rsidR="00A64920" w:rsidRPr="002154D5" w:rsidRDefault="00A64920" w:rsidP="00A64920">
      <w:pPr>
        <w:pStyle w:val="Styl1"/>
        <w:rPr>
          <w:color w:val="000000" w:themeColor="text1"/>
        </w:rPr>
      </w:pPr>
      <w:r w:rsidRPr="002154D5">
        <w:t>Ostatní běžné výdaje jsou pro rok 202</w:t>
      </w:r>
      <w:r w:rsidR="002154D5" w:rsidRPr="002154D5">
        <w:t>5</w:t>
      </w:r>
      <w:r w:rsidRPr="002154D5">
        <w:t xml:space="preserve"> navrhovány ve výši </w:t>
      </w:r>
      <w:r w:rsidR="002154D5" w:rsidRPr="002154D5">
        <w:t>9 510</w:t>
      </w:r>
      <w:r w:rsidRPr="002154D5">
        <w:t xml:space="preserve"> tis. Kč. V rámci ostatních běžných výdajů činí největší podíl výdaje na nájemné a výdaje na nákup ostatních služeb. Dalšími významnými položkami jsou výdaje na energie; pohonné hmoty a na cestovné; konzultační, poradenské a právní služby; výdaje na telekomunikační služby; tj. výdaje přímo </w:t>
      </w:r>
      <w:r w:rsidRPr="002154D5">
        <w:rPr>
          <w:color w:val="000000" w:themeColor="text1"/>
        </w:rPr>
        <w:t xml:space="preserve">související s šetřením mimořádných událostí v drážní dopravě. </w:t>
      </w:r>
    </w:p>
    <w:p w14:paraId="719F82E8" w14:textId="77777777" w:rsidR="0057450B" w:rsidRPr="0052134B" w:rsidRDefault="0057450B" w:rsidP="00A66629">
      <w:pPr>
        <w:pStyle w:val="Nadpis9"/>
        <w:rPr>
          <w:lang w:eastAsia="cs-CZ"/>
        </w:rPr>
      </w:pPr>
      <w:r w:rsidRPr="0052134B">
        <w:rPr>
          <w:lang w:eastAsia="cs-CZ"/>
        </w:rPr>
        <w:t xml:space="preserve">Ředitelství vodních cest ČR  </w:t>
      </w:r>
    </w:p>
    <w:p w14:paraId="2A0A673A" w14:textId="77777777" w:rsidR="001E55EA" w:rsidRDefault="001E55EA" w:rsidP="00C867CF">
      <w:pPr>
        <w:pStyle w:val="Styl1"/>
      </w:pPr>
      <w:r w:rsidRPr="0052134B">
        <w:t xml:space="preserve">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w:t>
      </w:r>
      <w:r w:rsidRPr="0052134B">
        <w:br/>
        <w:t>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hospodaří s majetkem ve vlastnictví a nájmu ČR v přístavním městě Hamburku v SRN. </w:t>
      </w:r>
    </w:p>
    <w:p w14:paraId="0A8C2401" w14:textId="0C016AF5" w:rsidR="00535DE4" w:rsidRPr="0052134B" w:rsidRDefault="00535DE4" w:rsidP="00535DE4">
      <w:pPr>
        <w:pStyle w:val="Titulek"/>
      </w:pPr>
      <w:r w:rsidRPr="0052134B">
        <w:t xml:space="preserve">Tabulka č. </w:t>
      </w:r>
      <w:r w:rsidRPr="0052134B">
        <w:rPr>
          <w:noProof/>
        </w:rPr>
        <w:fldChar w:fldCharType="begin"/>
      </w:r>
      <w:r w:rsidRPr="0052134B">
        <w:rPr>
          <w:noProof/>
        </w:rPr>
        <w:instrText xml:space="preserve"> SEQ Tabulka \* ARABIC </w:instrText>
      </w:r>
      <w:r w:rsidRPr="0052134B">
        <w:rPr>
          <w:noProof/>
        </w:rPr>
        <w:fldChar w:fldCharType="separate"/>
      </w:r>
      <w:r w:rsidR="003B0B01" w:rsidRPr="0052134B">
        <w:rPr>
          <w:noProof/>
        </w:rPr>
        <w:t>18</w:t>
      </w:r>
      <w:r w:rsidRPr="0052134B">
        <w:rPr>
          <w:noProof/>
        </w:rPr>
        <w:fldChar w:fldCharType="end"/>
      </w:r>
      <w:r w:rsidRPr="0052134B">
        <w:rPr>
          <w:noProof/>
        </w:rPr>
        <w:t xml:space="preserve"> Ředitelství vodních cest ČR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76"/>
        <w:gridCol w:w="1134"/>
        <w:gridCol w:w="992"/>
      </w:tblGrid>
      <w:tr w:rsidR="00AA1D3E" w:rsidRPr="0052134B" w14:paraId="1262FA47" w14:textId="77777777" w:rsidTr="00776B6E">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D4DE8AB" w14:textId="77777777" w:rsidR="00535DE4" w:rsidRPr="0052134B" w:rsidRDefault="00535DE4" w:rsidP="00776B6E">
            <w:pPr>
              <w:jc w:val="center"/>
              <w:rPr>
                <w:rFonts w:eastAsia="Times New Roman" w:cs="Times New Roman"/>
                <w:b/>
                <w:szCs w:val="24"/>
                <w:lang w:eastAsia="cs-CZ"/>
              </w:rPr>
            </w:pPr>
            <w:r w:rsidRPr="0052134B">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E3CBB3" w14:textId="77777777" w:rsidR="00535DE4" w:rsidRPr="0052134B" w:rsidRDefault="00535DE4" w:rsidP="00776B6E">
            <w:pPr>
              <w:jc w:val="center"/>
              <w:rPr>
                <w:rFonts w:eastAsia="Times New Roman" w:cs="Times New Roman"/>
                <w:b/>
                <w:szCs w:val="24"/>
                <w:lang w:eastAsia="cs-CZ"/>
              </w:rPr>
            </w:pPr>
            <w:r w:rsidRPr="0052134B">
              <w:rPr>
                <w:rFonts w:eastAsia="Times New Roman" w:cs="Times New Roman"/>
                <w:b/>
                <w:szCs w:val="24"/>
                <w:lang w:eastAsia="cs-CZ"/>
              </w:rPr>
              <w:t>Skutečnost</w:t>
            </w:r>
          </w:p>
          <w:p w14:paraId="6E0A7B39" w14:textId="64EEE0E5" w:rsidR="00535DE4" w:rsidRPr="0052134B" w:rsidRDefault="00D533D3" w:rsidP="00776B6E">
            <w:pPr>
              <w:jc w:val="center"/>
              <w:rPr>
                <w:rFonts w:eastAsia="Times New Roman" w:cs="Times New Roman"/>
                <w:b/>
                <w:szCs w:val="24"/>
                <w:lang w:eastAsia="cs-CZ"/>
              </w:rPr>
            </w:pPr>
            <w:r w:rsidRPr="0052134B">
              <w:rPr>
                <w:rFonts w:eastAsia="Times New Roman" w:cs="Times New Roman"/>
                <w:b/>
                <w:szCs w:val="24"/>
                <w:lang w:eastAsia="cs-CZ"/>
              </w:rPr>
              <w:t>202</w:t>
            </w:r>
            <w:r w:rsidR="0052134B" w:rsidRPr="0052134B">
              <w:rPr>
                <w:rFonts w:eastAsia="Times New Roman" w:cs="Times New Roman"/>
                <w:b/>
                <w:szCs w:val="24"/>
                <w:lang w:eastAsia="cs-CZ"/>
              </w:rPr>
              <w:t>3</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3263AD0" w14:textId="77777777" w:rsidR="00535DE4" w:rsidRPr="0052134B" w:rsidRDefault="00535DE4" w:rsidP="00776B6E">
            <w:pPr>
              <w:jc w:val="center"/>
              <w:rPr>
                <w:rFonts w:eastAsia="Times New Roman" w:cs="Times New Roman"/>
                <w:b/>
                <w:szCs w:val="24"/>
                <w:lang w:eastAsia="cs-CZ"/>
              </w:rPr>
            </w:pPr>
            <w:r w:rsidRPr="0052134B">
              <w:rPr>
                <w:rFonts w:eastAsia="Times New Roman" w:cs="Times New Roman"/>
                <w:b/>
                <w:szCs w:val="24"/>
                <w:lang w:eastAsia="cs-CZ"/>
              </w:rPr>
              <w:t>Schválený</w:t>
            </w:r>
          </w:p>
          <w:p w14:paraId="0CAAEFD8" w14:textId="77777777" w:rsidR="00535DE4" w:rsidRPr="0052134B" w:rsidRDefault="00535DE4" w:rsidP="00776B6E">
            <w:pPr>
              <w:jc w:val="center"/>
              <w:rPr>
                <w:rFonts w:eastAsia="Times New Roman" w:cs="Times New Roman"/>
                <w:b/>
                <w:szCs w:val="24"/>
                <w:lang w:eastAsia="cs-CZ"/>
              </w:rPr>
            </w:pPr>
            <w:r w:rsidRPr="0052134B">
              <w:rPr>
                <w:rFonts w:eastAsia="Times New Roman" w:cs="Times New Roman"/>
                <w:b/>
                <w:szCs w:val="24"/>
                <w:lang w:eastAsia="cs-CZ"/>
              </w:rPr>
              <w:t>rozpočet</w:t>
            </w:r>
          </w:p>
          <w:p w14:paraId="14BFE060" w14:textId="37805812" w:rsidR="00535DE4" w:rsidRPr="0052134B" w:rsidRDefault="00D533D3" w:rsidP="00776B6E">
            <w:pPr>
              <w:jc w:val="center"/>
              <w:rPr>
                <w:rFonts w:eastAsia="Times New Roman" w:cs="Times New Roman"/>
                <w:b/>
                <w:szCs w:val="24"/>
                <w:lang w:eastAsia="cs-CZ"/>
              </w:rPr>
            </w:pPr>
            <w:r w:rsidRPr="0052134B">
              <w:rPr>
                <w:rFonts w:eastAsia="Times New Roman" w:cs="Times New Roman"/>
                <w:b/>
                <w:szCs w:val="24"/>
                <w:lang w:eastAsia="cs-CZ"/>
              </w:rPr>
              <w:t>202</w:t>
            </w:r>
            <w:r w:rsidR="0052134B" w:rsidRPr="0052134B">
              <w:rPr>
                <w:rFonts w:eastAsia="Times New Roman" w:cs="Times New Roman"/>
                <w:b/>
                <w:szCs w:val="24"/>
                <w:lang w:eastAsia="cs-CZ"/>
              </w:rPr>
              <w:t>4</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00F917A" w14:textId="77777777" w:rsidR="00535DE4" w:rsidRPr="0052134B" w:rsidRDefault="00535DE4" w:rsidP="00776B6E">
            <w:pPr>
              <w:jc w:val="center"/>
              <w:rPr>
                <w:rFonts w:eastAsia="Times New Roman" w:cs="Times New Roman"/>
                <w:b/>
                <w:szCs w:val="24"/>
                <w:lang w:eastAsia="cs-CZ"/>
              </w:rPr>
            </w:pPr>
            <w:r w:rsidRPr="0052134B">
              <w:rPr>
                <w:rFonts w:eastAsia="Times New Roman" w:cs="Times New Roman"/>
                <w:b/>
                <w:szCs w:val="24"/>
                <w:lang w:eastAsia="cs-CZ"/>
              </w:rPr>
              <w:t>Návrh</w:t>
            </w:r>
          </w:p>
          <w:p w14:paraId="104CBD8E" w14:textId="77777777" w:rsidR="00535DE4" w:rsidRPr="0052134B" w:rsidRDefault="00535DE4" w:rsidP="00776B6E">
            <w:pPr>
              <w:jc w:val="center"/>
              <w:rPr>
                <w:rFonts w:eastAsia="Times New Roman" w:cs="Times New Roman"/>
                <w:b/>
                <w:szCs w:val="24"/>
                <w:lang w:eastAsia="cs-CZ"/>
              </w:rPr>
            </w:pPr>
            <w:r w:rsidRPr="0052134B">
              <w:rPr>
                <w:rFonts w:eastAsia="Times New Roman" w:cs="Times New Roman"/>
                <w:b/>
                <w:szCs w:val="24"/>
                <w:lang w:eastAsia="cs-CZ"/>
              </w:rPr>
              <w:t>rozpočtu</w:t>
            </w:r>
          </w:p>
          <w:p w14:paraId="6B10A7F5" w14:textId="37FC14CE" w:rsidR="00535DE4" w:rsidRPr="0052134B" w:rsidRDefault="00D533D3" w:rsidP="00776B6E">
            <w:pPr>
              <w:jc w:val="center"/>
              <w:rPr>
                <w:rFonts w:eastAsia="Times New Roman" w:cs="Times New Roman"/>
                <w:b/>
                <w:szCs w:val="24"/>
                <w:lang w:eastAsia="cs-CZ"/>
              </w:rPr>
            </w:pPr>
            <w:r w:rsidRPr="0052134B">
              <w:rPr>
                <w:rFonts w:eastAsia="Times New Roman" w:cs="Times New Roman"/>
                <w:b/>
                <w:szCs w:val="24"/>
                <w:lang w:eastAsia="cs-CZ"/>
              </w:rPr>
              <w:t>202</w:t>
            </w:r>
            <w:r w:rsidR="0052134B" w:rsidRPr="0052134B">
              <w:rPr>
                <w:rFonts w:eastAsia="Times New Roman" w:cs="Times New Roman"/>
                <w:b/>
                <w:szCs w:val="24"/>
                <w:lang w:eastAsia="cs-CZ"/>
              </w:rPr>
              <w:t>5</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90844C2" w14:textId="77777777" w:rsidR="00535DE4" w:rsidRPr="0052134B" w:rsidRDefault="00535DE4" w:rsidP="00776B6E">
            <w:pPr>
              <w:jc w:val="center"/>
              <w:rPr>
                <w:rFonts w:eastAsia="Times New Roman" w:cs="Times New Roman"/>
                <w:b/>
                <w:szCs w:val="24"/>
                <w:lang w:eastAsia="cs-CZ"/>
              </w:rPr>
            </w:pPr>
            <w:r w:rsidRPr="0052134B">
              <w:rPr>
                <w:rFonts w:eastAsia="Times New Roman" w:cs="Times New Roman"/>
                <w:b/>
                <w:szCs w:val="24"/>
                <w:lang w:eastAsia="cs-CZ"/>
              </w:rPr>
              <w:t>Index</w:t>
            </w:r>
          </w:p>
          <w:p w14:paraId="4D42AFE6" w14:textId="6EC42B5E" w:rsidR="00535DE4" w:rsidRPr="0052134B" w:rsidRDefault="00D533D3" w:rsidP="00776B6E">
            <w:pPr>
              <w:jc w:val="center"/>
              <w:rPr>
                <w:rFonts w:eastAsia="Times New Roman" w:cs="Times New Roman"/>
                <w:b/>
                <w:szCs w:val="24"/>
                <w:lang w:eastAsia="cs-CZ"/>
              </w:rPr>
            </w:pPr>
            <w:r w:rsidRPr="0052134B">
              <w:rPr>
                <w:rFonts w:eastAsia="Times New Roman" w:cs="Times New Roman"/>
                <w:b/>
                <w:szCs w:val="24"/>
                <w:lang w:eastAsia="cs-CZ"/>
              </w:rPr>
              <w:t>202</w:t>
            </w:r>
            <w:r w:rsidR="0052134B" w:rsidRPr="0052134B">
              <w:rPr>
                <w:rFonts w:eastAsia="Times New Roman" w:cs="Times New Roman"/>
                <w:b/>
                <w:szCs w:val="24"/>
                <w:lang w:eastAsia="cs-CZ"/>
              </w:rPr>
              <w:t>5</w:t>
            </w:r>
            <w:r w:rsidR="00535DE4" w:rsidRPr="0052134B">
              <w:rPr>
                <w:rFonts w:eastAsia="Times New Roman" w:cs="Times New Roman"/>
                <w:b/>
                <w:szCs w:val="24"/>
                <w:lang w:eastAsia="cs-CZ"/>
              </w:rPr>
              <w:t>/</w:t>
            </w:r>
            <w:r w:rsidR="00535DE4" w:rsidRPr="0052134B">
              <w:rPr>
                <w:rFonts w:eastAsia="Times New Roman" w:cs="Times New Roman"/>
                <w:b/>
                <w:szCs w:val="24"/>
                <w:lang w:eastAsia="cs-CZ"/>
              </w:rPr>
              <w:br/>
            </w:r>
            <w:r w:rsidRPr="0052134B">
              <w:rPr>
                <w:rFonts w:eastAsia="Times New Roman" w:cs="Times New Roman"/>
                <w:b/>
                <w:szCs w:val="24"/>
                <w:lang w:eastAsia="cs-CZ"/>
              </w:rPr>
              <w:t>202</w:t>
            </w:r>
            <w:r w:rsidR="0052134B" w:rsidRPr="0052134B">
              <w:rPr>
                <w:rFonts w:eastAsia="Times New Roman" w:cs="Times New Roman"/>
                <w:b/>
                <w:szCs w:val="24"/>
                <w:lang w:eastAsia="cs-CZ"/>
              </w:rPr>
              <w:t>4</w:t>
            </w:r>
            <w:r w:rsidRPr="0052134B">
              <w:rPr>
                <w:rFonts w:eastAsia="Times New Roman" w:cs="Times New Roman"/>
                <w:b/>
                <w:szCs w:val="24"/>
                <w:lang w:eastAsia="cs-CZ"/>
              </w:rPr>
              <w:t xml:space="preserve"> </w:t>
            </w:r>
            <w:r w:rsidR="00535DE4" w:rsidRPr="0052134B">
              <w:rPr>
                <w:rFonts w:eastAsia="Times New Roman" w:cs="Times New Roman"/>
                <w:b/>
                <w:szCs w:val="24"/>
                <w:lang w:eastAsia="cs-CZ"/>
              </w:rPr>
              <w:br/>
              <w:t>(v %)</w:t>
            </w:r>
          </w:p>
        </w:tc>
      </w:tr>
      <w:tr w:rsidR="00C5296E" w:rsidRPr="0052134B" w14:paraId="4AC44D4E" w14:textId="77777777" w:rsidTr="00776B6E">
        <w:tc>
          <w:tcPr>
            <w:tcW w:w="4320" w:type="dxa"/>
            <w:tcBorders>
              <w:top w:val="single" w:sz="4" w:space="0" w:color="7F7F7F" w:themeColor="text1" w:themeTint="80"/>
              <w:bottom w:val="single" w:sz="8" w:space="0" w:color="7F7F7F" w:themeColor="text1" w:themeTint="80"/>
            </w:tcBorders>
            <w:shd w:val="clear" w:color="auto" w:fill="auto"/>
          </w:tcPr>
          <w:p w14:paraId="7A282299" w14:textId="77777777" w:rsidR="00535DE4" w:rsidRPr="0052134B" w:rsidRDefault="00535DE4" w:rsidP="00776B6E">
            <w:pPr>
              <w:jc w:val="center"/>
              <w:rPr>
                <w:rFonts w:eastAsia="Times New Roman" w:cs="Times New Roman"/>
                <w:szCs w:val="24"/>
                <w:lang w:eastAsia="cs-CZ"/>
              </w:rPr>
            </w:pPr>
            <w:r w:rsidRPr="0052134B">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70C4393F" w14:textId="77777777" w:rsidR="00535DE4" w:rsidRPr="0052134B" w:rsidRDefault="00535DE4" w:rsidP="00776B6E">
            <w:pPr>
              <w:jc w:val="center"/>
              <w:rPr>
                <w:rFonts w:eastAsia="Times New Roman" w:cs="Times New Roman"/>
                <w:szCs w:val="24"/>
                <w:lang w:eastAsia="cs-CZ"/>
              </w:rPr>
            </w:pPr>
            <w:r w:rsidRPr="0052134B">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32D514DB" w14:textId="77777777" w:rsidR="00535DE4" w:rsidRPr="0052134B" w:rsidRDefault="00535DE4" w:rsidP="00776B6E">
            <w:pPr>
              <w:jc w:val="center"/>
              <w:rPr>
                <w:rFonts w:eastAsia="Times New Roman" w:cs="Times New Roman"/>
                <w:szCs w:val="24"/>
                <w:lang w:eastAsia="cs-CZ"/>
              </w:rPr>
            </w:pPr>
            <w:r w:rsidRPr="0052134B">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338DEFD9" w14:textId="77777777" w:rsidR="00535DE4" w:rsidRPr="0052134B" w:rsidRDefault="00535DE4" w:rsidP="00776B6E">
            <w:pPr>
              <w:jc w:val="center"/>
              <w:rPr>
                <w:rFonts w:eastAsia="Times New Roman" w:cs="Times New Roman"/>
                <w:szCs w:val="24"/>
                <w:lang w:eastAsia="cs-CZ"/>
              </w:rPr>
            </w:pPr>
            <w:r w:rsidRPr="0052134B">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67372CF3" w14:textId="77777777" w:rsidR="00535DE4" w:rsidRPr="0052134B" w:rsidRDefault="00535DE4" w:rsidP="00776B6E">
            <w:pPr>
              <w:jc w:val="center"/>
              <w:rPr>
                <w:rFonts w:eastAsia="Times New Roman" w:cs="Times New Roman"/>
                <w:szCs w:val="24"/>
                <w:lang w:eastAsia="cs-CZ"/>
              </w:rPr>
            </w:pPr>
            <w:r w:rsidRPr="0052134B">
              <w:rPr>
                <w:rFonts w:eastAsia="Times New Roman" w:cs="Times New Roman"/>
                <w:szCs w:val="24"/>
                <w:lang w:eastAsia="cs-CZ"/>
              </w:rPr>
              <w:t>4</w:t>
            </w:r>
          </w:p>
        </w:tc>
      </w:tr>
      <w:tr w:rsidR="0052134B" w:rsidRPr="0052134B" w14:paraId="42EFC65C" w14:textId="77777777" w:rsidTr="0052134B">
        <w:trPr>
          <w:trHeight w:val="468"/>
        </w:trPr>
        <w:tc>
          <w:tcPr>
            <w:tcW w:w="4320" w:type="dxa"/>
            <w:tcBorders>
              <w:top w:val="single" w:sz="8" w:space="0" w:color="7F7F7F" w:themeColor="text1" w:themeTint="80"/>
              <w:bottom w:val="single" w:sz="8" w:space="0" w:color="7F7F7F" w:themeColor="text1" w:themeTint="80"/>
            </w:tcBorders>
            <w:shd w:val="clear" w:color="auto" w:fill="auto"/>
          </w:tcPr>
          <w:p w14:paraId="67D679CF" w14:textId="77777777" w:rsidR="0052134B" w:rsidRPr="0052134B" w:rsidRDefault="0052134B" w:rsidP="0052134B">
            <w:pPr>
              <w:spacing w:before="81"/>
              <w:rPr>
                <w:rFonts w:eastAsia="Times New Roman" w:cs="Times New Roman"/>
                <w:lang w:eastAsia="cs-CZ"/>
              </w:rPr>
            </w:pPr>
            <w:r w:rsidRPr="0052134B">
              <w:rPr>
                <w:rFonts w:eastAsia="Times New Roman" w:cs="Times New Roman"/>
                <w:b/>
                <w:bCs/>
                <w:lang w:eastAsia="cs-CZ"/>
              </w:rPr>
              <w:lastRenderedPageBreak/>
              <w:t xml:space="preserve">Běžné výdaje </w:t>
            </w:r>
            <w:r w:rsidRPr="0052134B">
              <w:rPr>
                <w:rFonts w:eastAsia="Times New Roman" w:cs="Times New Roman"/>
                <w:lang w:eastAsia="cs-CZ"/>
              </w:rPr>
              <w:t xml:space="preserve">v tom: </w:t>
            </w:r>
          </w:p>
        </w:tc>
        <w:tc>
          <w:tcPr>
            <w:tcW w:w="1340" w:type="dxa"/>
            <w:tcBorders>
              <w:top w:val="single" w:sz="8" w:space="0" w:color="7F7F7F" w:themeColor="text1" w:themeTint="80"/>
              <w:bottom w:val="single" w:sz="8" w:space="0" w:color="7F7F7F" w:themeColor="text1" w:themeTint="80"/>
            </w:tcBorders>
            <w:shd w:val="clear" w:color="auto" w:fill="auto"/>
            <w:vAlign w:val="center"/>
          </w:tcPr>
          <w:p w14:paraId="2A0BD730" w14:textId="1AC31EC5" w:rsidR="0052134B" w:rsidRPr="0052134B" w:rsidRDefault="0052134B" w:rsidP="0052134B">
            <w:pPr>
              <w:jc w:val="right"/>
              <w:rPr>
                <w:rFonts w:eastAsia="Times New Roman" w:cs="Times New Roman"/>
                <w:b/>
                <w:bCs/>
                <w:lang w:eastAsia="cs-CZ"/>
              </w:rPr>
            </w:pPr>
            <w:r w:rsidRPr="0052134B">
              <w:rPr>
                <w:rFonts w:eastAsia="Times New Roman" w:cs="Times New Roman"/>
                <w:b/>
                <w:bCs/>
                <w:lang w:eastAsia="cs-CZ"/>
              </w:rPr>
              <w:t>34 336</w:t>
            </w:r>
          </w:p>
        </w:tc>
        <w:tc>
          <w:tcPr>
            <w:tcW w:w="1276" w:type="dxa"/>
            <w:tcBorders>
              <w:top w:val="single" w:sz="8" w:space="0" w:color="7F7F7F" w:themeColor="text1" w:themeTint="80"/>
              <w:bottom w:val="single" w:sz="8" w:space="0" w:color="7F7F7F" w:themeColor="text1" w:themeTint="80"/>
            </w:tcBorders>
            <w:shd w:val="clear" w:color="auto" w:fill="auto"/>
            <w:vAlign w:val="center"/>
          </w:tcPr>
          <w:p w14:paraId="234B0FE0" w14:textId="0EE3B7DE" w:rsidR="0052134B" w:rsidRPr="0052134B" w:rsidRDefault="0052134B" w:rsidP="0052134B">
            <w:pPr>
              <w:jc w:val="right"/>
              <w:rPr>
                <w:rFonts w:eastAsia="Times New Roman" w:cs="Times New Roman"/>
                <w:b/>
                <w:color w:val="FF0000"/>
                <w:lang w:eastAsia="cs-CZ"/>
              </w:rPr>
            </w:pPr>
            <w:r w:rsidRPr="0052134B">
              <w:rPr>
                <w:rFonts w:eastAsia="Times New Roman" w:cs="Times New Roman"/>
                <w:b/>
                <w:bCs/>
                <w:szCs w:val="24"/>
                <w:lang w:eastAsia="cs-CZ"/>
              </w:rPr>
              <w:t>20 920</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11ACCA23" w14:textId="1862C4BA" w:rsidR="0052134B" w:rsidRPr="0052134B" w:rsidRDefault="0052134B" w:rsidP="0052134B">
            <w:pPr>
              <w:jc w:val="right"/>
              <w:rPr>
                <w:rFonts w:eastAsia="Times New Roman" w:cs="Times New Roman"/>
                <w:b/>
                <w:lang w:eastAsia="cs-CZ"/>
              </w:rPr>
            </w:pPr>
            <w:r w:rsidRPr="0052134B">
              <w:rPr>
                <w:rFonts w:eastAsia="Times New Roman" w:cs="Times New Roman"/>
                <w:b/>
                <w:lang w:eastAsia="cs-CZ"/>
              </w:rPr>
              <w:t>21 395</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2CD35850" w14:textId="62EE3994" w:rsidR="0052134B" w:rsidRPr="0052134B" w:rsidRDefault="0052134B" w:rsidP="0052134B">
            <w:pPr>
              <w:jc w:val="right"/>
              <w:rPr>
                <w:rFonts w:eastAsia="Times New Roman" w:cs="Times New Roman"/>
                <w:b/>
                <w:lang w:eastAsia="cs-CZ"/>
              </w:rPr>
            </w:pPr>
            <w:r w:rsidRPr="0052134B">
              <w:rPr>
                <w:rFonts w:eastAsia="Times New Roman" w:cs="Times New Roman"/>
                <w:b/>
                <w:lang w:eastAsia="cs-CZ"/>
              </w:rPr>
              <w:t>102,27</w:t>
            </w:r>
          </w:p>
        </w:tc>
      </w:tr>
      <w:tr w:rsidR="0052134B" w:rsidRPr="0052134B" w14:paraId="5DFA6E32" w14:textId="77777777" w:rsidTr="0052134B">
        <w:tc>
          <w:tcPr>
            <w:tcW w:w="4320" w:type="dxa"/>
            <w:tcBorders>
              <w:top w:val="single" w:sz="8" w:space="0" w:color="7F7F7F" w:themeColor="text1" w:themeTint="80"/>
              <w:bottom w:val="nil"/>
            </w:tcBorders>
            <w:shd w:val="clear" w:color="auto" w:fill="auto"/>
          </w:tcPr>
          <w:p w14:paraId="03999456" w14:textId="77777777" w:rsidR="0052134B" w:rsidRPr="0052134B" w:rsidRDefault="0052134B" w:rsidP="0052134B">
            <w:pPr>
              <w:rPr>
                <w:rFonts w:eastAsia="Times New Roman" w:cs="Times New Roman"/>
                <w:lang w:eastAsia="cs-CZ"/>
              </w:rPr>
            </w:pPr>
            <w:r w:rsidRPr="0052134B">
              <w:rPr>
                <w:rFonts w:eastAsia="Times New Roman" w:cs="Times New Roman"/>
                <w:lang w:eastAsia="cs-CZ"/>
              </w:rPr>
              <w:t>platy zaměstnanců a ostatní platby</w:t>
            </w:r>
          </w:p>
          <w:p w14:paraId="35DC63B6" w14:textId="77777777" w:rsidR="0052134B" w:rsidRPr="0052134B" w:rsidRDefault="0052134B" w:rsidP="0052134B">
            <w:pPr>
              <w:rPr>
                <w:rFonts w:eastAsia="Times New Roman" w:cs="Times New Roman"/>
                <w:lang w:eastAsia="cs-CZ"/>
              </w:rPr>
            </w:pPr>
            <w:r w:rsidRPr="0052134B">
              <w:rPr>
                <w:rFonts w:eastAsia="Times New Roman" w:cs="Times New Roman"/>
                <w:lang w:eastAsia="cs-CZ"/>
              </w:rPr>
              <w:t>za provedenou práci</w:t>
            </w:r>
          </w:p>
        </w:tc>
        <w:tc>
          <w:tcPr>
            <w:tcW w:w="1340" w:type="dxa"/>
            <w:tcBorders>
              <w:top w:val="single" w:sz="8" w:space="0" w:color="7F7F7F" w:themeColor="text1" w:themeTint="80"/>
              <w:bottom w:val="nil"/>
            </w:tcBorders>
            <w:shd w:val="clear" w:color="auto" w:fill="auto"/>
            <w:vAlign w:val="center"/>
          </w:tcPr>
          <w:p w14:paraId="62EA06FF" w14:textId="0CEE7923"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7 211</w:t>
            </w:r>
          </w:p>
        </w:tc>
        <w:tc>
          <w:tcPr>
            <w:tcW w:w="1276" w:type="dxa"/>
            <w:tcBorders>
              <w:top w:val="single" w:sz="8" w:space="0" w:color="7F7F7F" w:themeColor="text1" w:themeTint="80"/>
              <w:bottom w:val="nil"/>
            </w:tcBorders>
            <w:shd w:val="clear" w:color="auto" w:fill="auto"/>
            <w:vAlign w:val="center"/>
          </w:tcPr>
          <w:p w14:paraId="471B4239" w14:textId="24F62A3F" w:rsidR="0052134B" w:rsidRPr="0052134B" w:rsidRDefault="0052134B" w:rsidP="0052134B">
            <w:pPr>
              <w:jc w:val="right"/>
              <w:rPr>
                <w:rFonts w:eastAsia="Times New Roman" w:cs="Times New Roman"/>
                <w:color w:val="FF0000"/>
                <w:lang w:eastAsia="cs-CZ"/>
              </w:rPr>
            </w:pPr>
            <w:r w:rsidRPr="0052134B">
              <w:rPr>
                <w:rFonts w:eastAsia="Times New Roman" w:cs="Times New Roman"/>
                <w:szCs w:val="24"/>
                <w:lang w:eastAsia="cs-CZ"/>
              </w:rPr>
              <w:t>7 068</w:t>
            </w:r>
          </w:p>
        </w:tc>
        <w:tc>
          <w:tcPr>
            <w:tcW w:w="1134" w:type="dxa"/>
            <w:tcBorders>
              <w:top w:val="single" w:sz="8" w:space="0" w:color="7F7F7F" w:themeColor="text1" w:themeTint="80"/>
              <w:bottom w:val="nil"/>
            </w:tcBorders>
            <w:shd w:val="clear" w:color="auto" w:fill="auto"/>
            <w:vAlign w:val="center"/>
          </w:tcPr>
          <w:p w14:paraId="7BC85986" w14:textId="521388B3" w:rsidR="0052134B" w:rsidRPr="0052134B" w:rsidRDefault="0052134B" w:rsidP="0052134B">
            <w:pPr>
              <w:jc w:val="right"/>
              <w:rPr>
                <w:rFonts w:eastAsia="Times New Roman" w:cs="Times New Roman"/>
                <w:lang w:eastAsia="cs-CZ"/>
              </w:rPr>
            </w:pPr>
            <w:r w:rsidRPr="0052134B">
              <w:rPr>
                <w:rFonts w:eastAsia="Times New Roman" w:cs="Times New Roman"/>
                <w:szCs w:val="24"/>
                <w:lang w:eastAsia="cs-CZ"/>
              </w:rPr>
              <w:t>7 420</w:t>
            </w:r>
          </w:p>
        </w:tc>
        <w:tc>
          <w:tcPr>
            <w:tcW w:w="992" w:type="dxa"/>
            <w:tcBorders>
              <w:top w:val="single" w:sz="8" w:space="0" w:color="7F7F7F" w:themeColor="text1" w:themeTint="80"/>
              <w:bottom w:val="nil"/>
            </w:tcBorders>
            <w:shd w:val="clear" w:color="auto" w:fill="auto"/>
            <w:vAlign w:val="center"/>
          </w:tcPr>
          <w:p w14:paraId="501F5B32" w14:textId="5E997AAC"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104,98</w:t>
            </w:r>
          </w:p>
        </w:tc>
      </w:tr>
      <w:tr w:rsidR="0052134B" w:rsidRPr="0052134B" w14:paraId="47914660" w14:textId="77777777" w:rsidTr="0052134B">
        <w:tc>
          <w:tcPr>
            <w:tcW w:w="4320" w:type="dxa"/>
            <w:tcBorders>
              <w:top w:val="single" w:sz="4" w:space="0" w:color="7F7F7F" w:themeColor="text1" w:themeTint="80"/>
              <w:bottom w:val="nil"/>
            </w:tcBorders>
            <w:shd w:val="clear" w:color="auto" w:fill="auto"/>
          </w:tcPr>
          <w:p w14:paraId="6B62569E" w14:textId="77777777" w:rsidR="0052134B" w:rsidRPr="0052134B" w:rsidRDefault="0052134B" w:rsidP="0052134B">
            <w:pPr>
              <w:rPr>
                <w:rFonts w:eastAsia="Times New Roman" w:cs="Times New Roman"/>
                <w:lang w:eastAsia="cs-CZ"/>
              </w:rPr>
            </w:pPr>
            <w:r w:rsidRPr="0052134B">
              <w:rPr>
                <w:rFonts w:eastAsia="Times New Roman" w:cs="Times New Roman"/>
                <w:lang w:eastAsia="cs-CZ"/>
              </w:rPr>
              <w:t>povinné pojistné placené zaměstnavatelem</w:t>
            </w:r>
          </w:p>
        </w:tc>
        <w:tc>
          <w:tcPr>
            <w:tcW w:w="1340" w:type="dxa"/>
            <w:tcBorders>
              <w:top w:val="single" w:sz="4" w:space="0" w:color="7F7F7F" w:themeColor="text1" w:themeTint="80"/>
              <w:bottom w:val="nil"/>
            </w:tcBorders>
            <w:shd w:val="clear" w:color="auto" w:fill="auto"/>
            <w:vAlign w:val="center"/>
          </w:tcPr>
          <w:p w14:paraId="36A1DF2A" w14:textId="6EA3DCE1"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2 437</w:t>
            </w:r>
          </w:p>
        </w:tc>
        <w:tc>
          <w:tcPr>
            <w:tcW w:w="1276" w:type="dxa"/>
            <w:tcBorders>
              <w:top w:val="single" w:sz="4" w:space="0" w:color="7F7F7F" w:themeColor="text1" w:themeTint="80"/>
              <w:bottom w:val="nil"/>
            </w:tcBorders>
            <w:shd w:val="clear" w:color="auto" w:fill="auto"/>
            <w:vAlign w:val="center"/>
          </w:tcPr>
          <w:p w14:paraId="7AFB1A28" w14:textId="591F11E6" w:rsidR="0052134B" w:rsidRPr="0052134B" w:rsidRDefault="0052134B" w:rsidP="0052134B">
            <w:pPr>
              <w:jc w:val="right"/>
              <w:rPr>
                <w:rFonts w:eastAsia="Times New Roman" w:cs="Times New Roman"/>
                <w:color w:val="FF0000"/>
                <w:lang w:eastAsia="cs-CZ"/>
              </w:rPr>
            </w:pPr>
            <w:r w:rsidRPr="0052134B">
              <w:rPr>
                <w:rFonts w:eastAsia="Times New Roman" w:cs="Times New Roman"/>
                <w:szCs w:val="24"/>
                <w:lang w:eastAsia="cs-CZ"/>
              </w:rPr>
              <w:t>2 389</w:t>
            </w:r>
          </w:p>
        </w:tc>
        <w:tc>
          <w:tcPr>
            <w:tcW w:w="1134" w:type="dxa"/>
            <w:tcBorders>
              <w:top w:val="single" w:sz="4" w:space="0" w:color="7F7F7F" w:themeColor="text1" w:themeTint="80"/>
              <w:bottom w:val="nil"/>
            </w:tcBorders>
            <w:shd w:val="clear" w:color="auto" w:fill="auto"/>
            <w:vAlign w:val="center"/>
          </w:tcPr>
          <w:p w14:paraId="0E2770D0" w14:textId="52701C49" w:rsidR="0052134B" w:rsidRPr="0052134B" w:rsidRDefault="0052134B" w:rsidP="0052134B">
            <w:pPr>
              <w:jc w:val="right"/>
              <w:rPr>
                <w:rFonts w:eastAsia="Times New Roman" w:cs="Times New Roman"/>
                <w:lang w:eastAsia="cs-CZ"/>
              </w:rPr>
            </w:pPr>
            <w:r w:rsidRPr="0052134B">
              <w:rPr>
                <w:rFonts w:eastAsia="Times New Roman" w:cs="Times New Roman"/>
                <w:szCs w:val="24"/>
                <w:lang w:eastAsia="cs-CZ"/>
              </w:rPr>
              <w:t>2 508</w:t>
            </w:r>
          </w:p>
        </w:tc>
        <w:tc>
          <w:tcPr>
            <w:tcW w:w="992" w:type="dxa"/>
            <w:tcBorders>
              <w:top w:val="single" w:sz="4" w:space="0" w:color="7F7F7F" w:themeColor="text1" w:themeTint="80"/>
              <w:bottom w:val="nil"/>
            </w:tcBorders>
            <w:shd w:val="clear" w:color="auto" w:fill="auto"/>
            <w:vAlign w:val="center"/>
          </w:tcPr>
          <w:p w14:paraId="1A1F8DD8" w14:textId="7AAC4E88"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104,98</w:t>
            </w:r>
          </w:p>
        </w:tc>
      </w:tr>
      <w:tr w:rsidR="0052134B" w:rsidRPr="0052134B" w14:paraId="29B03088" w14:textId="77777777" w:rsidTr="0052134B">
        <w:tc>
          <w:tcPr>
            <w:tcW w:w="4320" w:type="dxa"/>
            <w:tcBorders>
              <w:top w:val="single" w:sz="4" w:space="0" w:color="7F7F7F" w:themeColor="text1" w:themeTint="80"/>
              <w:bottom w:val="nil"/>
            </w:tcBorders>
            <w:shd w:val="clear" w:color="auto" w:fill="auto"/>
          </w:tcPr>
          <w:p w14:paraId="2B459F7A" w14:textId="77777777" w:rsidR="0052134B" w:rsidRPr="0052134B" w:rsidRDefault="0052134B" w:rsidP="0052134B">
            <w:pPr>
              <w:rPr>
                <w:rFonts w:eastAsia="Times New Roman" w:cs="Times New Roman"/>
                <w:lang w:eastAsia="cs-CZ"/>
              </w:rPr>
            </w:pPr>
            <w:r w:rsidRPr="0052134B">
              <w:rPr>
                <w:rFonts w:eastAsia="Times New Roman" w:cs="Times New Roman"/>
                <w:lang w:eastAsia="cs-CZ"/>
              </w:rPr>
              <w:t>příděl FKSP</w:t>
            </w:r>
          </w:p>
        </w:tc>
        <w:tc>
          <w:tcPr>
            <w:tcW w:w="1340" w:type="dxa"/>
            <w:tcBorders>
              <w:top w:val="single" w:sz="4" w:space="0" w:color="7F7F7F" w:themeColor="text1" w:themeTint="80"/>
              <w:bottom w:val="nil"/>
            </w:tcBorders>
            <w:shd w:val="clear" w:color="auto" w:fill="auto"/>
            <w:vAlign w:val="center"/>
          </w:tcPr>
          <w:p w14:paraId="2903D38E" w14:textId="029BB039"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144</w:t>
            </w:r>
          </w:p>
        </w:tc>
        <w:tc>
          <w:tcPr>
            <w:tcW w:w="1276" w:type="dxa"/>
            <w:tcBorders>
              <w:top w:val="single" w:sz="4" w:space="0" w:color="7F7F7F" w:themeColor="text1" w:themeTint="80"/>
              <w:bottom w:val="nil"/>
            </w:tcBorders>
            <w:shd w:val="clear" w:color="auto" w:fill="auto"/>
            <w:vAlign w:val="center"/>
          </w:tcPr>
          <w:p w14:paraId="12D7A5F6" w14:textId="186F03F0" w:rsidR="0052134B" w:rsidRPr="0052134B" w:rsidRDefault="0052134B" w:rsidP="0052134B">
            <w:pPr>
              <w:jc w:val="right"/>
              <w:rPr>
                <w:rFonts w:eastAsia="Times New Roman" w:cs="Times New Roman"/>
                <w:color w:val="FF0000"/>
                <w:lang w:eastAsia="cs-CZ"/>
              </w:rPr>
            </w:pPr>
            <w:r w:rsidRPr="0052134B">
              <w:rPr>
                <w:rFonts w:eastAsia="Times New Roman" w:cs="Times New Roman"/>
                <w:szCs w:val="24"/>
                <w:lang w:eastAsia="cs-CZ"/>
              </w:rPr>
              <w:t>70</w:t>
            </w:r>
          </w:p>
        </w:tc>
        <w:tc>
          <w:tcPr>
            <w:tcW w:w="1134" w:type="dxa"/>
            <w:tcBorders>
              <w:top w:val="single" w:sz="4" w:space="0" w:color="7F7F7F" w:themeColor="text1" w:themeTint="80"/>
              <w:bottom w:val="nil"/>
            </w:tcBorders>
            <w:shd w:val="clear" w:color="auto" w:fill="auto"/>
            <w:vAlign w:val="center"/>
          </w:tcPr>
          <w:p w14:paraId="76068AC2" w14:textId="31F9ED85" w:rsidR="0052134B" w:rsidRPr="0052134B" w:rsidRDefault="0052134B" w:rsidP="0052134B">
            <w:pPr>
              <w:jc w:val="right"/>
              <w:rPr>
                <w:rFonts w:eastAsia="Times New Roman" w:cs="Times New Roman"/>
                <w:lang w:eastAsia="cs-CZ"/>
              </w:rPr>
            </w:pPr>
            <w:r w:rsidRPr="0052134B">
              <w:rPr>
                <w:rFonts w:eastAsia="Times New Roman" w:cs="Times New Roman"/>
                <w:szCs w:val="24"/>
                <w:lang w:eastAsia="cs-CZ"/>
              </w:rPr>
              <w:t>74</w:t>
            </w:r>
          </w:p>
        </w:tc>
        <w:tc>
          <w:tcPr>
            <w:tcW w:w="992" w:type="dxa"/>
            <w:tcBorders>
              <w:top w:val="single" w:sz="4" w:space="0" w:color="7F7F7F" w:themeColor="text1" w:themeTint="80"/>
              <w:bottom w:val="nil"/>
            </w:tcBorders>
            <w:shd w:val="clear" w:color="auto" w:fill="auto"/>
            <w:vAlign w:val="center"/>
          </w:tcPr>
          <w:p w14:paraId="74061DBF" w14:textId="425B04EA"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105,71</w:t>
            </w:r>
          </w:p>
        </w:tc>
      </w:tr>
      <w:tr w:rsidR="0052134B" w:rsidRPr="0052134B" w14:paraId="08728246" w14:textId="77777777" w:rsidTr="0052134B">
        <w:tc>
          <w:tcPr>
            <w:tcW w:w="4320" w:type="dxa"/>
            <w:tcBorders>
              <w:top w:val="single" w:sz="4" w:space="0" w:color="7F7F7F" w:themeColor="text1" w:themeTint="80"/>
              <w:bottom w:val="nil"/>
            </w:tcBorders>
            <w:shd w:val="clear" w:color="auto" w:fill="auto"/>
          </w:tcPr>
          <w:p w14:paraId="6742ACE4" w14:textId="77777777" w:rsidR="0052134B" w:rsidRPr="0052134B" w:rsidRDefault="0052134B" w:rsidP="0052134B">
            <w:pPr>
              <w:rPr>
                <w:rFonts w:eastAsia="Times New Roman" w:cs="Times New Roman"/>
                <w:lang w:eastAsia="cs-CZ"/>
              </w:rPr>
            </w:pPr>
            <w:r w:rsidRPr="0052134B">
              <w:rPr>
                <w:rFonts w:eastAsia="Times New Roman" w:cs="Times New Roman"/>
                <w:lang w:eastAsia="cs-CZ"/>
              </w:rPr>
              <w:t>ostatní neinvestiční nákupy a související výdaje</w:t>
            </w:r>
          </w:p>
        </w:tc>
        <w:tc>
          <w:tcPr>
            <w:tcW w:w="1340" w:type="dxa"/>
            <w:tcBorders>
              <w:top w:val="single" w:sz="4" w:space="0" w:color="7F7F7F" w:themeColor="text1" w:themeTint="80"/>
              <w:bottom w:val="nil"/>
            </w:tcBorders>
            <w:shd w:val="clear" w:color="auto" w:fill="auto"/>
            <w:vAlign w:val="center"/>
          </w:tcPr>
          <w:p w14:paraId="03EF9EB8" w14:textId="1D6D6EEE"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24 544</w:t>
            </w:r>
          </w:p>
        </w:tc>
        <w:tc>
          <w:tcPr>
            <w:tcW w:w="1276" w:type="dxa"/>
            <w:tcBorders>
              <w:top w:val="single" w:sz="4" w:space="0" w:color="7F7F7F" w:themeColor="text1" w:themeTint="80"/>
              <w:bottom w:val="nil"/>
            </w:tcBorders>
            <w:shd w:val="clear" w:color="auto" w:fill="auto"/>
            <w:vAlign w:val="center"/>
          </w:tcPr>
          <w:p w14:paraId="1AA89DF0" w14:textId="16146C92" w:rsidR="0052134B" w:rsidRPr="0052134B" w:rsidRDefault="0052134B" w:rsidP="0052134B">
            <w:pPr>
              <w:jc w:val="right"/>
              <w:rPr>
                <w:rFonts w:eastAsia="Times New Roman" w:cs="Times New Roman"/>
                <w:color w:val="FF0000"/>
                <w:lang w:eastAsia="cs-CZ"/>
              </w:rPr>
            </w:pPr>
            <w:r w:rsidRPr="0052134B">
              <w:rPr>
                <w:rFonts w:eastAsia="Times New Roman" w:cs="Times New Roman"/>
                <w:szCs w:val="24"/>
                <w:lang w:eastAsia="cs-CZ"/>
              </w:rPr>
              <w:t>11 393</w:t>
            </w:r>
          </w:p>
        </w:tc>
        <w:tc>
          <w:tcPr>
            <w:tcW w:w="1134" w:type="dxa"/>
            <w:tcBorders>
              <w:top w:val="single" w:sz="4" w:space="0" w:color="7F7F7F" w:themeColor="text1" w:themeTint="80"/>
              <w:bottom w:val="nil"/>
            </w:tcBorders>
            <w:shd w:val="clear" w:color="auto" w:fill="auto"/>
            <w:vAlign w:val="center"/>
          </w:tcPr>
          <w:p w14:paraId="51BFB04A" w14:textId="5D2E8D25"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11 393</w:t>
            </w:r>
          </w:p>
        </w:tc>
        <w:tc>
          <w:tcPr>
            <w:tcW w:w="992" w:type="dxa"/>
            <w:tcBorders>
              <w:top w:val="single" w:sz="4" w:space="0" w:color="7F7F7F" w:themeColor="text1" w:themeTint="80"/>
              <w:bottom w:val="nil"/>
            </w:tcBorders>
            <w:shd w:val="clear" w:color="auto" w:fill="auto"/>
            <w:vAlign w:val="center"/>
          </w:tcPr>
          <w:p w14:paraId="41DAF840" w14:textId="4A84A01A" w:rsidR="0052134B" w:rsidRPr="0052134B" w:rsidRDefault="0052134B" w:rsidP="0052134B">
            <w:pPr>
              <w:jc w:val="right"/>
              <w:rPr>
                <w:rFonts w:eastAsia="Times New Roman" w:cs="Times New Roman"/>
                <w:lang w:eastAsia="cs-CZ"/>
              </w:rPr>
            </w:pPr>
            <w:r w:rsidRPr="0052134B">
              <w:rPr>
                <w:rFonts w:eastAsia="Times New Roman" w:cs="Times New Roman"/>
                <w:lang w:eastAsia="cs-CZ"/>
              </w:rPr>
              <w:t>100,00</w:t>
            </w:r>
          </w:p>
        </w:tc>
      </w:tr>
      <w:tr w:rsidR="0052134B" w:rsidRPr="00D070B8" w14:paraId="5AF7CD6F" w14:textId="77777777" w:rsidTr="0052134B">
        <w:tc>
          <w:tcPr>
            <w:tcW w:w="4320" w:type="dxa"/>
            <w:tcBorders>
              <w:top w:val="nil"/>
              <w:bottom w:val="single" w:sz="8" w:space="0" w:color="7F7F7F" w:themeColor="text1" w:themeTint="80"/>
            </w:tcBorders>
            <w:shd w:val="clear" w:color="auto" w:fill="auto"/>
          </w:tcPr>
          <w:p w14:paraId="2BFC74CC" w14:textId="43F8FB70" w:rsidR="0052134B" w:rsidRPr="0052134B" w:rsidRDefault="0052134B" w:rsidP="0052134B">
            <w:pPr>
              <w:jc w:val="left"/>
              <w:rPr>
                <w:rFonts w:eastAsia="Times New Roman" w:cs="Times New Roman"/>
                <w:i/>
                <w:lang w:eastAsia="cs-CZ"/>
              </w:rPr>
            </w:pPr>
            <w:r w:rsidRPr="0052134B">
              <w:rPr>
                <w:rFonts w:eastAsia="Times New Roman" w:cs="Times New Roman"/>
                <w:i/>
                <w:lang w:eastAsia="cs-CZ"/>
              </w:rPr>
              <w:t xml:space="preserve">z toho: programové financování </w:t>
            </w:r>
            <w:r w:rsidRPr="0052134B">
              <w:rPr>
                <w:rFonts w:eastAsia="Times New Roman" w:cs="Times New Roman"/>
                <w:i/>
                <w:lang w:eastAsia="cs-CZ"/>
              </w:rPr>
              <w:tab/>
              <w:t>(EDS/SMVS)</w:t>
            </w:r>
          </w:p>
        </w:tc>
        <w:tc>
          <w:tcPr>
            <w:tcW w:w="1340" w:type="dxa"/>
            <w:tcBorders>
              <w:top w:val="nil"/>
              <w:bottom w:val="single" w:sz="8" w:space="0" w:color="7F7F7F" w:themeColor="text1" w:themeTint="80"/>
            </w:tcBorders>
            <w:shd w:val="clear" w:color="auto" w:fill="auto"/>
            <w:vAlign w:val="center"/>
          </w:tcPr>
          <w:p w14:paraId="0F1986E3" w14:textId="1B56AB52" w:rsidR="0052134B" w:rsidRPr="0052134B" w:rsidRDefault="00253306" w:rsidP="0052134B">
            <w:pPr>
              <w:jc w:val="right"/>
              <w:rPr>
                <w:rFonts w:eastAsia="Times New Roman" w:cs="Times New Roman"/>
                <w:i/>
                <w:lang w:eastAsia="cs-CZ"/>
              </w:rPr>
            </w:pPr>
            <w:r>
              <w:rPr>
                <w:rFonts w:eastAsia="Times New Roman" w:cs="Times New Roman"/>
                <w:i/>
                <w:lang w:eastAsia="cs-CZ"/>
              </w:rPr>
              <w:t>0</w:t>
            </w:r>
          </w:p>
        </w:tc>
        <w:tc>
          <w:tcPr>
            <w:tcW w:w="1276" w:type="dxa"/>
            <w:tcBorders>
              <w:top w:val="nil"/>
              <w:bottom w:val="single" w:sz="8" w:space="0" w:color="7F7F7F" w:themeColor="text1" w:themeTint="80"/>
            </w:tcBorders>
            <w:shd w:val="clear" w:color="auto" w:fill="auto"/>
            <w:vAlign w:val="center"/>
          </w:tcPr>
          <w:p w14:paraId="61585E99" w14:textId="18E58D2D" w:rsidR="0052134B" w:rsidRPr="0052134B" w:rsidRDefault="0052134B" w:rsidP="0052134B">
            <w:pPr>
              <w:jc w:val="right"/>
              <w:rPr>
                <w:rFonts w:eastAsia="Times New Roman" w:cs="Times New Roman"/>
                <w:i/>
                <w:color w:val="FF0000"/>
                <w:lang w:eastAsia="cs-CZ"/>
              </w:rPr>
            </w:pPr>
            <w:r w:rsidRPr="0052134B">
              <w:rPr>
                <w:rFonts w:eastAsia="Times New Roman" w:cs="Times New Roman"/>
                <w:i/>
                <w:szCs w:val="24"/>
                <w:lang w:eastAsia="cs-CZ"/>
              </w:rPr>
              <w:t>0</w:t>
            </w:r>
          </w:p>
        </w:tc>
        <w:tc>
          <w:tcPr>
            <w:tcW w:w="1134" w:type="dxa"/>
            <w:tcBorders>
              <w:top w:val="nil"/>
              <w:bottom w:val="single" w:sz="8" w:space="0" w:color="7F7F7F" w:themeColor="text1" w:themeTint="80"/>
            </w:tcBorders>
            <w:shd w:val="clear" w:color="auto" w:fill="auto"/>
            <w:vAlign w:val="center"/>
          </w:tcPr>
          <w:p w14:paraId="1631ECE6" w14:textId="66F71D63" w:rsidR="0052134B" w:rsidRPr="0052134B" w:rsidRDefault="00253306" w:rsidP="0052134B">
            <w:pPr>
              <w:jc w:val="right"/>
              <w:rPr>
                <w:rFonts w:eastAsia="Times New Roman" w:cs="Times New Roman"/>
                <w:i/>
                <w:lang w:eastAsia="cs-CZ"/>
              </w:rPr>
            </w:pPr>
            <w:r>
              <w:rPr>
                <w:rFonts w:eastAsia="Times New Roman" w:cs="Times New Roman"/>
                <w:i/>
                <w:lang w:eastAsia="cs-CZ"/>
              </w:rPr>
              <w:t>0</w:t>
            </w:r>
          </w:p>
        </w:tc>
        <w:tc>
          <w:tcPr>
            <w:tcW w:w="992" w:type="dxa"/>
            <w:tcBorders>
              <w:top w:val="nil"/>
              <w:bottom w:val="single" w:sz="8" w:space="0" w:color="7F7F7F" w:themeColor="text1" w:themeTint="80"/>
            </w:tcBorders>
            <w:shd w:val="clear" w:color="auto" w:fill="auto"/>
            <w:vAlign w:val="center"/>
          </w:tcPr>
          <w:p w14:paraId="1459FAD1" w14:textId="312F4C70" w:rsidR="0052134B" w:rsidRPr="0052134B" w:rsidRDefault="00253306" w:rsidP="0052134B">
            <w:pPr>
              <w:jc w:val="right"/>
              <w:rPr>
                <w:rFonts w:eastAsia="Times New Roman" w:cs="Times New Roman"/>
                <w:lang w:eastAsia="cs-CZ"/>
              </w:rPr>
            </w:pPr>
            <w:r>
              <w:rPr>
                <w:rFonts w:eastAsia="Times New Roman" w:cs="Times New Roman"/>
                <w:lang w:eastAsia="cs-CZ"/>
              </w:rPr>
              <w:t>x</w:t>
            </w:r>
          </w:p>
        </w:tc>
      </w:tr>
    </w:tbl>
    <w:p w14:paraId="16F53BE6" w14:textId="0C08A67E" w:rsidR="00BF20C2" w:rsidRPr="00D070B8" w:rsidRDefault="0052134B" w:rsidP="00BF20C2">
      <w:pPr>
        <w:pStyle w:val="Styl1"/>
        <w:rPr>
          <w:b/>
          <w:highlight w:val="yellow"/>
        </w:rPr>
      </w:pPr>
      <w:r w:rsidRPr="002511B8">
        <w:t xml:space="preserve">Návrh rozpočtu běžných výdajů na rok 2025 je oproti schválenému rozpočtu na rok 2024 </w:t>
      </w:r>
      <w:r w:rsidRPr="002511B8">
        <w:br/>
        <w:t xml:space="preserve">o </w:t>
      </w:r>
      <w:r>
        <w:t>475</w:t>
      </w:r>
      <w:r w:rsidRPr="002511B8">
        <w:t xml:space="preserve"> tis. Kč vyšší z důvodu posílení prostředků na platy zaměstnanců vč. příslušenství (podrobněji viz oddíl 3.2.2 Výdaje na platy a počty pracovníků za OSS a PO)</w:t>
      </w:r>
      <w:r w:rsidR="00BF20C2" w:rsidRPr="0052134B">
        <w:t>.</w:t>
      </w:r>
      <w:r w:rsidR="00BF20C2" w:rsidRPr="00D070B8">
        <w:rPr>
          <w:highlight w:val="yellow"/>
        </w:rPr>
        <w:t xml:space="preserve"> </w:t>
      </w:r>
    </w:p>
    <w:p w14:paraId="59079B9A" w14:textId="3A396993" w:rsidR="00BF20C2" w:rsidRPr="0052134B" w:rsidRDefault="00BF20C2" w:rsidP="00BF20C2">
      <w:pPr>
        <w:pStyle w:val="Styl1"/>
      </w:pPr>
      <w:r w:rsidRPr="0052134B">
        <w:t>Počet zaměstnanců organizace pro rok 20</w:t>
      </w:r>
      <w:r w:rsidR="0052134B" w:rsidRPr="0052134B">
        <w:t>25</w:t>
      </w:r>
      <w:r w:rsidRPr="0052134B">
        <w:t xml:space="preserve"> je ve výši 15 zaměstnanců, v tom 15 zaměstnanců v pracovním poměru. Ve srovnání s rokem 202</w:t>
      </w:r>
      <w:r w:rsidR="0052134B" w:rsidRPr="0052134B">
        <w:t>4</w:t>
      </w:r>
      <w:r w:rsidRPr="0052134B">
        <w:t xml:space="preserve"> nedochází ke změně. </w:t>
      </w:r>
    </w:p>
    <w:p w14:paraId="71B2F7F5" w14:textId="6A3E077D" w:rsidR="00BF20C2" w:rsidRPr="00D77A05" w:rsidRDefault="00BF20C2" w:rsidP="00C867CF">
      <w:pPr>
        <w:pStyle w:val="Styl1"/>
        <w:rPr>
          <w:b/>
        </w:rPr>
      </w:pPr>
      <w:r w:rsidRPr="00D77A05">
        <w:t xml:space="preserve">Na ostatní běžné výdaje je alokováno 11 393 tis. Kč, což je </w:t>
      </w:r>
      <w:r w:rsidR="00D77A05" w:rsidRPr="00D77A05">
        <w:t>ve stejné výši jako v roce 2024</w:t>
      </w:r>
      <w:r w:rsidR="00596BDF" w:rsidRPr="00D77A05">
        <w:t>.</w:t>
      </w:r>
      <w:r w:rsidR="00A16DDC">
        <w:t xml:space="preserve"> N</w:t>
      </w:r>
      <w:r w:rsidRPr="00D77A05">
        <w:t>ejvětší podíl činí výdaje na nákup ostatních služeb, zejména služeb pro zajištění provozu říčních přístavů a výdaje na právní a poradenské služby, které souvisejí s řešením právních sporů vznikajících při přípravě a realizaci staveb nutných pro provoz na vodních cestách.  Další významné výdaje jsou výdaje na pohonné hmoty související s realizací staveb na vodních cestách, výdaje na nájemné, na cestovné,</w:t>
      </w:r>
      <w:r w:rsidR="00A16DDC">
        <w:t xml:space="preserve"> </w:t>
      </w:r>
      <w:r w:rsidRPr="00D77A05">
        <w:t>na elektrickou energii a na plyn.</w:t>
      </w:r>
    </w:p>
    <w:p w14:paraId="77C5ECD5" w14:textId="77777777" w:rsidR="0057450B" w:rsidRPr="002505F4" w:rsidRDefault="0057450B" w:rsidP="00A66629">
      <w:pPr>
        <w:pStyle w:val="Nadpis9"/>
        <w:rPr>
          <w:lang w:eastAsia="cs-CZ"/>
        </w:rPr>
      </w:pPr>
      <w:r w:rsidRPr="002505F4">
        <w:rPr>
          <w:lang w:eastAsia="cs-CZ"/>
        </w:rPr>
        <w:t>Ústav pro odborné zjišťování příčin leteckých nehod</w:t>
      </w:r>
    </w:p>
    <w:p w14:paraId="7F1BAAF3" w14:textId="77777777" w:rsidR="008C1678" w:rsidRPr="002505F4" w:rsidRDefault="008C1678" w:rsidP="008C1678">
      <w:pPr>
        <w:pStyle w:val="Styl1"/>
      </w:pPr>
      <w:r w:rsidRPr="002505F4">
        <w:t>Organizační složka státu vznikla k 1. 1. 2003 na základě novely zákona č. 49/1997 Sb., o civilním letectví. Hlavní činností je shromažďování a analýza informací o leteckých nehodách včetně určování příčin leteckých nehod a vypracování závěrů a bezpečnostních doporučení k jejich předcházení.</w:t>
      </w:r>
    </w:p>
    <w:p w14:paraId="637A2AFB" w14:textId="6D3ECE63" w:rsidR="0057450B" w:rsidRPr="002505F4" w:rsidRDefault="0057450B" w:rsidP="0057450B">
      <w:pPr>
        <w:pStyle w:val="Titulek"/>
      </w:pPr>
      <w:r w:rsidRPr="002505F4">
        <w:t xml:space="preserve">Tabulka č. </w:t>
      </w:r>
      <w:r w:rsidR="0001421C" w:rsidRPr="002505F4">
        <w:rPr>
          <w:noProof/>
        </w:rPr>
        <w:fldChar w:fldCharType="begin"/>
      </w:r>
      <w:r w:rsidR="0001421C" w:rsidRPr="002505F4">
        <w:rPr>
          <w:noProof/>
        </w:rPr>
        <w:instrText xml:space="preserve"> SEQ Tabulka \* ARABIC </w:instrText>
      </w:r>
      <w:r w:rsidR="0001421C" w:rsidRPr="002505F4">
        <w:rPr>
          <w:noProof/>
        </w:rPr>
        <w:fldChar w:fldCharType="separate"/>
      </w:r>
      <w:r w:rsidR="003B0B01" w:rsidRPr="002505F4">
        <w:rPr>
          <w:noProof/>
        </w:rPr>
        <w:t>19</w:t>
      </w:r>
      <w:r w:rsidR="0001421C" w:rsidRPr="002505F4">
        <w:rPr>
          <w:noProof/>
        </w:rPr>
        <w:fldChar w:fldCharType="end"/>
      </w:r>
      <w:r w:rsidRPr="002505F4">
        <w:rPr>
          <w:noProof/>
        </w:rPr>
        <w:t xml:space="preserve"> Ústav pro odborné zjišťování příčin leteckých nehod –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BC2BB0" w:rsidRPr="002505F4" w14:paraId="63B72C6B" w14:textId="77777777" w:rsidTr="001E02BC">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98DB6E0" w14:textId="77777777"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CAD979A" w14:textId="77777777"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Skutečnost</w:t>
            </w:r>
          </w:p>
          <w:p w14:paraId="3A9DBBE6" w14:textId="048D3624"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202</w:t>
            </w:r>
            <w:r w:rsidR="002505F4" w:rsidRPr="002505F4">
              <w:rPr>
                <w:rFonts w:eastAsia="Times New Roman" w:cs="Times New Roman"/>
                <w:b/>
                <w:szCs w:val="24"/>
                <w:lang w:eastAsia="cs-CZ"/>
              </w:rPr>
              <w:t>3</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03E2EEF" w14:textId="77777777"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Schválený</w:t>
            </w:r>
          </w:p>
          <w:p w14:paraId="7C9B727E" w14:textId="77777777"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rozpočet</w:t>
            </w:r>
          </w:p>
          <w:p w14:paraId="72844CA6" w14:textId="3DD9F912"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202</w:t>
            </w:r>
            <w:r w:rsidR="002505F4" w:rsidRPr="002505F4">
              <w:rPr>
                <w:rFonts w:eastAsia="Times New Roman" w:cs="Times New Roman"/>
                <w:b/>
                <w:szCs w:val="24"/>
                <w:lang w:eastAsia="cs-CZ"/>
              </w:rPr>
              <w:t>4</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7D6654" w14:textId="77777777"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Návrh</w:t>
            </w:r>
          </w:p>
          <w:p w14:paraId="5DCB7F41" w14:textId="77777777"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rozpočtu</w:t>
            </w:r>
          </w:p>
          <w:p w14:paraId="62DDB92D" w14:textId="7F975988"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202</w:t>
            </w:r>
            <w:r w:rsidR="002505F4" w:rsidRPr="002505F4">
              <w:rPr>
                <w:rFonts w:eastAsia="Times New Roman" w:cs="Times New Roman"/>
                <w:b/>
                <w:szCs w:val="24"/>
                <w:lang w:eastAsia="cs-CZ"/>
              </w:rPr>
              <w:t>5</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F15E802" w14:textId="77777777"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Index</w:t>
            </w:r>
          </w:p>
          <w:p w14:paraId="36728DD0" w14:textId="4F656E4C" w:rsidR="00BC2BB0" w:rsidRPr="002505F4" w:rsidRDefault="00BC2BB0" w:rsidP="001E02BC">
            <w:pPr>
              <w:jc w:val="center"/>
              <w:rPr>
                <w:rFonts w:eastAsia="Times New Roman" w:cs="Times New Roman"/>
                <w:b/>
                <w:szCs w:val="24"/>
                <w:lang w:eastAsia="cs-CZ"/>
              </w:rPr>
            </w:pPr>
            <w:r w:rsidRPr="002505F4">
              <w:rPr>
                <w:rFonts w:eastAsia="Times New Roman" w:cs="Times New Roman"/>
                <w:b/>
                <w:szCs w:val="24"/>
                <w:lang w:eastAsia="cs-CZ"/>
              </w:rPr>
              <w:t>202</w:t>
            </w:r>
            <w:r w:rsidR="002505F4" w:rsidRPr="002505F4">
              <w:rPr>
                <w:rFonts w:eastAsia="Times New Roman" w:cs="Times New Roman"/>
                <w:b/>
                <w:szCs w:val="24"/>
                <w:lang w:eastAsia="cs-CZ"/>
              </w:rPr>
              <w:t>5</w:t>
            </w:r>
            <w:r w:rsidRPr="002505F4">
              <w:rPr>
                <w:rFonts w:eastAsia="Times New Roman" w:cs="Times New Roman"/>
                <w:b/>
                <w:szCs w:val="24"/>
                <w:lang w:eastAsia="cs-CZ"/>
              </w:rPr>
              <w:t>/</w:t>
            </w:r>
            <w:r w:rsidRPr="002505F4">
              <w:rPr>
                <w:rFonts w:eastAsia="Times New Roman" w:cs="Times New Roman"/>
                <w:b/>
                <w:szCs w:val="24"/>
                <w:lang w:eastAsia="cs-CZ"/>
              </w:rPr>
              <w:br/>
              <w:t>202</w:t>
            </w:r>
            <w:r w:rsidR="002505F4" w:rsidRPr="002505F4">
              <w:rPr>
                <w:rFonts w:eastAsia="Times New Roman" w:cs="Times New Roman"/>
                <w:b/>
                <w:szCs w:val="24"/>
                <w:lang w:eastAsia="cs-CZ"/>
              </w:rPr>
              <w:t>4</w:t>
            </w:r>
            <w:r w:rsidRPr="002505F4">
              <w:rPr>
                <w:rFonts w:eastAsia="Times New Roman" w:cs="Times New Roman"/>
                <w:b/>
                <w:szCs w:val="24"/>
                <w:lang w:eastAsia="cs-CZ"/>
              </w:rPr>
              <w:br/>
              <w:t>(v %)</w:t>
            </w:r>
          </w:p>
        </w:tc>
      </w:tr>
      <w:tr w:rsidR="00BC2BB0" w:rsidRPr="00D070B8" w14:paraId="677AAB3B" w14:textId="77777777" w:rsidTr="001E02BC">
        <w:tc>
          <w:tcPr>
            <w:tcW w:w="4320" w:type="dxa"/>
            <w:tcBorders>
              <w:top w:val="single" w:sz="4" w:space="0" w:color="7F7F7F" w:themeColor="text1" w:themeTint="80"/>
              <w:bottom w:val="single" w:sz="8" w:space="0" w:color="7F7F7F" w:themeColor="text1" w:themeTint="80"/>
            </w:tcBorders>
            <w:shd w:val="clear" w:color="auto" w:fill="auto"/>
          </w:tcPr>
          <w:p w14:paraId="052FE622" w14:textId="77777777" w:rsidR="00BC2BB0" w:rsidRPr="002505F4" w:rsidRDefault="00BC2BB0" w:rsidP="001E02BC">
            <w:pPr>
              <w:jc w:val="center"/>
              <w:rPr>
                <w:rFonts w:eastAsia="Times New Roman" w:cs="Times New Roman"/>
                <w:szCs w:val="24"/>
                <w:lang w:eastAsia="cs-CZ"/>
              </w:rPr>
            </w:pPr>
            <w:r w:rsidRPr="002505F4">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199C50FD" w14:textId="77777777" w:rsidR="00BC2BB0" w:rsidRPr="002505F4" w:rsidRDefault="00BC2BB0" w:rsidP="001E02BC">
            <w:pPr>
              <w:jc w:val="center"/>
              <w:rPr>
                <w:rFonts w:eastAsia="Times New Roman" w:cs="Times New Roman"/>
                <w:szCs w:val="24"/>
                <w:lang w:eastAsia="cs-CZ"/>
              </w:rPr>
            </w:pPr>
            <w:r w:rsidRPr="002505F4">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1CDBBAF3" w14:textId="77777777" w:rsidR="00BC2BB0" w:rsidRPr="002505F4" w:rsidRDefault="00BC2BB0" w:rsidP="001E02BC">
            <w:pPr>
              <w:jc w:val="center"/>
              <w:rPr>
                <w:rFonts w:eastAsia="Times New Roman" w:cs="Times New Roman"/>
                <w:szCs w:val="24"/>
                <w:lang w:eastAsia="cs-CZ"/>
              </w:rPr>
            </w:pPr>
            <w:r w:rsidRPr="002505F4">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349FC93B" w14:textId="77777777" w:rsidR="00BC2BB0" w:rsidRPr="002505F4" w:rsidRDefault="00BC2BB0" w:rsidP="001E02BC">
            <w:pPr>
              <w:jc w:val="center"/>
              <w:rPr>
                <w:rFonts w:eastAsia="Times New Roman" w:cs="Times New Roman"/>
                <w:szCs w:val="24"/>
                <w:lang w:eastAsia="cs-CZ"/>
              </w:rPr>
            </w:pPr>
            <w:r w:rsidRPr="002505F4">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14:paraId="70F7A4D0" w14:textId="77777777" w:rsidR="00BC2BB0" w:rsidRPr="002505F4" w:rsidRDefault="00BC2BB0" w:rsidP="001E02BC">
            <w:pPr>
              <w:jc w:val="center"/>
              <w:rPr>
                <w:rFonts w:eastAsia="Times New Roman" w:cs="Times New Roman"/>
                <w:szCs w:val="24"/>
                <w:lang w:eastAsia="cs-CZ"/>
              </w:rPr>
            </w:pPr>
            <w:r w:rsidRPr="002505F4">
              <w:rPr>
                <w:rFonts w:eastAsia="Times New Roman" w:cs="Times New Roman"/>
                <w:szCs w:val="24"/>
                <w:lang w:eastAsia="cs-CZ"/>
              </w:rPr>
              <w:t>4</w:t>
            </w:r>
          </w:p>
        </w:tc>
      </w:tr>
      <w:tr w:rsidR="002505F4" w:rsidRPr="00D070B8" w14:paraId="5FA39AF8" w14:textId="77777777" w:rsidTr="001E02BC">
        <w:trPr>
          <w:trHeight w:val="475"/>
        </w:trPr>
        <w:tc>
          <w:tcPr>
            <w:tcW w:w="4320" w:type="dxa"/>
            <w:tcBorders>
              <w:top w:val="single" w:sz="8" w:space="0" w:color="7F7F7F" w:themeColor="text1" w:themeTint="80"/>
              <w:bottom w:val="single" w:sz="8" w:space="0" w:color="7F7F7F" w:themeColor="text1" w:themeTint="80"/>
            </w:tcBorders>
            <w:shd w:val="clear" w:color="auto" w:fill="auto"/>
          </w:tcPr>
          <w:p w14:paraId="6807F762" w14:textId="77777777" w:rsidR="002505F4" w:rsidRPr="002505F4" w:rsidRDefault="002505F4" w:rsidP="002505F4">
            <w:pPr>
              <w:spacing w:before="120"/>
              <w:rPr>
                <w:rFonts w:eastAsia="Times New Roman" w:cs="Times New Roman"/>
                <w:lang w:eastAsia="cs-CZ"/>
              </w:rPr>
            </w:pPr>
            <w:r w:rsidRPr="002505F4">
              <w:rPr>
                <w:rFonts w:eastAsia="Times New Roman" w:cs="Times New Roman"/>
                <w:b/>
                <w:iCs/>
                <w:lang w:eastAsia="cs-CZ"/>
              </w:rPr>
              <w:t xml:space="preserve">Běžné výdaje </w:t>
            </w:r>
            <w:r w:rsidRPr="002505F4">
              <w:rPr>
                <w:rFonts w:eastAsia="Times New Roman" w:cs="Times New Roman"/>
                <w:iCs/>
                <w:lang w:eastAsia="cs-CZ"/>
              </w:rPr>
              <w:t>v tom:</w:t>
            </w:r>
          </w:p>
        </w:tc>
        <w:tc>
          <w:tcPr>
            <w:tcW w:w="1340" w:type="dxa"/>
            <w:tcBorders>
              <w:top w:val="single" w:sz="8" w:space="0" w:color="7F7F7F" w:themeColor="text1" w:themeTint="80"/>
              <w:bottom w:val="single" w:sz="8" w:space="0" w:color="7F7F7F" w:themeColor="text1" w:themeTint="80"/>
            </w:tcBorders>
            <w:shd w:val="clear" w:color="auto" w:fill="auto"/>
            <w:vAlign w:val="center"/>
          </w:tcPr>
          <w:p w14:paraId="14AA5B99" w14:textId="55D88622" w:rsidR="002505F4" w:rsidRPr="002505F4" w:rsidRDefault="002505F4" w:rsidP="002505F4">
            <w:pPr>
              <w:jc w:val="right"/>
              <w:rPr>
                <w:rFonts w:eastAsia="Times New Roman" w:cs="Times New Roman"/>
                <w:b/>
                <w:bCs/>
                <w:lang w:eastAsia="cs-CZ"/>
              </w:rPr>
            </w:pPr>
            <w:r w:rsidRPr="002505F4">
              <w:rPr>
                <w:rFonts w:eastAsia="Times New Roman" w:cs="Times New Roman"/>
                <w:b/>
                <w:bCs/>
                <w:lang w:eastAsia="cs-CZ"/>
              </w:rPr>
              <w:t>17 498</w:t>
            </w:r>
          </w:p>
        </w:tc>
        <w:tc>
          <w:tcPr>
            <w:tcW w:w="1418" w:type="dxa"/>
            <w:tcBorders>
              <w:top w:val="single" w:sz="8" w:space="0" w:color="7F7F7F" w:themeColor="text1" w:themeTint="80"/>
              <w:bottom w:val="single" w:sz="8" w:space="0" w:color="7F7F7F" w:themeColor="text1" w:themeTint="80"/>
            </w:tcBorders>
            <w:shd w:val="clear" w:color="auto" w:fill="auto"/>
            <w:vAlign w:val="center"/>
          </w:tcPr>
          <w:p w14:paraId="6688ACC2" w14:textId="0C46E466" w:rsidR="002505F4" w:rsidRPr="002505F4" w:rsidRDefault="002505F4" w:rsidP="002505F4">
            <w:pPr>
              <w:jc w:val="right"/>
              <w:rPr>
                <w:rFonts w:eastAsia="Times New Roman" w:cs="Times New Roman"/>
                <w:b/>
                <w:bCs/>
                <w:lang w:eastAsia="cs-CZ"/>
              </w:rPr>
            </w:pPr>
            <w:r w:rsidRPr="002505F4">
              <w:rPr>
                <w:rFonts w:eastAsia="Times New Roman" w:cs="Times New Roman"/>
                <w:b/>
                <w:lang w:eastAsia="cs-CZ"/>
              </w:rPr>
              <w:t xml:space="preserve">17 </w:t>
            </w:r>
            <w:r w:rsidRPr="002505F4">
              <w:rPr>
                <w:rFonts w:eastAsia="Times New Roman" w:cs="Times New Roman"/>
                <w:b/>
                <w:bCs/>
                <w:lang w:eastAsia="cs-CZ"/>
              </w:rPr>
              <w:t>847</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245886D0" w14:textId="70D02D64" w:rsidR="002505F4" w:rsidRPr="002505F4" w:rsidRDefault="002505F4" w:rsidP="002505F4">
            <w:pPr>
              <w:jc w:val="right"/>
              <w:rPr>
                <w:rFonts w:eastAsia="Times New Roman" w:cs="Times New Roman"/>
                <w:b/>
                <w:bCs/>
                <w:lang w:eastAsia="cs-CZ"/>
              </w:rPr>
            </w:pPr>
            <w:r w:rsidRPr="002505F4">
              <w:rPr>
                <w:rFonts w:eastAsia="Times New Roman" w:cs="Times New Roman"/>
                <w:b/>
                <w:bCs/>
                <w:lang w:eastAsia="cs-CZ"/>
              </w:rPr>
              <w:t>18 432</w:t>
            </w:r>
          </w:p>
        </w:tc>
        <w:tc>
          <w:tcPr>
            <w:tcW w:w="927" w:type="dxa"/>
            <w:tcBorders>
              <w:top w:val="single" w:sz="8" w:space="0" w:color="7F7F7F" w:themeColor="text1" w:themeTint="80"/>
              <w:bottom w:val="single" w:sz="8" w:space="0" w:color="7F7F7F" w:themeColor="text1" w:themeTint="80"/>
            </w:tcBorders>
            <w:shd w:val="clear" w:color="auto" w:fill="auto"/>
            <w:vAlign w:val="center"/>
          </w:tcPr>
          <w:p w14:paraId="7338A876" w14:textId="470697AF" w:rsidR="002505F4" w:rsidRPr="002505F4" w:rsidRDefault="002505F4" w:rsidP="002505F4">
            <w:pPr>
              <w:jc w:val="right"/>
              <w:rPr>
                <w:rFonts w:eastAsia="Times New Roman" w:cs="Times New Roman"/>
                <w:b/>
                <w:lang w:eastAsia="cs-CZ"/>
              </w:rPr>
            </w:pPr>
            <w:r w:rsidRPr="002505F4">
              <w:rPr>
                <w:rFonts w:eastAsia="Times New Roman" w:cs="Times New Roman"/>
                <w:b/>
                <w:lang w:eastAsia="cs-CZ"/>
              </w:rPr>
              <w:t>103,28</w:t>
            </w:r>
          </w:p>
        </w:tc>
      </w:tr>
      <w:tr w:rsidR="002505F4" w:rsidRPr="00D070B8" w14:paraId="3258EA04" w14:textId="77777777" w:rsidTr="001E02BC">
        <w:tc>
          <w:tcPr>
            <w:tcW w:w="4320" w:type="dxa"/>
            <w:tcBorders>
              <w:top w:val="single" w:sz="8" w:space="0" w:color="7F7F7F" w:themeColor="text1" w:themeTint="80"/>
            </w:tcBorders>
            <w:shd w:val="clear" w:color="auto" w:fill="auto"/>
          </w:tcPr>
          <w:p w14:paraId="227D0FB6" w14:textId="77777777" w:rsidR="002505F4" w:rsidRPr="002505F4" w:rsidRDefault="002505F4" w:rsidP="002505F4">
            <w:pPr>
              <w:rPr>
                <w:rFonts w:eastAsia="Times New Roman" w:cs="Times New Roman"/>
                <w:lang w:eastAsia="cs-CZ"/>
              </w:rPr>
            </w:pPr>
            <w:r w:rsidRPr="002505F4">
              <w:rPr>
                <w:rFonts w:eastAsia="Times New Roman" w:cs="Times New Roman"/>
                <w:lang w:eastAsia="cs-CZ"/>
              </w:rPr>
              <w:t>platy zaměstnanců a ostatní platby</w:t>
            </w:r>
          </w:p>
          <w:p w14:paraId="32D07702" w14:textId="77777777" w:rsidR="002505F4" w:rsidRPr="002505F4" w:rsidRDefault="002505F4" w:rsidP="002505F4">
            <w:pPr>
              <w:rPr>
                <w:rFonts w:eastAsia="Times New Roman" w:cs="Times New Roman"/>
                <w:lang w:eastAsia="cs-CZ"/>
              </w:rPr>
            </w:pPr>
            <w:r w:rsidRPr="002505F4">
              <w:rPr>
                <w:rFonts w:eastAsia="Times New Roman" w:cs="Times New Roman"/>
                <w:lang w:eastAsia="cs-CZ"/>
              </w:rPr>
              <w:t>za provedenou práci</w:t>
            </w:r>
          </w:p>
        </w:tc>
        <w:tc>
          <w:tcPr>
            <w:tcW w:w="1340" w:type="dxa"/>
            <w:tcBorders>
              <w:top w:val="single" w:sz="8" w:space="0" w:color="7F7F7F" w:themeColor="text1" w:themeTint="80"/>
            </w:tcBorders>
            <w:shd w:val="clear" w:color="auto" w:fill="auto"/>
            <w:vAlign w:val="center"/>
          </w:tcPr>
          <w:p w14:paraId="027262EB" w14:textId="1679CA6B"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8 778</w:t>
            </w:r>
          </w:p>
        </w:tc>
        <w:tc>
          <w:tcPr>
            <w:tcW w:w="1418" w:type="dxa"/>
            <w:tcBorders>
              <w:top w:val="single" w:sz="8" w:space="0" w:color="7F7F7F" w:themeColor="text1" w:themeTint="80"/>
            </w:tcBorders>
            <w:shd w:val="clear" w:color="auto" w:fill="auto"/>
            <w:vAlign w:val="center"/>
          </w:tcPr>
          <w:p w14:paraId="79498704" w14:textId="345444B0"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8 737</w:t>
            </w:r>
          </w:p>
        </w:tc>
        <w:tc>
          <w:tcPr>
            <w:tcW w:w="1134" w:type="dxa"/>
            <w:tcBorders>
              <w:top w:val="single" w:sz="8" w:space="0" w:color="7F7F7F" w:themeColor="text1" w:themeTint="80"/>
            </w:tcBorders>
            <w:shd w:val="clear" w:color="auto" w:fill="auto"/>
            <w:vAlign w:val="center"/>
          </w:tcPr>
          <w:p w14:paraId="14CDA6C2" w14:textId="1EADD37A"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9 171</w:t>
            </w:r>
          </w:p>
        </w:tc>
        <w:tc>
          <w:tcPr>
            <w:tcW w:w="927" w:type="dxa"/>
            <w:tcBorders>
              <w:top w:val="single" w:sz="8" w:space="0" w:color="7F7F7F" w:themeColor="text1" w:themeTint="80"/>
            </w:tcBorders>
            <w:shd w:val="clear" w:color="auto" w:fill="auto"/>
            <w:vAlign w:val="center"/>
          </w:tcPr>
          <w:p w14:paraId="30832616" w14:textId="611262CD"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104,97</w:t>
            </w:r>
          </w:p>
        </w:tc>
      </w:tr>
      <w:tr w:rsidR="002505F4" w:rsidRPr="00D070B8" w14:paraId="4AAA93E3" w14:textId="77777777" w:rsidTr="001E02BC">
        <w:tc>
          <w:tcPr>
            <w:tcW w:w="4320" w:type="dxa"/>
            <w:shd w:val="clear" w:color="auto" w:fill="auto"/>
          </w:tcPr>
          <w:p w14:paraId="181674FF" w14:textId="77777777" w:rsidR="002505F4" w:rsidRPr="002505F4" w:rsidRDefault="002505F4" w:rsidP="002505F4">
            <w:pPr>
              <w:rPr>
                <w:rFonts w:eastAsia="Times New Roman" w:cs="Times New Roman"/>
                <w:lang w:eastAsia="cs-CZ"/>
              </w:rPr>
            </w:pPr>
            <w:r w:rsidRPr="002505F4">
              <w:rPr>
                <w:rFonts w:eastAsia="Times New Roman" w:cs="Times New Roman"/>
                <w:lang w:eastAsia="cs-CZ"/>
              </w:rPr>
              <w:t>povinné pojistné placené zaměstnavatelem</w:t>
            </w:r>
          </w:p>
        </w:tc>
        <w:tc>
          <w:tcPr>
            <w:tcW w:w="1340" w:type="dxa"/>
            <w:shd w:val="clear" w:color="auto" w:fill="auto"/>
            <w:vAlign w:val="center"/>
          </w:tcPr>
          <w:p w14:paraId="30931070" w14:textId="3773B8EF" w:rsidR="002505F4" w:rsidRPr="002505F4" w:rsidRDefault="002505F4" w:rsidP="002505F4">
            <w:pPr>
              <w:jc w:val="right"/>
              <w:rPr>
                <w:rFonts w:cs="Times New Roman"/>
              </w:rPr>
            </w:pPr>
            <w:r w:rsidRPr="002505F4">
              <w:rPr>
                <w:rFonts w:cs="Times New Roman"/>
              </w:rPr>
              <w:t>2 959</w:t>
            </w:r>
          </w:p>
        </w:tc>
        <w:tc>
          <w:tcPr>
            <w:tcW w:w="1418" w:type="dxa"/>
            <w:shd w:val="clear" w:color="auto" w:fill="auto"/>
            <w:vAlign w:val="center"/>
          </w:tcPr>
          <w:p w14:paraId="14EA5C33" w14:textId="51C52DE8"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2 953</w:t>
            </w:r>
          </w:p>
        </w:tc>
        <w:tc>
          <w:tcPr>
            <w:tcW w:w="1134" w:type="dxa"/>
            <w:shd w:val="clear" w:color="auto" w:fill="auto"/>
            <w:vAlign w:val="center"/>
          </w:tcPr>
          <w:p w14:paraId="7DDFDD40" w14:textId="099E3011"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3 100</w:t>
            </w:r>
          </w:p>
        </w:tc>
        <w:tc>
          <w:tcPr>
            <w:tcW w:w="927" w:type="dxa"/>
            <w:shd w:val="clear" w:color="auto" w:fill="auto"/>
            <w:vAlign w:val="center"/>
          </w:tcPr>
          <w:p w14:paraId="1037E075" w14:textId="4149D216"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104,98</w:t>
            </w:r>
          </w:p>
        </w:tc>
      </w:tr>
      <w:tr w:rsidR="002505F4" w:rsidRPr="00D070B8" w14:paraId="35DE233A" w14:textId="77777777" w:rsidTr="001E02BC">
        <w:tc>
          <w:tcPr>
            <w:tcW w:w="4320" w:type="dxa"/>
            <w:shd w:val="clear" w:color="auto" w:fill="auto"/>
          </w:tcPr>
          <w:p w14:paraId="0CF84BD3" w14:textId="77777777" w:rsidR="002505F4" w:rsidRPr="002505F4" w:rsidRDefault="002505F4" w:rsidP="002505F4">
            <w:pPr>
              <w:rPr>
                <w:rFonts w:eastAsia="Times New Roman" w:cs="Times New Roman"/>
                <w:lang w:eastAsia="cs-CZ"/>
              </w:rPr>
            </w:pPr>
            <w:r w:rsidRPr="002505F4">
              <w:rPr>
                <w:rFonts w:eastAsia="Times New Roman" w:cs="Times New Roman"/>
                <w:lang w:eastAsia="cs-CZ"/>
              </w:rPr>
              <w:t>příděl FKSP</w:t>
            </w:r>
          </w:p>
        </w:tc>
        <w:tc>
          <w:tcPr>
            <w:tcW w:w="1340" w:type="dxa"/>
            <w:shd w:val="clear" w:color="auto" w:fill="auto"/>
            <w:vAlign w:val="center"/>
          </w:tcPr>
          <w:p w14:paraId="2C81A7C2" w14:textId="24DD7661" w:rsidR="002505F4" w:rsidRPr="002505F4" w:rsidRDefault="002505F4" w:rsidP="002505F4">
            <w:pPr>
              <w:jc w:val="right"/>
              <w:rPr>
                <w:rFonts w:cs="Times New Roman"/>
              </w:rPr>
            </w:pPr>
            <w:r w:rsidRPr="002505F4">
              <w:rPr>
                <w:rFonts w:cs="Times New Roman"/>
              </w:rPr>
              <w:t>175</w:t>
            </w:r>
          </w:p>
        </w:tc>
        <w:tc>
          <w:tcPr>
            <w:tcW w:w="1418" w:type="dxa"/>
            <w:shd w:val="clear" w:color="auto" w:fill="auto"/>
            <w:vAlign w:val="center"/>
          </w:tcPr>
          <w:p w14:paraId="050D899C" w14:textId="66344DEC"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87</w:t>
            </w:r>
          </w:p>
        </w:tc>
        <w:tc>
          <w:tcPr>
            <w:tcW w:w="1134" w:type="dxa"/>
            <w:shd w:val="clear" w:color="auto" w:fill="auto"/>
            <w:vAlign w:val="center"/>
          </w:tcPr>
          <w:p w14:paraId="7364C7C3" w14:textId="57E45FE7"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91</w:t>
            </w:r>
          </w:p>
        </w:tc>
        <w:tc>
          <w:tcPr>
            <w:tcW w:w="927" w:type="dxa"/>
            <w:shd w:val="clear" w:color="auto" w:fill="auto"/>
            <w:vAlign w:val="center"/>
          </w:tcPr>
          <w:p w14:paraId="7C50767A" w14:textId="5D5B691C"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104,60</w:t>
            </w:r>
          </w:p>
        </w:tc>
      </w:tr>
      <w:tr w:rsidR="002505F4" w:rsidRPr="00D070B8" w14:paraId="5A44E784" w14:textId="77777777" w:rsidTr="001E02BC">
        <w:tc>
          <w:tcPr>
            <w:tcW w:w="4320" w:type="dxa"/>
            <w:tcBorders>
              <w:bottom w:val="nil"/>
            </w:tcBorders>
            <w:shd w:val="clear" w:color="auto" w:fill="auto"/>
          </w:tcPr>
          <w:p w14:paraId="25FA3A1E" w14:textId="77777777" w:rsidR="002505F4" w:rsidRPr="002505F4" w:rsidRDefault="002505F4" w:rsidP="002505F4">
            <w:pPr>
              <w:jc w:val="left"/>
              <w:rPr>
                <w:rFonts w:eastAsia="Times New Roman" w:cs="Times New Roman"/>
                <w:lang w:eastAsia="cs-CZ"/>
              </w:rPr>
            </w:pPr>
            <w:r w:rsidRPr="002505F4">
              <w:rPr>
                <w:rFonts w:eastAsia="Times New Roman" w:cs="Times New Roman"/>
                <w:lang w:eastAsia="cs-CZ"/>
              </w:rPr>
              <w:t>ostatní neinvest. nákupy a související výdaje</w:t>
            </w:r>
          </w:p>
        </w:tc>
        <w:tc>
          <w:tcPr>
            <w:tcW w:w="1340" w:type="dxa"/>
            <w:tcBorders>
              <w:bottom w:val="nil"/>
            </w:tcBorders>
            <w:shd w:val="clear" w:color="auto" w:fill="auto"/>
            <w:vAlign w:val="center"/>
          </w:tcPr>
          <w:p w14:paraId="0B9466C5" w14:textId="210A7051" w:rsidR="002505F4" w:rsidRPr="002505F4" w:rsidRDefault="002505F4" w:rsidP="002505F4">
            <w:pPr>
              <w:jc w:val="right"/>
              <w:rPr>
                <w:rFonts w:cs="Times New Roman"/>
              </w:rPr>
            </w:pPr>
            <w:r w:rsidRPr="002505F4">
              <w:rPr>
                <w:rFonts w:cs="Times New Roman"/>
              </w:rPr>
              <w:t>5 586</w:t>
            </w:r>
          </w:p>
        </w:tc>
        <w:tc>
          <w:tcPr>
            <w:tcW w:w="1418" w:type="dxa"/>
            <w:tcBorders>
              <w:bottom w:val="nil"/>
            </w:tcBorders>
            <w:shd w:val="clear" w:color="auto" w:fill="auto"/>
            <w:vAlign w:val="center"/>
          </w:tcPr>
          <w:p w14:paraId="57374D2F" w14:textId="7682FD7D"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6 070</w:t>
            </w:r>
          </w:p>
        </w:tc>
        <w:tc>
          <w:tcPr>
            <w:tcW w:w="1134" w:type="dxa"/>
            <w:tcBorders>
              <w:bottom w:val="nil"/>
            </w:tcBorders>
            <w:shd w:val="clear" w:color="auto" w:fill="auto"/>
            <w:vAlign w:val="center"/>
          </w:tcPr>
          <w:p w14:paraId="7F98F80F" w14:textId="70F7F0E2"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6 070</w:t>
            </w:r>
          </w:p>
        </w:tc>
        <w:tc>
          <w:tcPr>
            <w:tcW w:w="927" w:type="dxa"/>
            <w:tcBorders>
              <w:bottom w:val="nil"/>
            </w:tcBorders>
            <w:shd w:val="clear" w:color="auto" w:fill="auto"/>
            <w:vAlign w:val="center"/>
          </w:tcPr>
          <w:p w14:paraId="2A715E8C" w14:textId="4F075A5C" w:rsidR="002505F4" w:rsidRPr="002505F4" w:rsidRDefault="002505F4" w:rsidP="002505F4">
            <w:pPr>
              <w:jc w:val="right"/>
              <w:rPr>
                <w:rFonts w:eastAsia="Times New Roman" w:cs="Times New Roman"/>
                <w:lang w:eastAsia="cs-CZ"/>
              </w:rPr>
            </w:pPr>
            <w:r w:rsidRPr="002505F4">
              <w:rPr>
                <w:rFonts w:eastAsia="Times New Roman" w:cs="Times New Roman"/>
                <w:lang w:eastAsia="cs-CZ"/>
              </w:rPr>
              <w:t>100,00</w:t>
            </w:r>
          </w:p>
        </w:tc>
      </w:tr>
      <w:tr w:rsidR="002505F4" w:rsidRPr="00D070B8" w14:paraId="567FCC2F" w14:textId="77777777" w:rsidTr="001E02BC">
        <w:tc>
          <w:tcPr>
            <w:tcW w:w="4320" w:type="dxa"/>
            <w:tcBorders>
              <w:top w:val="nil"/>
              <w:bottom w:val="single" w:sz="8" w:space="0" w:color="7F7F7F" w:themeColor="text1" w:themeTint="80"/>
            </w:tcBorders>
            <w:shd w:val="clear" w:color="auto" w:fill="auto"/>
          </w:tcPr>
          <w:p w14:paraId="207297CF" w14:textId="77777777" w:rsidR="002505F4" w:rsidRPr="002505F4" w:rsidRDefault="002505F4" w:rsidP="002505F4">
            <w:pPr>
              <w:jc w:val="left"/>
              <w:rPr>
                <w:rFonts w:eastAsia="Times New Roman" w:cs="Times New Roman"/>
                <w:i/>
                <w:lang w:eastAsia="cs-CZ"/>
              </w:rPr>
            </w:pPr>
            <w:r w:rsidRPr="002505F4">
              <w:rPr>
                <w:rFonts w:eastAsia="Times New Roman" w:cs="Times New Roman"/>
                <w:i/>
                <w:lang w:eastAsia="cs-CZ"/>
              </w:rPr>
              <w:t>z toho: programové financování</w:t>
            </w:r>
            <w:r w:rsidRPr="002505F4">
              <w:rPr>
                <w:rFonts w:eastAsia="Times New Roman" w:cs="Times New Roman"/>
                <w:i/>
                <w:lang w:eastAsia="cs-CZ"/>
              </w:rPr>
              <w:br/>
            </w:r>
            <w:r w:rsidRPr="002505F4">
              <w:rPr>
                <w:rFonts w:eastAsia="Times New Roman" w:cs="Times New Roman"/>
                <w:i/>
                <w:lang w:eastAsia="cs-CZ"/>
              </w:rPr>
              <w:tab/>
              <w:t>(EDS/SMVS)</w:t>
            </w:r>
          </w:p>
        </w:tc>
        <w:tc>
          <w:tcPr>
            <w:tcW w:w="1340" w:type="dxa"/>
            <w:tcBorders>
              <w:top w:val="nil"/>
              <w:bottom w:val="single" w:sz="8" w:space="0" w:color="7F7F7F" w:themeColor="text1" w:themeTint="80"/>
            </w:tcBorders>
            <w:shd w:val="clear" w:color="auto" w:fill="auto"/>
            <w:vAlign w:val="center"/>
          </w:tcPr>
          <w:p w14:paraId="6736A668" w14:textId="77777777" w:rsidR="002505F4" w:rsidRPr="002505F4" w:rsidRDefault="002505F4" w:rsidP="002505F4">
            <w:pPr>
              <w:jc w:val="right"/>
              <w:rPr>
                <w:rFonts w:cs="Times New Roman"/>
              </w:rPr>
            </w:pPr>
            <w:r w:rsidRPr="002505F4">
              <w:rPr>
                <w:rFonts w:cs="Times New Roman"/>
              </w:rPr>
              <w:t>0</w:t>
            </w:r>
          </w:p>
        </w:tc>
        <w:tc>
          <w:tcPr>
            <w:tcW w:w="1418" w:type="dxa"/>
            <w:tcBorders>
              <w:top w:val="nil"/>
              <w:bottom w:val="single" w:sz="8" w:space="0" w:color="7F7F7F" w:themeColor="text1" w:themeTint="80"/>
            </w:tcBorders>
            <w:shd w:val="clear" w:color="auto" w:fill="auto"/>
            <w:vAlign w:val="center"/>
          </w:tcPr>
          <w:p w14:paraId="369AC530" w14:textId="2ED87AC0" w:rsidR="002505F4" w:rsidRPr="002505F4" w:rsidRDefault="002505F4" w:rsidP="002505F4">
            <w:pPr>
              <w:jc w:val="right"/>
              <w:rPr>
                <w:rFonts w:eastAsia="Times New Roman" w:cs="Times New Roman"/>
                <w:i/>
                <w:lang w:eastAsia="cs-CZ"/>
              </w:rPr>
            </w:pPr>
            <w:r w:rsidRPr="002505F4">
              <w:rPr>
                <w:rFonts w:eastAsia="Times New Roman" w:cs="Times New Roman"/>
                <w:i/>
                <w:lang w:eastAsia="cs-CZ"/>
              </w:rPr>
              <w:t>0</w:t>
            </w:r>
          </w:p>
        </w:tc>
        <w:tc>
          <w:tcPr>
            <w:tcW w:w="1134" w:type="dxa"/>
            <w:tcBorders>
              <w:top w:val="nil"/>
              <w:bottom w:val="single" w:sz="8" w:space="0" w:color="7F7F7F" w:themeColor="text1" w:themeTint="80"/>
            </w:tcBorders>
            <w:shd w:val="clear" w:color="auto" w:fill="auto"/>
            <w:vAlign w:val="center"/>
          </w:tcPr>
          <w:p w14:paraId="6A8BA15F" w14:textId="7E94269F" w:rsidR="002505F4" w:rsidRPr="002505F4" w:rsidRDefault="00253306" w:rsidP="002505F4">
            <w:pPr>
              <w:jc w:val="right"/>
              <w:rPr>
                <w:rFonts w:eastAsia="Times New Roman" w:cs="Times New Roman"/>
                <w:i/>
                <w:lang w:eastAsia="cs-CZ"/>
              </w:rPr>
            </w:pPr>
            <w:r>
              <w:rPr>
                <w:rFonts w:eastAsia="Times New Roman" w:cs="Times New Roman"/>
                <w:i/>
                <w:lang w:eastAsia="cs-CZ"/>
              </w:rPr>
              <w:t>0</w:t>
            </w:r>
          </w:p>
        </w:tc>
        <w:tc>
          <w:tcPr>
            <w:tcW w:w="927" w:type="dxa"/>
            <w:tcBorders>
              <w:top w:val="nil"/>
              <w:bottom w:val="single" w:sz="8" w:space="0" w:color="7F7F7F" w:themeColor="text1" w:themeTint="80"/>
            </w:tcBorders>
            <w:shd w:val="clear" w:color="auto" w:fill="auto"/>
            <w:vAlign w:val="center"/>
          </w:tcPr>
          <w:p w14:paraId="09BA98AD" w14:textId="149A9BF9" w:rsidR="002505F4" w:rsidRPr="002505F4" w:rsidRDefault="00253306" w:rsidP="002505F4">
            <w:pPr>
              <w:jc w:val="right"/>
              <w:rPr>
                <w:rFonts w:eastAsia="Times New Roman" w:cs="Times New Roman"/>
                <w:i/>
                <w:lang w:eastAsia="cs-CZ"/>
              </w:rPr>
            </w:pPr>
            <w:r>
              <w:rPr>
                <w:rFonts w:eastAsia="Times New Roman" w:cs="Times New Roman"/>
                <w:i/>
                <w:lang w:eastAsia="cs-CZ"/>
              </w:rPr>
              <w:t>x</w:t>
            </w:r>
          </w:p>
        </w:tc>
      </w:tr>
    </w:tbl>
    <w:p w14:paraId="2158442D" w14:textId="254E4FD3" w:rsidR="00DC13B3" w:rsidRPr="00D070B8" w:rsidRDefault="002505F4" w:rsidP="00DC13B3">
      <w:pPr>
        <w:pStyle w:val="Styl1"/>
        <w:rPr>
          <w:color w:val="FF0000"/>
          <w:highlight w:val="yellow"/>
        </w:rPr>
      </w:pPr>
      <w:r w:rsidRPr="002511B8">
        <w:lastRenderedPageBreak/>
        <w:t xml:space="preserve">Návrh rozpočtu běžných výdajů na rok 2025 je oproti schválenému rozpočtu na rok 2024 </w:t>
      </w:r>
      <w:r w:rsidRPr="002511B8">
        <w:br/>
        <w:t xml:space="preserve">o </w:t>
      </w:r>
      <w:r>
        <w:t>585</w:t>
      </w:r>
      <w:r w:rsidRPr="002511B8">
        <w:t xml:space="preserve"> tis. Kč vyšší z důvodu posílení prostředků na platy zaměstnanců vč. příslušenství (podrobněji viz oddíl 3.2.2 Výdaje na platy a počty pracovníků za OSS a PO)</w:t>
      </w:r>
      <w:r w:rsidRPr="0052134B">
        <w:t>.</w:t>
      </w:r>
    </w:p>
    <w:p w14:paraId="06316940" w14:textId="4B992EAF" w:rsidR="00B94AFC" w:rsidRPr="002505F4" w:rsidRDefault="00B94AFC" w:rsidP="00B94AFC">
      <w:pPr>
        <w:pStyle w:val="Styl1"/>
      </w:pPr>
      <w:r w:rsidRPr="002505F4">
        <w:t>Počet zaměstnanců organizace pro rok 202</w:t>
      </w:r>
      <w:r w:rsidR="002505F4" w:rsidRPr="002505F4">
        <w:t>5</w:t>
      </w:r>
      <w:r w:rsidRPr="002505F4">
        <w:t xml:space="preserve"> je navržen ve výši 1</w:t>
      </w:r>
      <w:r w:rsidR="002505F4" w:rsidRPr="002505F4">
        <w:t>4</w:t>
      </w:r>
      <w:r w:rsidRPr="002505F4">
        <w:t>, v tom 1</w:t>
      </w:r>
      <w:r w:rsidR="002505F4" w:rsidRPr="002505F4">
        <w:t>4</w:t>
      </w:r>
      <w:r w:rsidRPr="002505F4">
        <w:t xml:space="preserve"> zaměstnanců v pracovním poměru. </w:t>
      </w:r>
      <w:r w:rsidR="002505F4" w:rsidRPr="002505F4">
        <w:t>Ve srovnání s rokem 2024 dochází ke snížení 1 zaměstnance.</w:t>
      </w:r>
    </w:p>
    <w:p w14:paraId="4AAAB9F9" w14:textId="079E2D3B" w:rsidR="00F65C9C" w:rsidRPr="002505F4" w:rsidRDefault="00F65C9C" w:rsidP="00F65C9C">
      <w:pPr>
        <w:pStyle w:val="Styl1"/>
      </w:pPr>
      <w:r w:rsidRPr="002505F4">
        <w:t>Objem ostatních běžných výdajů pro rok 202</w:t>
      </w:r>
      <w:r w:rsidR="002505F4" w:rsidRPr="002505F4">
        <w:t>5</w:t>
      </w:r>
      <w:r w:rsidRPr="002505F4">
        <w:t xml:space="preserve"> je navrhován ve výši 6 070 tis. Kč. V rámci ostatních běžných výdajů největší podíl tvoří výdaje na nájemné a na nákup ostatních služeb. Dalšími významnými položkami jsou výdaje na cestovné a pohonné hmoty, výdaje </w:t>
      </w:r>
      <w:r w:rsidRPr="002505F4">
        <w:br/>
        <w:t xml:space="preserve">na poradenské služby či služby školení a vzdělávání, tj. výdaje přímo související s šetřením leteckých nehod, dále pak výdaje na zahraniční cestovné v rámci spolupráce s mezinárodními organizacemi v oblasti letecké dopravy. </w:t>
      </w:r>
    </w:p>
    <w:p w14:paraId="04AB872A" w14:textId="41D2DDBE" w:rsidR="00751464" w:rsidRPr="00AF4D0B" w:rsidRDefault="00751464" w:rsidP="00751464">
      <w:pPr>
        <w:spacing w:line="240" w:lineRule="auto"/>
        <w:textAlignment w:val="baseline"/>
        <w:rPr>
          <w:rFonts w:eastAsia="Times New Roman" w:cs="Times New Roman"/>
          <w:b/>
          <w:bCs/>
          <w:szCs w:val="24"/>
          <w:lang w:eastAsia="cs-CZ"/>
        </w:rPr>
      </w:pPr>
      <w:r w:rsidRPr="00AF4D0B">
        <w:rPr>
          <w:rFonts w:eastAsia="Times New Roman" w:cs="Times New Roman"/>
          <w:b/>
          <w:bCs/>
          <w:szCs w:val="24"/>
          <w:u w:val="single"/>
          <w:lang w:eastAsia="cs-CZ"/>
        </w:rPr>
        <w:t>Dopravní a energetický stavební úřad</w:t>
      </w:r>
      <w:r w:rsidRPr="00AF4D0B">
        <w:rPr>
          <w:rFonts w:eastAsia="Times New Roman" w:cs="Times New Roman"/>
          <w:b/>
          <w:bCs/>
          <w:szCs w:val="24"/>
          <w:lang w:eastAsia="cs-CZ"/>
        </w:rPr>
        <w:t> </w:t>
      </w:r>
    </w:p>
    <w:p w14:paraId="48D36634" w14:textId="37CB009A" w:rsidR="00751464" w:rsidRPr="00AF4D0B" w:rsidRDefault="004A4726" w:rsidP="00C867CF">
      <w:pPr>
        <w:pStyle w:val="Styl1"/>
      </w:pPr>
      <w:r w:rsidRPr="00AF4D0B">
        <w:t xml:space="preserve">Dopravní a energetický stavební úřad byl zřízen od 1. července 2023. Od 1.1.2024 vykonává působnost stavebního úřadu ve věcech vyhrazených staveb, tedy staveb stanovených přílohou č. 3 zákona č. 283/2021 Sb., stavební zákon, ve znění zákona č. 195/2022 Sb. a č. 152/2023 Sb., kterými jsou např. stavby dálnic, stavby drah, civilní letecké stavby, stavby přenosové </w:t>
      </w:r>
      <w:r w:rsidRPr="00AF4D0B">
        <w:br/>
        <w:t>a přepravní soustavy, výrobny elektřiny o celkovém instalovaném výkonu 100 MW a více, stavby produktovodů, stavby jaderného zařízení, stavby některých výroben z obnovitelných zdrojů energie, stavby některých zařízení rozvodného tepelného zařízení. Tuto působnost vykonává rovněž i u souborů staveb, kde hlavní stavbou bude stavba vyhrazená a u staveb souvisejících s vyhrazenou stavbou. Organizační složka státu je rovněž nadřízeným správním orgánem krajských stavebních úřadů ve věcech silnic, místních komunikací a veřejně přístupných účelových komunikací, ve věcech výroben z obnovitelných zdrojů energií a ve věcech technické infrastruktury pro energetiku a elektronické komunikace</w:t>
      </w:r>
      <w:r w:rsidR="00751464" w:rsidRPr="00AF4D0B">
        <w:t>.</w:t>
      </w:r>
    </w:p>
    <w:p w14:paraId="04C14644" w14:textId="588683C5" w:rsidR="00751464" w:rsidRPr="00AF4D0B" w:rsidRDefault="00751464" w:rsidP="00751464">
      <w:pPr>
        <w:pStyle w:val="Titulek"/>
      </w:pPr>
      <w:r w:rsidRPr="00AF4D0B">
        <w:t xml:space="preserve">Tabulka č. </w:t>
      </w:r>
      <w:r w:rsidR="000B4FB5" w:rsidRPr="00AF4D0B">
        <w:rPr>
          <w:noProof/>
        </w:rPr>
        <w:fldChar w:fldCharType="begin"/>
      </w:r>
      <w:r w:rsidR="000B4FB5" w:rsidRPr="00AF4D0B">
        <w:rPr>
          <w:noProof/>
        </w:rPr>
        <w:instrText xml:space="preserve"> SEQ Tabulka \* ARABIC </w:instrText>
      </w:r>
      <w:r w:rsidR="000B4FB5" w:rsidRPr="00AF4D0B">
        <w:rPr>
          <w:noProof/>
        </w:rPr>
        <w:fldChar w:fldCharType="separate"/>
      </w:r>
      <w:r w:rsidR="003B0B01" w:rsidRPr="00AF4D0B">
        <w:rPr>
          <w:noProof/>
        </w:rPr>
        <w:t>20</w:t>
      </w:r>
      <w:r w:rsidR="000B4FB5" w:rsidRPr="00AF4D0B">
        <w:rPr>
          <w:noProof/>
        </w:rPr>
        <w:fldChar w:fldCharType="end"/>
      </w:r>
      <w:r w:rsidR="000B4FB5" w:rsidRPr="00AF4D0B">
        <w:rPr>
          <w:noProof/>
        </w:rPr>
        <w:t xml:space="preserve"> </w:t>
      </w:r>
      <w:r w:rsidR="000919E0" w:rsidRPr="00AF4D0B">
        <w:rPr>
          <w:noProof/>
        </w:rPr>
        <w:t>Dopravní a energetický stavební úřad</w:t>
      </w:r>
      <w:r w:rsidRPr="00AF4D0B">
        <w:rPr>
          <w:noProof/>
        </w:rPr>
        <w:t>–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751464" w:rsidRPr="00AF4D0B" w14:paraId="5533A9E7" w14:textId="77777777" w:rsidTr="001E02BC">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B14226" w14:textId="77777777"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435C0E" w14:textId="77777777"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Skutečnost</w:t>
            </w:r>
          </w:p>
          <w:p w14:paraId="3F2F8464" w14:textId="65A8E396"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202</w:t>
            </w:r>
            <w:r w:rsidR="004A4726" w:rsidRPr="00AF4D0B">
              <w:rPr>
                <w:rFonts w:eastAsia="Times New Roman" w:cs="Times New Roman"/>
                <w:b/>
                <w:szCs w:val="24"/>
                <w:lang w:eastAsia="cs-CZ"/>
              </w:rPr>
              <w:t>3</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F6BB2F" w14:textId="77777777"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Schválený</w:t>
            </w:r>
          </w:p>
          <w:p w14:paraId="4077BF29" w14:textId="77777777"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rozpočet</w:t>
            </w:r>
          </w:p>
          <w:p w14:paraId="4CED4D81" w14:textId="17DF7C48"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202</w:t>
            </w:r>
            <w:r w:rsidR="004A4726" w:rsidRPr="00AF4D0B">
              <w:rPr>
                <w:rFonts w:eastAsia="Times New Roman" w:cs="Times New Roman"/>
                <w:b/>
                <w:szCs w:val="24"/>
                <w:lang w:eastAsia="cs-CZ"/>
              </w:rPr>
              <w:t>4</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C31DE3" w14:textId="77777777"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Návrh</w:t>
            </w:r>
          </w:p>
          <w:p w14:paraId="465E6701" w14:textId="77777777"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rozpočtu</w:t>
            </w:r>
          </w:p>
          <w:p w14:paraId="2EA26D87" w14:textId="3098F984"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202</w:t>
            </w:r>
            <w:r w:rsidR="004A4726" w:rsidRPr="00AF4D0B">
              <w:rPr>
                <w:rFonts w:eastAsia="Times New Roman" w:cs="Times New Roman"/>
                <w:b/>
                <w:szCs w:val="24"/>
                <w:lang w:eastAsia="cs-CZ"/>
              </w:rPr>
              <w:t>5</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850978E" w14:textId="77777777"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Index</w:t>
            </w:r>
          </w:p>
          <w:p w14:paraId="36D2EF50" w14:textId="55BBC248" w:rsidR="00751464" w:rsidRPr="00AF4D0B" w:rsidRDefault="00751464" w:rsidP="001E02BC">
            <w:pPr>
              <w:jc w:val="center"/>
              <w:rPr>
                <w:rFonts w:eastAsia="Times New Roman" w:cs="Times New Roman"/>
                <w:b/>
                <w:szCs w:val="24"/>
                <w:lang w:eastAsia="cs-CZ"/>
              </w:rPr>
            </w:pPr>
            <w:r w:rsidRPr="00AF4D0B">
              <w:rPr>
                <w:rFonts w:eastAsia="Times New Roman" w:cs="Times New Roman"/>
                <w:b/>
                <w:szCs w:val="24"/>
                <w:lang w:eastAsia="cs-CZ"/>
              </w:rPr>
              <w:t>202</w:t>
            </w:r>
            <w:r w:rsidR="004A4726" w:rsidRPr="00AF4D0B">
              <w:rPr>
                <w:rFonts w:eastAsia="Times New Roman" w:cs="Times New Roman"/>
                <w:b/>
                <w:szCs w:val="24"/>
                <w:lang w:eastAsia="cs-CZ"/>
              </w:rPr>
              <w:t>5</w:t>
            </w:r>
            <w:r w:rsidRPr="00AF4D0B">
              <w:rPr>
                <w:rFonts w:eastAsia="Times New Roman" w:cs="Times New Roman"/>
                <w:b/>
                <w:szCs w:val="24"/>
                <w:lang w:eastAsia="cs-CZ"/>
              </w:rPr>
              <w:t>/</w:t>
            </w:r>
            <w:r w:rsidRPr="00AF4D0B">
              <w:rPr>
                <w:rFonts w:eastAsia="Times New Roman" w:cs="Times New Roman"/>
                <w:b/>
                <w:szCs w:val="24"/>
                <w:lang w:eastAsia="cs-CZ"/>
              </w:rPr>
              <w:br/>
              <w:t>202</w:t>
            </w:r>
            <w:r w:rsidR="004A4726" w:rsidRPr="00AF4D0B">
              <w:rPr>
                <w:rFonts w:eastAsia="Times New Roman" w:cs="Times New Roman"/>
                <w:b/>
                <w:szCs w:val="24"/>
                <w:lang w:eastAsia="cs-CZ"/>
              </w:rPr>
              <w:t>4</w:t>
            </w:r>
            <w:r w:rsidRPr="00AF4D0B">
              <w:rPr>
                <w:rFonts w:eastAsia="Times New Roman" w:cs="Times New Roman"/>
                <w:b/>
                <w:szCs w:val="24"/>
                <w:lang w:eastAsia="cs-CZ"/>
              </w:rPr>
              <w:br/>
              <w:t>(v %)</w:t>
            </w:r>
          </w:p>
        </w:tc>
      </w:tr>
      <w:tr w:rsidR="00751464" w:rsidRPr="00AF4D0B" w14:paraId="50ED4FCE" w14:textId="77777777" w:rsidTr="001E02BC">
        <w:tc>
          <w:tcPr>
            <w:tcW w:w="4320" w:type="dxa"/>
            <w:tcBorders>
              <w:top w:val="single" w:sz="4" w:space="0" w:color="7F7F7F" w:themeColor="text1" w:themeTint="80"/>
              <w:bottom w:val="single" w:sz="8" w:space="0" w:color="7F7F7F" w:themeColor="text1" w:themeTint="80"/>
            </w:tcBorders>
            <w:shd w:val="clear" w:color="auto" w:fill="auto"/>
          </w:tcPr>
          <w:p w14:paraId="3A09D497" w14:textId="77777777" w:rsidR="00751464" w:rsidRPr="00AF4D0B" w:rsidRDefault="00751464" w:rsidP="001E02BC">
            <w:pPr>
              <w:jc w:val="center"/>
              <w:rPr>
                <w:rFonts w:eastAsia="Times New Roman" w:cs="Times New Roman"/>
                <w:szCs w:val="24"/>
                <w:lang w:eastAsia="cs-CZ"/>
              </w:rPr>
            </w:pPr>
            <w:r w:rsidRPr="00AF4D0B">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262D7E3F" w14:textId="77777777" w:rsidR="00751464" w:rsidRPr="00AF4D0B" w:rsidRDefault="00751464" w:rsidP="001E02BC">
            <w:pPr>
              <w:jc w:val="center"/>
              <w:rPr>
                <w:rFonts w:eastAsia="Times New Roman" w:cs="Times New Roman"/>
                <w:szCs w:val="24"/>
                <w:lang w:eastAsia="cs-CZ"/>
              </w:rPr>
            </w:pPr>
            <w:r w:rsidRPr="00AF4D0B">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3A51051D" w14:textId="77777777" w:rsidR="00751464" w:rsidRPr="00AF4D0B" w:rsidRDefault="00751464" w:rsidP="001E02BC">
            <w:pPr>
              <w:jc w:val="center"/>
              <w:rPr>
                <w:rFonts w:eastAsia="Times New Roman" w:cs="Times New Roman"/>
                <w:szCs w:val="24"/>
                <w:lang w:eastAsia="cs-CZ"/>
              </w:rPr>
            </w:pPr>
            <w:r w:rsidRPr="00AF4D0B">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513DF549" w14:textId="77777777" w:rsidR="00751464" w:rsidRPr="00AF4D0B" w:rsidRDefault="00751464" w:rsidP="001E02BC">
            <w:pPr>
              <w:jc w:val="center"/>
              <w:rPr>
                <w:rFonts w:eastAsia="Times New Roman" w:cs="Times New Roman"/>
                <w:szCs w:val="24"/>
                <w:lang w:eastAsia="cs-CZ"/>
              </w:rPr>
            </w:pPr>
            <w:r w:rsidRPr="00AF4D0B">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14:paraId="50F7E3DC" w14:textId="77777777" w:rsidR="00751464" w:rsidRPr="00AF4D0B" w:rsidRDefault="00751464" w:rsidP="001E02BC">
            <w:pPr>
              <w:jc w:val="center"/>
              <w:rPr>
                <w:rFonts w:eastAsia="Times New Roman" w:cs="Times New Roman"/>
                <w:szCs w:val="24"/>
                <w:lang w:eastAsia="cs-CZ"/>
              </w:rPr>
            </w:pPr>
            <w:r w:rsidRPr="00AF4D0B">
              <w:rPr>
                <w:rFonts w:eastAsia="Times New Roman" w:cs="Times New Roman"/>
                <w:szCs w:val="24"/>
                <w:lang w:eastAsia="cs-CZ"/>
              </w:rPr>
              <w:t>4</w:t>
            </w:r>
          </w:p>
        </w:tc>
      </w:tr>
      <w:tr w:rsidR="00AF4D0B" w:rsidRPr="00AF4D0B" w14:paraId="410B21CF" w14:textId="77777777" w:rsidTr="00AF4D0B">
        <w:trPr>
          <w:trHeight w:val="475"/>
        </w:trPr>
        <w:tc>
          <w:tcPr>
            <w:tcW w:w="4320" w:type="dxa"/>
            <w:tcBorders>
              <w:top w:val="single" w:sz="8" w:space="0" w:color="7F7F7F" w:themeColor="text1" w:themeTint="80"/>
              <w:bottom w:val="single" w:sz="8" w:space="0" w:color="7F7F7F" w:themeColor="text1" w:themeTint="80"/>
            </w:tcBorders>
            <w:shd w:val="clear" w:color="auto" w:fill="auto"/>
          </w:tcPr>
          <w:p w14:paraId="3B1B665B" w14:textId="42D7B860" w:rsidR="00AF4D0B" w:rsidRPr="00AF4D0B" w:rsidRDefault="00AF4D0B" w:rsidP="00AF4D0B">
            <w:pPr>
              <w:spacing w:before="120"/>
              <w:rPr>
                <w:rFonts w:eastAsia="Times New Roman" w:cs="Times New Roman"/>
                <w:lang w:eastAsia="cs-CZ"/>
              </w:rPr>
            </w:pPr>
            <w:r w:rsidRPr="00AF4D0B">
              <w:rPr>
                <w:rFonts w:eastAsia="Times New Roman" w:cs="Times New Roman"/>
                <w:b/>
                <w:bCs/>
                <w:lang w:eastAsia="cs-CZ"/>
              </w:rPr>
              <w:t xml:space="preserve">Běžné výdaje </w:t>
            </w:r>
            <w:r w:rsidRPr="00AF4D0B">
              <w:rPr>
                <w:rFonts w:eastAsia="Times New Roman" w:cs="Times New Roman"/>
                <w:lang w:eastAsia="cs-CZ"/>
              </w:rPr>
              <w:t>v tom:</w:t>
            </w:r>
            <w:r w:rsidRPr="00AF4D0B">
              <w:rPr>
                <w:rFonts w:eastAsia="Times New Roman" w:cs="Times New Roman"/>
                <w:b/>
                <w:lang w:eastAsia="cs-CZ"/>
              </w:rPr>
              <w:t xml:space="preserve"> </w:t>
            </w:r>
          </w:p>
        </w:tc>
        <w:tc>
          <w:tcPr>
            <w:tcW w:w="1340" w:type="dxa"/>
            <w:tcBorders>
              <w:top w:val="single" w:sz="8" w:space="0" w:color="7F7F7F" w:themeColor="text1" w:themeTint="80"/>
              <w:bottom w:val="single" w:sz="8" w:space="0" w:color="7F7F7F" w:themeColor="text1" w:themeTint="80"/>
            </w:tcBorders>
            <w:shd w:val="clear" w:color="auto" w:fill="auto"/>
            <w:vAlign w:val="center"/>
          </w:tcPr>
          <w:p w14:paraId="253286B4" w14:textId="041CDE6A" w:rsidR="00AF4D0B" w:rsidRPr="00AF4D0B" w:rsidRDefault="00AF4D0B" w:rsidP="00AF4D0B">
            <w:pPr>
              <w:jc w:val="right"/>
              <w:rPr>
                <w:rFonts w:eastAsia="Times New Roman" w:cs="Times New Roman"/>
                <w:b/>
                <w:bCs/>
                <w:lang w:eastAsia="cs-CZ"/>
              </w:rPr>
            </w:pPr>
            <w:r w:rsidRPr="00AF4D0B">
              <w:rPr>
                <w:b/>
                <w:bCs/>
                <w:szCs w:val="24"/>
              </w:rPr>
              <w:t>6 377</w:t>
            </w:r>
          </w:p>
        </w:tc>
        <w:tc>
          <w:tcPr>
            <w:tcW w:w="1418" w:type="dxa"/>
            <w:tcBorders>
              <w:top w:val="single" w:sz="8" w:space="0" w:color="7F7F7F" w:themeColor="text1" w:themeTint="80"/>
              <w:bottom w:val="single" w:sz="8" w:space="0" w:color="7F7F7F" w:themeColor="text1" w:themeTint="80"/>
            </w:tcBorders>
            <w:shd w:val="clear" w:color="auto" w:fill="auto"/>
            <w:vAlign w:val="center"/>
          </w:tcPr>
          <w:p w14:paraId="1E667279" w14:textId="609634F5" w:rsidR="00AF4D0B" w:rsidRPr="00AF4D0B" w:rsidRDefault="00AF4D0B" w:rsidP="00AF4D0B">
            <w:pPr>
              <w:jc w:val="right"/>
              <w:rPr>
                <w:rFonts w:eastAsia="Times New Roman" w:cs="Times New Roman"/>
                <w:b/>
                <w:bCs/>
                <w:lang w:eastAsia="cs-CZ"/>
              </w:rPr>
            </w:pPr>
            <w:r w:rsidRPr="00AF4D0B">
              <w:rPr>
                <w:b/>
                <w:bCs/>
                <w:szCs w:val="24"/>
              </w:rPr>
              <w:t>77 093</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5B423F95" w14:textId="5FAD3F72" w:rsidR="00AF4D0B" w:rsidRPr="00AF4D0B" w:rsidRDefault="00AF4D0B" w:rsidP="00AF4D0B">
            <w:pPr>
              <w:jc w:val="right"/>
              <w:rPr>
                <w:rFonts w:eastAsia="Times New Roman" w:cs="Times New Roman"/>
                <w:b/>
                <w:bCs/>
                <w:color w:val="FF0000"/>
                <w:lang w:eastAsia="cs-CZ"/>
              </w:rPr>
            </w:pPr>
            <w:r w:rsidRPr="00AF4D0B">
              <w:rPr>
                <w:rFonts w:eastAsia="Times New Roman" w:cs="Times New Roman"/>
                <w:b/>
                <w:bCs/>
                <w:lang w:eastAsia="cs-CZ"/>
              </w:rPr>
              <w:t>129 712</w:t>
            </w:r>
          </w:p>
        </w:tc>
        <w:tc>
          <w:tcPr>
            <w:tcW w:w="927" w:type="dxa"/>
            <w:tcBorders>
              <w:top w:val="single" w:sz="8" w:space="0" w:color="7F7F7F" w:themeColor="text1" w:themeTint="80"/>
              <w:bottom w:val="single" w:sz="8" w:space="0" w:color="7F7F7F" w:themeColor="text1" w:themeTint="80"/>
            </w:tcBorders>
            <w:shd w:val="clear" w:color="auto" w:fill="auto"/>
            <w:vAlign w:val="center"/>
          </w:tcPr>
          <w:p w14:paraId="178E16BD" w14:textId="729A2400" w:rsidR="00AF4D0B" w:rsidRPr="00AF4D0B" w:rsidRDefault="00AF4D0B" w:rsidP="00AF4D0B">
            <w:pPr>
              <w:jc w:val="right"/>
              <w:rPr>
                <w:rFonts w:eastAsia="Times New Roman" w:cs="Times New Roman"/>
                <w:b/>
                <w:color w:val="FF0000"/>
                <w:lang w:eastAsia="cs-CZ"/>
              </w:rPr>
            </w:pPr>
            <w:r w:rsidRPr="00AF4D0B">
              <w:rPr>
                <w:rFonts w:eastAsia="Times New Roman" w:cs="Times New Roman"/>
                <w:b/>
                <w:bCs/>
                <w:lang w:eastAsia="cs-CZ"/>
              </w:rPr>
              <w:t>168,25</w:t>
            </w:r>
          </w:p>
        </w:tc>
      </w:tr>
      <w:tr w:rsidR="00AF4D0B" w:rsidRPr="00AF4D0B" w14:paraId="5EDDCED3" w14:textId="77777777" w:rsidTr="00AF4D0B">
        <w:tc>
          <w:tcPr>
            <w:tcW w:w="4320" w:type="dxa"/>
            <w:tcBorders>
              <w:top w:val="single" w:sz="8" w:space="0" w:color="7F7F7F" w:themeColor="text1" w:themeTint="80"/>
            </w:tcBorders>
            <w:shd w:val="clear" w:color="auto" w:fill="auto"/>
          </w:tcPr>
          <w:p w14:paraId="7EDB327B" w14:textId="77777777" w:rsidR="00AF4D0B" w:rsidRPr="00AF4D0B" w:rsidRDefault="00AF4D0B" w:rsidP="00AF4D0B">
            <w:pPr>
              <w:rPr>
                <w:rFonts w:eastAsia="Times New Roman" w:cs="Times New Roman"/>
                <w:lang w:eastAsia="cs-CZ"/>
              </w:rPr>
            </w:pPr>
            <w:r w:rsidRPr="00AF4D0B">
              <w:rPr>
                <w:rFonts w:eastAsia="Times New Roman" w:cs="Times New Roman"/>
                <w:lang w:eastAsia="cs-CZ"/>
              </w:rPr>
              <w:t>platy zaměstnanců a ostatní platby</w:t>
            </w:r>
          </w:p>
          <w:p w14:paraId="6391700E" w14:textId="3A2C98A9" w:rsidR="00AF4D0B" w:rsidRPr="00AF4D0B" w:rsidRDefault="00AF4D0B" w:rsidP="00AF4D0B">
            <w:pPr>
              <w:rPr>
                <w:rFonts w:eastAsia="Times New Roman" w:cs="Times New Roman"/>
                <w:lang w:eastAsia="cs-CZ"/>
              </w:rPr>
            </w:pPr>
            <w:r w:rsidRPr="00AF4D0B">
              <w:rPr>
                <w:rFonts w:eastAsia="Times New Roman" w:cs="Times New Roman"/>
                <w:lang w:eastAsia="cs-CZ"/>
              </w:rPr>
              <w:t>za provedenou práci</w:t>
            </w:r>
          </w:p>
        </w:tc>
        <w:tc>
          <w:tcPr>
            <w:tcW w:w="1340" w:type="dxa"/>
            <w:tcBorders>
              <w:top w:val="single" w:sz="8" w:space="0" w:color="7F7F7F" w:themeColor="text1" w:themeTint="80"/>
            </w:tcBorders>
            <w:shd w:val="clear" w:color="auto" w:fill="auto"/>
            <w:vAlign w:val="center"/>
          </w:tcPr>
          <w:p w14:paraId="5D84B894" w14:textId="2541F06F" w:rsidR="00AF4D0B" w:rsidRPr="00AF4D0B" w:rsidRDefault="00AF4D0B" w:rsidP="00AF4D0B">
            <w:pPr>
              <w:jc w:val="right"/>
              <w:rPr>
                <w:rFonts w:eastAsia="Times New Roman" w:cs="Times New Roman"/>
                <w:lang w:eastAsia="cs-CZ"/>
              </w:rPr>
            </w:pPr>
            <w:r w:rsidRPr="00AF4D0B">
              <w:rPr>
                <w:szCs w:val="24"/>
              </w:rPr>
              <w:t>2 213</w:t>
            </w:r>
          </w:p>
        </w:tc>
        <w:tc>
          <w:tcPr>
            <w:tcW w:w="1418" w:type="dxa"/>
            <w:tcBorders>
              <w:top w:val="single" w:sz="8" w:space="0" w:color="7F7F7F" w:themeColor="text1" w:themeTint="80"/>
            </w:tcBorders>
            <w:shd w:val="clear" w:color="auto" w:fill="auto"/>
            <w:vAlign w:val="center"/>
          </w:tcPr>
          <w:p w14:paraId="47A9EA65" w14:textId="523DEEEA" w:rsidR="00AF4D0B" w:rsidRPr="00AF4D0B" w:rsidRDefault="00AF4D0B" w:rsidP="00AF4D0B">
            <w:pPr>
              <w:jc w:val="right"/>
              <w:rPr>
                <w:rFonts w:eastAsia="Times New Roman" w:cs="Times New Roman"/>
                <w:lang w:eastAsia="cs-CZ"/>
              </w:rPr>
            </w:pPr>
            <w:r w:rsidRPr="00AF4D0B">
              <w:rPr>
                <w:szCs w:val="24"/>
              </w:rPr>
              <w:t>41 996</w:t>
            </w:r>
          </w:p>
        </w:tc>
        <w:tc>
          <w:tcPr>
            <w:tcW w:w="1134" w:type="dxa"/>
            <w:tcBorders>
              <w:top w:val="single" w:sz="8" w:space="0" w:color="7F7F7F" w:themeColor="text1" w:themeTint="80"/>
            </w:tcBorders>
            <w:shd w:val="clear" w:color="auto" w:fill="auto"/>
            <w:vAlign w:val="center"/>
          </w:tcPr>
          <w:p w14:paraId="5C91FC5B" w14:textId="771725F2"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 xml:space="preserve">73 181 </w:t>
            </w:r>
          </w:p>
        </w:tc>
        <w:tc>
          <w:tcPr>
            <w:tcW w:w="927" w:type="dxa"/>
            <w:tcBorders>
              <w:top w:val="single" w:sz="8" w:space="0" w:color="7F7F7F" w:themeColor="text1" w:themeTint="80"/>
            </w:tcBorders>
            <w:shd w:val="clear" w:color="auto" w:fill="auto"/>
            <w:vAlign w:val="center"/>
          </w:tcPr>
          <w:p w14:paraId="678B1CD4" w14:textId="7FEAC1DD"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174,26</w:t>
            </w:r>
          </w:p>
        </w:tc>
      </w:tr>
      <w:tr w:rsidR="00AF4D0B" w:rsidRPr="00AF4D0B" w14:paraId="0DF9303B" w14:textId="77777777" w:rsidTr="00AF4D0B">
        <w:tc>
          <w:tcPr>
            <w:tcW w:w="4320" w:type="dxa"/>
            <w:shd w:val="clear" w:color="auto" w:fill="auto"/>
          </w:tcPr>
          <w:p w14:paraId="7E545E5F" w14:textId="1281D7D1" w:rsidR="00AF4D0B" w:rsidRPr="00AF4D0B" w:rsidRDefault="00AF4D0B" w:rsidP="00AF4D0B">
            <w:pPr>
              <w:rPr>
                <w:rFonts w:eastAsia="Times New Roman" w:cs="Times New Roman"/>
                <w:lang w:eastAsia="cs-CZ"/>
              </w:rPr>
            </w:pPr>
            <w:r w:rsidRPr="00AF4D0B">
              <w:rPr>
                <w:rFonts w:eastAsia="Times New Roman" w:cs="Times New Roman"/>
                <w:lang w:eastAsia="cs-CZ"/>
              </w:rPr>
              <w:t>povinné pojistné placené zaměstnavatelem</w:t>
            </w:r>
          </w:p>
        </w:tc>
        <w:tc>
          <w:tcPr>
            <w:tcW w:w="1340" w:type="dxa"/>
            <w:shd w:val="clear" w:color="auto" w:fill="auto"/>
            <w:vAlign w:val="center"/>
          </w:tcPr>
          <w:p w14:paraId="05B56E08" w14:textId="5214439A" w:rsidR="00AF4D0B" w:rsidRPr="00AF4D0B" w:rsidRDefault="00AF4D0B" w:rsidP="00AF4D0B">
            <w:pPr>
              <w:jc w:val="right"/>
              <w:rPr>
                <w:rFonts w:cs="Times New Roman"/>
              </w:rPr>
            </w:pPr>
            <w:r w:rsidRPr="00AF4D0B">
              <w:rPr>
                <w:szCs w:val="24"/>
              </w:rPr>
              <w:t>748</w:t>
            </w:r>
          </w:p>
        </w:tc>
        <w:tc>
          <w:tcPr>
            <w:tcW w:w="1418" w:type="dxa"/>
            <w:shd w:val="clear" w:color="auto" w:fill="auto"/>
            <w:vAlign w:val="center"/>
          </w:tcPr>
          <w:p w14:paraId="1C4AE4C7" w14:textId="339FC3D8" w:rsidR="00AF4D0B" w:rsidRPr="00AF4D0B" w:rsidRDefault="00AF4D0B" w:rsidP="00AF4D0B">
            <w:pPr>
              <w:jc w:val="right"/>
              <w:rPr>
                <w:rFonts w:eastAsia="Times New Roman" w:cs="Times New Roman"/>
                <w:lang w:eastAsia="cs-CZ"/>
              </w:rPr>
            </w:pPr>
            <w:r w:rsidRPr="00AF4D0B">
              <w:rPr>
                <w:szCs w:val="24"/>
              </w:rPr>
              <w:t>14 195</w:t>
            </w:r>
          </w:p>
        </w:tc>
        <w:tc>
          <w:tcPr>
            <w:tcW w:w="1134" w:type="dxa"/>
            <w:shd w:val="clear" w:color="auto" w:fill="auto"/>
            <w:vAlign w:val="center"/>
          </w:tcPr>
          <w:p w14:paraId="00375ECB" w14:textId="27882F08"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24 735</w:t>
            </w:r>
          </w:p>
        </w:tc>
        <w:tc>
          <w:tcPr>
            <w:tcW w:w="927" w:type="dxa"/>
            <w:shd w:val="clear" w:color="auto" w:fill="auto"/>
            <w:vAlign w:val="center"/>
          </w:tcPr>
          <w:p w14:paraId="673C4392" w14:textId="26BDA153"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 xml:space="preserve">174,25 </w:t>
            </w:r>
          </w:p>
        </w:tc>
      </w:tr>
      <w:tr w:rsidR="00AF4D0B" w:rsidRPr="00AF4D0B" w14:paraId="0217C3E4" w14:textId="77777777" w:rsidTr="00AF4D0B">
        <w:tc>
          <w:tcPr>
            <w:tcW w:w="4320" w:type="dxa"/>
            <w:shd w:val="clear" w:color="auto" w:fill="auto"/>
          </w:tcPr>
          <w:p w14:paraId="2BBBF06C" w14:textId="3B976B5D" w:rsidR="00AF4D0B" w:rsidRPr="00AF4D0B" w:rsidRDefault="00AF4D0B" w:rsidP="00AF4D0B">
            <w:pPr>
              <w:rPr>
                <w:rFonts w:eastAsia="Times New Roman" w:cs="Times New Roman"/>
                <w:lang w:eastAsia="cs-CZ"/>
              </w:rPr>
            </w:pPr>
            <w:r w:rsidRPr="00AF4D0B">
              <w:rPr>
                <w:rFonts w:eastAsia="Times New Roman" w:cs="Times New Roman"/>
                <w:lang w:eastAsia="cs-CZ"/>
              </w:rPr>
              <w:t>příděl FKSP</w:t>
            </w:r>
          </w:p>
        </w:tc>
        <w:tc>
          <w:tcPr>
            <w:tcW w:w="1340" w:type="dxa"/>
            <w:shd w:val="clear" w:color="auto" w:fill="auto"/>
            <w:vAlign w:val="center"/>
          </w:tcPr>
          <w:p w14:paraId="6403206C" w14:textId="55392393" w:rsidR="00AF4D0B" w:rsidRPr="00AF4D0B" w:rsidRDefault="00AF4D0B" w:rsidP="00AF4D0B">
            <w:pPr>
              <w:jc w:val="right"/>
              <w:rPr>
                <w:rFonts w:cs="Times New Roman"/>
              </w:rPr>
            </w:pPr>
            <w:r w:rsidRPr="00AF4D0B">
              <w:rPr>
                <w:szCs w:val="24"/>
              </w:rPr>
              <w:t>44</w:t>
            </w:r>
          </w:p>
        </w:tc>
        <w:tc>
          <w:tcPr>
            <w:tcW w:w="1418" w:type="dxa"/>
            <w:shd w:val="clear" w:color="auto" w:fill="auto"/>
            <w:vAlign w:val="center"/>
          </w:tcPr>
          <w:p w14:paraId="66FFAA1F" w14:textId="5A654DFD" w:rsidR="00AF4D0B" w:rsidRPr="00AF4D0B" w:rsidRDefault="00AF4D0B" w:rsidP="00AF4D0B">
            <w:pPr>
              <w:jc w:val="right"/>
              <w:rPr>
                <w:rFonts w:eastAsia="Times New Roman" w:cs="Times New Roman"/>
                <w:lang w:eastAsia="cs-CZ"/>
              </w:rPr>
            </w:pPr>
            <w:r w:rsidRPr="00AF4D0B">
              <w:rPr>
                <w:szCs w:val="24"/>
              </w:rPr>
              <w:t>417</w:t>
            </w:r>
          </w:p>
        </w:tc>
        <w:tc>
          <w:tcPr>
            <w:tcW w:w="1134" w:type="dxa"/>
            <w:shd w:val="clear" w:color="auto" w:fill="auto"/>
            <w:vAlign w:val="center"/>
          </w:tcPr>
          <w:p w14:paraId="792E4DC3" w14:textId="3AF7AE8B"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729</w:t>
            </w:r>
          </w:p>
        </w:tc>
        <w:tc>
          <w:tcPr>
            <w:tcW w:w="927" w:type="dxa"/>
            <w:shd w:val="clear" w:color="auto" w:fill="auto"/>
            <w:vAlign w:val="center"/>
          </w:tcPr>
          <w:p w14:paraId="006A1E44" w14:textId="7164F9E9"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174,82</w:t>
            </w:r>
          </w:p>
        </w:tc>
      </w:tr>
      <w:tr w:rsidR="00AF4D0B" w:rsidRPr="00AF4D0B" w14:paraId="4A1536C2" w14:textId="77777777" w:rsidTr="00AF4D0B">
        <w:tc>
          <w:tcPr>
            <w:tcW w:w="4320" w:type="dxa"/>
            <w:tcBorders>
              <w:bottom w:val="nil"/>
            </w:tcBorders>
            <w:shd w:val="clear" w:color="auto" w:fill="auto"/>
          </w:tcPr>
          <w:p w14:paraId="64C2A33F" w14:textId="2068352A" w:rsidR="00AF4D0B" w:rsidRPr="00AF4D0B" w:rsidRDefault="00AF4D0B" w:rsidP="00AF4D0B">
            <w:pPr>
              <w:jc w:val="left"/>
              <w:rPr>
                <w:rFonts w:eastAsia="Times New Roman" w:cs="Times New Roman"/>
                <w:lang w:eastAsia="cs-CZ"/>
              </w:rPr>
            </w:pPr>
            <w:r w:rsidRPr="00AF4D0B">
              <w:rPr>
                <w:rFonts w:eastAsia="Times New Roman" w:cs="Times New Roman"/>
                <w:lang w:eastAsia="cs-CZ"/>
              </w:rPr>
              <w:t>ostatní neinvestiční nákupy a související výdaje</w:t>
            </w:r>
          </w:p>
        </w:tc>
        <w:tc>
          <w:tcPr>
            <w:tcW w:w="1340" w:type="dxa"/>
            <w:tcBorders>
              <w:bottom w:val="nil"/>
            </w:tcBorders>
            <w:shd w:val="clear" w:color="auto" w:fill="auto"/>
            <w:vAlign w:val="center"/>
          </w:tcPr>
          <w:p w14:paraId="19FD8DAD" w14:textId="339E0874" w:rsidR="00AF4D0B" w:rsidRPr="00AF4D0B" w:rsidRDefault="00AF4D0B" w:rsidP="00AF4D0B">
            <w:pPr>
              <w:jc w:val="right"/>
              <w:rPr>
                <w:rFonts w:cs="Times New Roman"/>
              </w:rPr>
            </w:pPr>
            <w:r w:rsidRPr="00AF4D0B">
              <w:rPr>
                <w:szCs w:val="24"/>
              </w:rPr>
              <w:t>3 372</w:t>
            </w:r>
          </w:p>
        </w:tc>
        <w:tc>
          <w:tcPr>
            <w:tcW w:w="1418" w:type="dxa"/>
            <w:tcBorders>
              <w:bottom w:val="nil"/>
            </w:tcBorders>
            <w:shd w:val="clear" w:color="auto" w:fill="auto"/>
            <w:vAlign w:val="center"/>
          </w:tcPr>
          <w:p w14:paraId="2F30F2A7" w14:textId="1D2E42E2" w:rsidR="00AF4D0B" w:rsidRPr="00AF4D0B" w:rsidRDefault="00AF4D0B" w:rsidP="00AF4D0B">
            <w:pPr>
              <w:jc w:val="right"/>
              <w:rPr>
                <w:rFonts w:eastAsia="Times New Roman" w:cs="Times New Roman"/>
                <w:lang w:eastAsia="cs-CZ"/>
              </w:rPr>
            </w:pPr>
            <w:r w:rsidRPr="00AF4D0B">
              <w:rPr>
                <w:szCs w:val="24"/>
              </w:rPr>
              <w:t>20 485</w:t>
            </w:r>
          </w:p>
        </w:tc>
        <w:tc>
          <w:tcPr>
            <w:tcW w:w="1134" w:type="dxa"/>
            <w:tcBorders>
              <w:bottom w:val="nil"/>
            </w:tcBorders>
            <w:shd w:val="clear" w:color="auto" w:fill="auto"/>
            <w:vAlign w:val="center"/>
          </w:tcPr>
          <w:p w14:paraId="03D9AB1E" w14:textId="35993C2B"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31 067</w:t>
            </w:r>
          </w:p>
        </w:tc>
        <w:tc>
          <w:tcPr>
            <w:tcW w:w="927" w:type="dxa"/>
            <w:tcBorders>
              <w:bottom w:val="nil"/>
            </w:tcBorders>
            <w:shd w:val="clear" w:color="auto" w:fill="auto"/>
            <w:vAlign w:val="center"/>
          </w:tcPr>
          <w:p w14:paraId="50864516" w14:textId="461E9B39" w:rsidR="00AF4D0B" w:rsidRPr="00AF4D0B" w:rsidRDefault="00AF4D0B" w:rsidP="00AF4D0B">
            <w:pPr>
              <w:jc w:val="right"/>
              <w:rPr>
                <w:rFonts w:eastAsia="Times New Roman" w:cs="Times New Roman"/>
                <w:color w:val="FF0000"/>
                <w:lang w:eastAsia="cs-CZ"/>
              </w:rPr>
            </w:pPr>
            <w:r w:rsidRPr="00AF4D0B">
              <w:rPr>
                <w:rFonts w:eastAsia="Times New Roman" w:cs="Times New Roman"/>
                <w:lang w:eastAsia="cs-CZ"/>
              </w:rPr>
              <w:t>151,66</w:t>
            </w:r>
          </w:p>
        </w:tc>
      </w:tr>
      <w:tr w:rsidR="00AF4D0B" w:rsidRPr="00AF4D0B" w14:paraId="6206B2E4" w14:textId="77777777" w:rsidTr="00AF4D0B">
        <w:tc>
          <w:tcPr>
            <w:tcW w:w="4320" w:type="dxa"/>
            <w:tcBorders>
              <w:top w:val="nil"/>
              <w:bottom w:val="nil"/>
            </w:tcBorders>
            <w:shd w:val="clear" w:color="auto" w:fill="auto"/>
          </w:tcPr>
          <w:p w14:paraId="2AE27B2F" w14:textId="6BF91F3A" w:rsidR="00AF4D0B" w:rsidRPr="00AF4D0B" w:rsidRDefault="00AF4D0B" w:rsidP="00AF4D0B">
            <w:pPr>
              <w:jc w:val="left"/>
              <w:rPr>
                <w:rFonts w:eastAsia="Times New Roman" w:cs="Times New Roman"/>
                <w:i/>
                <w:lang w:eastAsia="cs-CZ"/>
              </w:rPr>
            </w:pPr>
            <w:r w:rsidRPr="00AF4D0B">
              <w:rPr>
                <w:rFonts w:eastAsia="Times New Roman" w:cs="Times New Roman"/>
                <w:i/>
                <w:lang w:eastAsia="cs-CZ"/>
              </w:rPr>
              <w:t>z toho: programové financování</w:t>
            </w:r>
            <w:r w:rsidRPr="00AF4D0B">
              <w:rPr>
                <w:rFonts w:eastAsia="Times New Roman" w:cs="Times New Roman"/>
                <w:i/>
                <w:lang w:eastAsia="cs-CZ"/>
              </w:rPr>
              <w:br/>
            </w:r>
            <w:r w:rsidRPr="00AF4D0B">
              <w:rPr>
                <w:rFonts w:eastAsia="Times New Roman" w:cs="Times New Roman"/>
                <w:i/>
                <w:lang w:eastAsia="cs-CZ"/>
              </w:rPr>
              <w:tab/>
              <w:t>(EDS/SMVS)</w:t>
            </w:r>
          </w:p>
        </w:tc>
        <w:tc>
          <w:tcPr>
            <w:tcW w:w="1340" w:type="dxa"/>
            <w:tcBorders>
              <w:top w:val="nil"/>
              <w:bottom w:val="nil"/>
            </w:tcBorders>
            <w:shd w:val="clear" w:color="auto" w:fill="auto"/>
            <w:vAlign w:val="center"/>
          </w:tcPr>
          <w:p w14:paraId="4D9C7139" w14:textId="78B04D51" w:rsidR="00AF4D0B" w:rsidRPr="00AF4D0B" w:rsidRDefault="00AF4D0B" w:rsidP="00AF4D0B">
            <w:pPr>
              <w:jc w:val="right"/>
              <w:rPr>
                <w:rFonts w:cs="Times New Roman"/>
                <w:i/>
                <w:iCs/>
              </w:rPr>
            </w:pPr>
            <w:r w:rsidRPr="00AF4D0B">
              <w:rPr>
                <w:i/>
                <w:szCs w:val="24"/>
              </w:rPr>
              <w:t>282</w:t>
            </w:r>
          </w:p>
        </w:tc>
        <w:tc>
          <w:tcPr>
            <w:tcW w:w="1418" w:type="dxa"/>
            <w:tcBorders>
              <w:top w:val="nil"/>
              <w:bottom w:val="nil"/>
            </w:tcBorders>
            <w:shd w:val="clear" w:color="auto" w:fill="auto"/>
            <w:vAlign w:val="center"/>
          </w:tcPr>
          <w:p w14:paraId="05B06590" w14:textId="0A59D9DC" w:rsidR="00AF4D0B" w:rsidRPr="00AF4D0B" w:rsidRDefault="00AF4D0B" w:rsidP="00AF4D0B">
            <w:pPr>
              <w:jc w:val="right"/>
              <w:rPr>
                <w:rFonts w:eastAsia="Times New Roman" w:cs="Times New Roman"/>
                <w:i/>
                <w:iCs/>
                <w:lang w:eastAsia="cs-CZ"/>
              </w:rPr>
            </w:pPr>
            <w:r w:rsidRPr="00AF4D0B">
              <w:rPr>
                <w:i/>
                <w:szCs w:val="24"/>
              </w:rPr>
              <w:t>0</w:t>
            </w:r>
          </w:p>
        </w:tc>
        <w:tc>
          <w:tcPr>
            <w:tcW w:w="1134" w:type="dxa"/>
            <w:tcBorders>
              <w:top w:val="nil"/>
              <w:bottom w:val="nil"/>
            </w:tcBorders>
            <w:shd w:val="clear" w:color="auto" w:fill="auto"/>
            <w:vAlign w:val="center"/>
          </w:tcPr>
          <w:p w14:paraId="5B34EE39" w14:textId="202BAB57" w:rsidR="00AF4D0B" w:rsidRPr="00AF4D0B" w:rsidRDefault="00AF4D0B" w:rsidP="00AF4D0B">
            <w:pPr>
              <w:jc w:val="right"/>
              <w:rPr>
                <w:rFonts w:eastAsia="Times New Roman" w:cs="Times New Roman"/>
                <w:i/>
                <w:iCs/>
                <w:lang w:eastAsia="cs-CZ"/>
              </w:rPr>
            </w:pPr>
            <w:r w:rsidRPr="00AF4D0B">
              <w:rPr>
                <w:rFonts w:cs="Times New Roman"/>
              </w:rPr>
              <w:t>0</w:t>
            </w:r>
          </w:p>
        </w:tc>
        <w:tc>
          <w:tcPr>
            <w:tcW w:w="927" w:type="dxa"/>
            <w:tcBorders>
              <w:top w:val="nil"/>
              <w:bottom w:val="nil"/>
            </w:tcBorders>
            <w:shd w:val="clear" w:color="auto" w:fill="auto"/>
            <w:vAlign w:val="center"/>
          </w:tcPr>
          <w:p w14:paraId="18A3E14B" w14:textId="5B2DB5B8" w:rsidR="00AF4D0B" w:rsidRPr="00AF4D0B" w:rsidRDefault="00AF4D0B" w:rsidP="00AF4D0B">
            <w:pPr>
              <w:jc w:val="right"/>
              <w:rPr>
                <w:rFonts w:eastAsia="Times New Roman" w:cs="Times New Roman"/>
                <w:i/>
                <w:iCs/>
                <w:lang w:eastAsia="cs-CZ"/>
              </w:rPr>
            </w:pPr>
            <w:r w:rsidRPr="00AF4D0B">
              <w:rPr>
                <w:rFonts w:eastAsia="Times New Roman" w:cs="Times New Roman"/>
                <w:i/>
                <w:lang w:eastAsia="cs-CZ"/>
              </w:rPr>
              <w:t>x</w:t>
            </w:r>
          </w:p>
        </w:tc>
      </w:tr>
      <w:tr w:rsidR="00AF4D0B" w:rsidRPr="00AF4D0B" w14:paraId="15E1CA63" w14:textId="77777777" w:rsidTr="00AF4D0B">
        <w:tc>
          <w:tcPr>
            <w:tcW w:w="4320" w:type="dxa"/>
            <w:tcBorders>
              <w:top w:val="nil"/>
              <w:bottom w:val="nil"/>
            </w:tcBorders>
            <w:shd w:val="clear" w:color="auto" w:fill="auto"/>
          </w:tcPr>
          <w:p w14:paraId="2E2B3F9C" w14:textId="03A148E3" w:rsidR="00AF4D0B" w:rsidRPr="00AF4D0B" w:rsidRDefault="00AF4D0B" w:rsidP="00AF4D0B">
            <w:pPr>
              <w:jc w:val="left"/>
              <w:rPr>
                <w:rFonts w:eastAsia="Times New Roman" w:cs="Times New Roman"/>
                <w:i/>
                <w:lang w:eastAsia="cs-CZ"/>
              </w:rPr>
            </w:pPr>
            <w:r w:rsidRPr="00AF4D0B">
              <w:rPr>
                <w:rFonts w:eastAsia="Times New Roman" w:cs="Times New Roman"/>
                <w:i/>
                <w:lang w:eastAsia="cs-CZ"/>
              </w:rPr>
              <w:t xml:space="preserve">            výdaje na programy spolufin.</w:t>
            </w:r>
            <w:r w:rsidRPr="00AF4D0B">
              <w:rPr>
                <w:rFonts w:eastAsia="Times New Roman" w:cs="Times New Roman"/>
                <w:i/>
                <w:lang w:eastAsia="cs-CZ"/>
              </w:rPr>
              <w:br/>
              <w:t xml:space="preserve">            z rozpočtu EU</w:t>
            </w:r>
          </w:p>
        </w:tc>
        <w:tc>
          <w:tcPr>
            <w:tcW w:w="1340" w:type="dxa"/>
            <w:tcBorders>
              <w:top w:val="nil"/>
              <w:bottom w:val="nil"/>
            </w:tcBorders>
            <w:shd w:val="clear" w:color="auto" w:fill="auto"/>
            <w:vAlign w:val="center"/>
          </w:tcPr>
          <w:p w14:paraId="4C341DA9" w14:textId="5D75D54D" w:rsidR="00AF4D0B" w:rsidRPr="00AF4D0B" w:rsidRDefault="00AF4D0B" w:rsidP="00AF4D0B">
            <w:pPr>
              <w:jc w:val="right"/>
              <w:rPr>
                <w:rFonts w:eastAsia="Times New Roman" w:cs="Times New Roman"/>
                <w:i/>
                <w:iCs/>
                <w:szCs w:val="24"/>
                <w:lang w:eastAsia="cs-CZ"/>
              </w:rPr>
            </w:pPr>
            <w:r w:rsidRPr="00AF4D0B">
              <w:rPr>
                <w:i/>
                <w:szCs w:val="24"/>
              </w:rPr>
              <w:t>2 220</w:t>
            </w:r>
          </w:p>
        </w:tc>
        <w:tc>
          <w:tcPr>
            <w:tcW w:w="1418" w:type="dxa"/>
            <w:tcBorders>
              <w:top w:val="nil"/>
              <w:bottom w:val="nil"/>
            </w:tcBorders>
            <w:shd w:val="clear" w:color="auto" w:fill="auto"/>
            <w:vAlign w:val="center"/>
          </w:tcPr>
          <w:p w14:paraId="0662BC02" w14:textId="0C84C497" w:rsidR="00AF4D0B" w:rsidRPr="00AF4D0B" w:rsidRDefault="00AF4D0B" w:rsidP="00AF4D0B">
            <w:pPr>
              <w:jc w:val="right"/>
              <w:rPr>
                <w:rFonts w:eastAsia="Times New Roman" w:cs="Times New Roman"/>
                <w:i/>
                <w:iCs/>
                <w:szCs w:val="24"/>
                <w:lang w:eastAsia="cs-CZ"/>
              </w:rPr>
            </w:pPr>
            <w:r w:rsidRPr="00AF4D0B">
              <w:rPr>
                <w:i/>
                <w:szCs w:val="24"/>
              </w:rPr>
              <w:t>0</w:t>
            </w:r>
          </w:p>
        </w:tc>
        <w:tc>
          <w:tcPr>
            <w:tcW w:w="1134" w:type="dxa"/>
            <w:tcBorders>
              <w:top w:val="nil"/>
              <w:bottom w:val="nil"/>
            </w:tcBorders>
            <w:shd w:val="clear" w:color="auto" w:fill="auto"/>
            <w:vAlign w:val="center"/>
          </w:tcPr>
          <w:p w14:paraId="14D34383" w14:textId="5C76919F" w:rsidR="00AF4D0B" w:rsidRPr="00AF4D0B" w:rsidRDefault="00AF4D0B" w:rsidP="00AF4D0B">
            <w:pPr>
              <w:jc w:val="right"/>
              <w:rPr>
                <w:rFonts w:eastAsia="Times New Roman" w:cs="Times New Roman"/>
                <w:i/>
                <w:iCs/>
                <w:szCs w:val="24"/>
                <w:lang w:eastAsia="cs-CZ"/>
              </w:rPr>
            </w:pPr>
            <w:r w:rsidRPr="00AF4D0B">
              <w:rPr>
                <w:rFonts w:cs="Times New Roman"/>
              </w:rPr>
              <w:t>0</w:t>
            </w:r>
          </w:p>
        </w:tc>
        <w:tc>
          <w:tcPr>
            <w:tcW w:w="927" w:type="dxa"/>
            <w:tcBorders>
              <w:top w:val="nil"/>
              <w:bottom w:val="nil"/>
            </w:tcBorders>
            <w:shd w:val="clear" w:color="auto" w:fill="auto"/>
            <w:vAlign w:val="center"/>
          </w:tcPr>
          <w:p w14:paraId="07D1C791" w14:textId="4BBD6684" w:rsidR="00AF4D0B" w:rsidRPr="00AF4D0B" w:rsidRDefault="00AF4D0B" w:rsidP="00AF4D0B">
            <w:pPr>
              <w:jc w:val="right"/>
              <w:rPr>
                <w:rFonts w:eastAsia="Times New Roman" w:cs="Times New Roman"/>
                <w:i/>
                <w:iCs/>
                <w:szCs w:val="24"/>
                <w:lang w:eastAsia="cs-CZ"/>
              </w:rPr>
            </w:pPr>
            <w:r w:rsidRPr="00AF4D0B">
              <w:rPr>
                <w:rFonts w:eastAsia="Times New Roman" w:cs="Times New Roman"/>
                <w:i/>
                <w:lang w:eastAsia="cs-CZ"/>
              </w:rPr>
              <w:t>x</w:t>
            </w:r>
          </w:p>
        </w:tc>
      </w:tr>
      <w:tr w:rsidR="00AF4D0B" w:rsidRPr="00AF4D0B" w14:paraId="5716D63C" w14:textId="77777777" w:rsidTr="00AF4D0B">
        <w:tc>
          <w:tcPr>
            <w:tcW w:w="4320" w:type="dxa"/>
            <w:tcBorders>
              <w:top w:val="nil"/>
              <w:bottom w:val="nil"/>
            </w:tcBorders>
            <w:shd w:val="clear" w:color="auto" w:fill="auto"/>
          </w:tcPr>
          <w:p w14:paraId="0F358796" w14:textId="3C12A30E" w:rsidR="00AF4D0B" w:rsidRPr="00AF4D0B" w:rsidRDefault="00AF4D0B" w:rsidP="00AF4D0B">
            <w:pPr>
              <w:jc w:val="left"/>
              <w:rPr>
                <w:rFonts w:eastAsia="Times New Roman" w:cs="Times New Roman"/>
                <w:i/>
                <w:lang w:eastAsia="cs-CZ"/>
              </w:rPr>
            </w:pPr>
            <w:r w:rsidRPr="00AF4D0B">
              <w:rPr>
                <w:rFonts w:eastAsia="Times New Roman" w:cs="Times New Roman"/>
                <w:i/>
                <w:lang w:eastAsia="cs-CZ"/>
              </w:rPr>
              <w:t xml:space="preserve">            v tom: ze SR</w:t>
            </w:r>
          </w:p>
        </w:tc>
        <w:tc>
          <w:tcPr>
            <w:tcW w:w="1340" w:type="dxa"/>
            <w:tcBorders>
              <w:top w:val="nil"/>
              <w:bottom w:val="nil"/>
            </w:tcBorders>
            <w:shd w:val="clear" w:color="auto" w:fill="auto"/>
            <w:vAlign w:val="center"/>
          </w:tcPr>
          <w:p w14:paraId="139F3B38" w14:textId="32062668" w:rsidR="00AF4D0B" w:rsidRPr="00AF4D0B" w:rsidRDefault="00AF4D0B" w:rsidP="00AF4D0B">
            <w:pPr>
              <w:jc w:val="right"/>
              <w:rPr>
                <w:rFonts w:eastAsia="Times New Roman" w:cs="Times New Roman"/>
                <w:i/>
                <w:iCs/>
                <w:szCs w:val="24"/>
                <w:lang w:eastAsia="cs-CZ"/>
              </w:rPr>
            </w:pPr>
            <w:r w:rsidRPr="00AF4D0B">
              <w:rPr>
                <w:i/>
                <w:szCs w:val="24"/>
              </w:rPr>
              <w:t>364,5</w:t>
            </w:r>
          </w:p>
        </w:tc>
        <w:tc>
          <w:tcPr>
            <w:tcW w:w="1418" w:type="dxa"/>
            <w:tcBorders>
              <w:top w:val="nil"/>
              <w:bottom w:val="nil"/>
            </w:tcBorders>
            <w:shd w:val="clear" w:color="auto" w:fill="auto"/>
            <w:vAlign w:val="center"/>
          </w:tcPr>
          <w:p w14:paraId="5EAF8FE2" w14:textId="30FC20D9" w:rsidR="00AF4D0B" w:rsidRPr="00AF4D0B" w:rsidRDefault="00AF4D0B" w:rsidP="00AF4D0B">
            <w:pPr>
              <w:jc w:val="right"/>
              <w:rPr>
                <w:rFonts w:eastAsia="Times New Roman" w:cs="Times New Roman"/>
                <w:i/>
                <w:iCs/>
                <w:szCs w:val="24"/>
                <w:lang w:eastAsia="cs-CZ"/>
              </w:rPr>
            </w:pPr>
            <w:r w:rsidRPr="00AF4D0B">
              <w:rPr>
                <w:i/>
                <w:szCs w:val="24"/>
              </w:rPr>
              <w:t>0</w:t>
            </w:r>
          </w:p>
        </w:tc>
        <w:tc>
          <w:tcPr>
            <w:tcW w:w="1134" w:type="dxa"/>
            <w:tcBorders>
              <w:top w:val="nil"/>
              <w:bottom w:val="nil"/>
            </w:tcBorders>
            <w:shd w:val="clear" w:color="auto" w:fill="auto"/>
            <w:vAlign w:val="center"/>
          </w:tcPr>
          <w:p w14:paraId="102FC851" w14:textId="53850018" w:rsidR="00AF4D0B" w:rsidRPr="00AF4D0B" w:rsidRDefault="00AF4D0B" w:rsidP="00AF4D0B">
            <w:pPr>
              <w:jc w:val="right"/>
              <w:rPr>
                <w:rFonts w:eastAsia="Times New Roman" w:cs="Times New Roman"/>
                <w:i/>
                <w:iCs/>
                <w:szCs w:val="24"/>
                <w:lang w:eastAsia="cs-CZ"/>
              </w:rPr>
            </w:pPr>
            <w:r w:rsidRPr="00AF4D0B">
              <w:rPr>
                <w:rFonts w:cs="Times New Roman"/>
              </w:rPr>
              <w:t>0</w:t>
            </w:r>
          </w:p>
        </w:tc>
        <w:tc>
          <w:tcPr>
            <w:tcW w:w="927" w:type="dxa"/>
            <w:tcBorders>
              <w:top w:val="nil"/>
              <w:bottom w:val="nil"/>
            </w:tcBorders>
            <w:shd w:val="clear" w:color="auto" w:fill="auto"/>
            <w:vAlign w:val="center"/>
          </w:tcPr>
          <w:p w14:paraId="14247E88" w14:textId="30617BB3" w:rsidR="00AF4D0B" w:rsidRPr="00AF4D0B" w:rsidRDefault="00AF4D0B" w:rsidP="00AF4D0B">
            <w:pPr>
              <w:jc w:val="right"/>
              <w:rPr>
                <w:rFonts w:eastAsia="Times New Roman" w:cs="Times New Roman"/>
                <w:i/>
                <w:iCs/>
                <w:szCs w:val="24"/>
                <w:lang w:eastAsia="cs-CZ"/>
              </w:rPr>
            </w:pPr>
            <w:r w:rsidRPr="00AF4D0B">
              <w:rPr>
                <w:rFonts w:eastAsia="Times New Roman" w:cs="Times New Roman"/>
                <w:i/>
                <w:lang w:eastAsia="cs-CZ"/>
              </w:rPr>
              <w:t>x</w:t>
            </w:r>
          </w:p>
        </w:tc>
      </w:tr>
      <w:tr w:rsidR="00AF4D0B" w:rsidRPr="00D070B8" w14:paraId="51499BD6" w14:textId="77777777" w:rsidTr="00AF4D0B">
        <w:tc>
          <w:tcPr>
            <w:tcW w:w="4320" w:type="dxa"/>
            <w:tcBorders>
              <w:top w:val="nil"/>
              <w:bottom w:val="single" w:sz="8" w:space="0" w:color="7F7F7F" w:themeColor="text1" w:themeTint="80"/>
            </w:tcBorders>
            <w:shd w:val="clear" w:color="auto" w:fill="auto"/>
          </w:tcPr>
          <w:p w14:paraId="0D088BA7" w14:textId="3CB0A9A3" w:rsidR="00AF4D0B" w:rsidRPr="00AF4D0B" w:rsidRDefault="00AF4D0B" w:rsidP="00AF4D0B">
            <w:pPr>
              <w:jc w:val="left"/>
              <w:rPr>
                <w:rFonts w:eastAsia="Times New Roman" w:cs="Times New Roman"/>
                <w:i/>
                <w:lang w:eastAsia="cs-CZ"/>
              </w:rPr>
            </w:pPr>
            <w:r w:rsidRPr="00AF4D0B">
              <w:rPr>
                <w:rFonts w:eastAsia="Times New Roman" w:cs="Times New Roman"/>
                <w:i/>
                <w:lang w:eastAsia="cs-CZ"/>
              </w:rPr>
              <w:lastRenderedPageBreak/>
              <w:t xml:space="preserve">                        z rozpočtu EU</w:t>
            </w:r>
          </w:p>
        </w:tc>
        <w:tc>
          <w:tcPr>
            <w:tcW w:w="1340" w:type="dxa"/>
            <w:tcBorders>
              <w:top w:val="nil"/>
              <w:bottom w:val="single" w:sz="8" w:space="0" w:color="7F7F7F" w:themeColor="text1" w:themeTint="80"/>
            </w:tcBorders>
            <w:shd w:val="clear" w:color="auto" w:fill="auto"/>
            <w:vAlign w:val="center"/>
          </w:tcPr>
          <w:p w14:paraId="1BE236E6" w14:textId="6068B591" w:rsidR="00AF4D0B" w:rsidRPr="00AF4D0B" w:rsidRDefault="00AF4D0B" w:rsidP="00AF4D0B">
            <w:pPr>
              <w:jc w:val="right"/>
              <w:rPr>
                <w:rFonts w:eastAsia="Times New Roman" w:cs="Times New Roman"/>
                <w:i/>
                <w:iCs/>
                <w:szCs w:val="24"/>
                <w:lang w:eastAsia="cs-CZ"/>
              </w:rPr>
            </w:pPr>
            <w:r w:rsidRPr="00AF4D0B">
              <w:rPr>
                <w:i/>
                <w:szCs w:val="24"/>
              </w:rPr>
              <w:t>1 855,5</w:t>
            </w:r>
          </w:p>
        </w:tc>
        <w:tc>
          <w:tcPr>
            <w:tcW w:w="1418" w:type="dxa"/>
            <w:tcBorders>
              <w:top w:val="nil"/>
              <w:bottom w:val="single" w:sz="8" w:space="0" w:color="7F7F7F" w:themeColor="text1" w:themeTint="80"/>
            </w:tcBorders>
            <w:shd w:val="clear" w:color="auto" w:fill="auto"/>
            <w:vAlign w:val="center"/>
          </w:tcPr>
          <w:p w14:paraId="5060D5FE" w14:textId="2C0A7656" w:rsidR="00AF4D0B" w:rsidRPr="00AF4D0B" w:rsidRDefault="00AF4D0B" w:rsidP="00AF4D0B">
            <w:pPr>
              <w:jc w:val="right"/>
              <w:rPr>
                <w:rFonts w:eastAsia="Times New Roman" w:cs="Times New Roman"/>
                <w:i/>
                <w:iCs/>
                <w:szCs w:val="24"/>
                <w:lang w:eastAsia="cs-CZ"/>
              </w:rPr>
            </w:pPr>
            <w:r w:rsidRPr="00AF4D0B">
              <w:rPr>
                <w:i/>
                <w:szCs w:val="24"/>
              </w:rPr>
              <w:t>0</w:t>
            </w:r>
          </w:p>
        </w:tc>
        <w:tc>
          <w:tcPr>
            <w:tcW w:w="1134" w:type="dxa"/>
            <w:tcBorders>
              <w:top w:val="nil"/>
              <w:bottom w:val="single" w:sz="8" w:space="0" w:color="7F7F7F" w:themeColor="text1" w:themeTint="80"/>
            </w:tcBorders>
            <w:shd w:val="clear" w:color="auto" w:fill="auto"/>
            <w:vAlign w:val="center"/>
          </w:tcPr>
          <w:p w14:paraId="2DFE5335" w14:textId="286A81FB" w:rsidR="00AF4D0B" w:rsidRPr="00AF4D0B" w:rsidRDefault="00AF4D0B" w:rsidP="00AF4D0B">
            <w:pPr>
              <w:jc w:val="right"/>
              <w:rPr>
                <w:rFonts w:eastAsia="Times New Roman" w:cs="Times New Roman"/>
                <w:i/>
                <w:iCs/>
                <w:szCs w:val="24"/>
                <w:lang w:eastAsia="cs-CZ"/>
              </w:rPr>
            </w:pPr>
            <w:r w:rsidRPr="00AF4D0B">
              <w:rPr>
                <w:rFonts w:cs="Times New Roman"/>
              </w:rPr>
              <w:t>0</w:t>
            </w:r>
          </w:p>
        </w:tc>
        <w:tc>
          <w:tcPr>
            <w:tcW w:w="927" w:type="dxa"/>
            <w:tcBorders>
              <w:top w:val="nil"/>
              <w:bottom w:val="single" w:sz="8" w:space="0" w:color="7F7F7F" w:themeColor="text1" w:themeTint="80"/>
            </w:tcBorders>
            <w:shd w:val="clear" w:color="auto" w:fill="auto"/>
            <w:vAlign w:val="center"/>
          </w:tcPr>
          <w:p w14:paraId="10CADB3E" w14:textId="190951A1" w:rsidR="00AF4D0B" w:rsidRPr="00AF4D0B" w:rsidRDefault="00AF4D0B" w:rsidP="00AF4D0B">
            <w:pPr>
              <w:jc w:val="right"/>
              <w:rPr>
                <w:rFonts w:eastAsia="Times New Roman" w:cs="Times New Roman"/>
                <w:i/>
                <w:iCs/>
                <w:szCs w:val="24"/>
                <w:lang w:eastAsia="cs-CZ"/>
              </w:rPr>
            </w:pPr>
            <w:r w:rsidRPr="00AF4D0B">
              <w:rPr>
                <w:rFonts w:eastAsia="Times New Roman" w:cs="Times New Roman"/>
                <w:i/>
                <w:lang w:eastAsia="cs-CZ"/>
              </w:rPr>
              <w:t>x</w:t>
            </w:r>
          </w:p>
        </w:tc>
      </w:tr>
    </w:tbl>
    <w:p w14:paraId="1B8218B7" w14:textId="77777777" w:rsidR="00AF4D0B" w:rsidRPr="00AF4D0B" w:rsidRDefault="00AF4D0B" w:rsidP="00AF4D0B">
      <w:pPr>
        <w:pStyle w:val="Styl1"/>
      </w:pPr>
      <w:r w:rsidRPr="00AF4D0B">
        <w:t xml:space="preserve">Návrh rozpočtu běžných výdajů na rok 2025 je oproti schválenému rozpočtu na rok 2024 vyšší </w:t>
      </w:r>
      <w:r w:rsidRPr="00AF4D0B">
        <w:br/>
        <w:t xml:space="preserve">o 52 619 tis. Kč zejména z důvodu postupného zahajování činnosti nové organizace. Dále došlo k posílení prostředků na platy zaměstnanců vč. příslušenství (podrobněji viz oddíl 3.2.2 Výdaje na platy a počty pracovníků za OSS a PO) a posílení prostředků na provoz organizace. </w:t>
      </w:r>
    </w:p>
    <w:p w14:paraId="68FADF12" w14:textId="77777777" w:rsidR="00AF4D0B" w:rsidRPr="00AF4D0B" w:rsidRDefault="00AF4D0B" w:rsidP="00AF4D0B">
      <w:pPr>
        <w:pStyle w:val="Styl1"/>
      </w:pPr>
      <w:r w:rsidRPr="00AF4D0B">
        <w:t xml:space="preserve">Z celkového objemu běžných výdajů tvoří největší položku výdaje na platy a ostatní platby </w:t>
      </w:r>
      <w:r w:rsidRPr="00AF4D0B">
        <w:br/>
        <w:t xml:space="preserve">za provedenou práci, které jsou navrhovány ve výši 73 181 tis. Kč. </w:t>
      </w:r>
    </w:p>
    <w:p w14:paraId="7B4CB763" w14:textId="77777777" w:rsidR="00AF4D0B" w:rsidRPr="00AF4D0B" w:rsidRDefault="00AF4D0B" w:rsidP="00AF4D0B">
      <w:pPr>
        <w:pStyle w:val="Styl1"/>
      </w:pPr>
      <w:r w:rsidRPr="00AF4D0B">
        <w:t xml:space="preserve">Ostatní běžné výdaje ve </w:t>
      </w:r>
      <w:r w:rsidRPr="00693CD3">
        <w:t>výši 31 067 tis. Kč budou</w:t>
      </w:r>
      <w:r w:rsidRPr="00AF4D0B">
        <w:t xml:space="preserve"> použity zejména na zajištění provozu jednotlivých pracovišť, plynulého chodu organizace, postupného rozšiřování kancelářských prostor včetně vybavení, konzultační, poradenských a právních služeb, zpracování dat a služby související s informačními a komunikačními technologiemi. </w:t>
      </w:r>
    </w:p>
    <w:p w14:paraId="4CB21C1A" w14:textId="492448DA" w:rsidR="00F93D83" w:rsidRPr="00AF4D0B" w:rsidRDefault="00AF4D0B" w:rsidP="00AF4D0B">
      <w:pPr>
        <w:pStyle w:val="Styl1"/>
      </w:pPr>
      <w:r w:rsidRPr="00AF4D0B">
        <w:t>Počet zaměstnanců organizace pro rok 2025 je navržen ve výši 108, v tom 12 zaměstnanců v pracovním poměru a 96 státních zaměstnanců</w:t>
      </w:r>
      <w:r w:rsidR="00F93D83" w:rsidRPr="00AF4D0B">
        <w:t>.    </w:t>
      </w:r>
      <w:r w:rsidR="00F93D83" w:rsidRPr="00AF4D0B">
        <w:rPr>
          <w:b/>
          <w:bCs/>
        </w:rPr>
        <w:t> </w:t>
      </w:r>
    </w:p>
    <w:p w14:paraId="4013D38E" w14:textId="77777777" w:rsidR="002B4A5E" w:rsidRPr="00630A33" w:rsidRDefault="00776B6E" w:rsidP="007B2F4B">
      <w:pPr>
        <w:pStyle w:val="Nadpis3"/>
      </w:pPr>
      <w:bookmarkStart w:id="163" w:name="_Toc179964096"/>
      <w:r w:rsidRPr="00630A33">
        <w:t>Zřízené p</w:t>
      </w:r>
      <w:r w:rsidR="002B4A5E" w:rsidRPr="00630A33">
        <w:t>říspěvkové organizace</w:t>
      </w:r>
      <w:bookmarkEnd w:id="162"/>
      <w:bookmarkEnd w:id="163"/>
    </w:p>
    <w:p w14:paraId="53A7B95D" w14:textId="289B5698" w:rsidR="00BD28A7" w:rsidRPr="00630A33" w:rsidRDefault="002B4A5E" w:rsidP="00CC49DC">
      <w:pPr>
        <w:keepNext/>
        <w:tabs>
          <w:tab w:val="left" w:pos="708"/>
        </w:tabs>
        <w:spacing w:before="240" w:after="60" w:line="240" w:lineRule="auto"/>
        <w:outlineLvl w:val="5"/>
        <w:rPr>
          <w:rFonts w:eastAsia="Times New Roman" w:cs="Times New Roman"/>
          <w:b/>
          <w:bCs/>
          <w:lang w:eastAsia="cs-CZ"/>
        </w:rPr>
      </w:pPr>
      <w:r w:rsidRPr="00630A33">
        <w:rPr>
          <w:rFonts w:eastAsia="Times New Roman" w:cs="Times New Roman"/>
          <w:b/>
          <w:bCs/>
          <w:lang w:eastAsia="cs-CZ"/>
        </w:rPr>
        <w:t>Celkem: CSPSD, ŘSD ČR</w:t>
      </w:r>
      <w:bookmarkStart w:id="164" w:name="_Toc304375441"/>
      <w:r w:rsidR="00BD28A7" w:rsidRPr="00630A33">
        <w:rPr>
          <w:rFonts w:eastAsia="Times New Roman" w:cs="Times New Roman"/>
          <w:lang w:eastAsia="cs-CZ"/>
        </w:rPr>
        <w:t xml:space="preserve">                                                                                                                                                                                                                                                                               </w:t>
      </w:r>
    </w:p>
    <w:p w14:paraId="647F0943" w14:textId="1DFE7DDE" w:rsidR="00886FD2" w:rsidRPr="00630A33" w:rsidRDefault="00886FD2" w:rsidP="00886FD2">
      <w:pPr>
        <w:pStyle w:val="Titulek"/>
        <w:rPr>
          <w:noProof/>
        </w:rPr>
      </w:pPr>
      <w:r w:rsidRPr="00630A33">
        <w:t xml:space="preserve">Tabulka č. </w:t>
      </w:r>
      <w:r w:rsidRPr="00630A33">
        <w:rPr>
          <w:noProof/>
        </w:rPr>
        <w:fldChar w:fldCharType="begin"/>
      </w:r>
      <w:r w:rsidRPr="00630A33">
        <w:rPr>
          <w:noProof/>
        </w:rPr>
        <w:instrText xml:space="preserve"> SEQ Tabulka \* ARABIC </w:instrText>
      </w:r>
      <w:r w:rsidRPr="00630A33">
        <w:rPr>
          <w:noProof/>
        </w:rPr>
        <w:fldChar w:fldCharType="separate"/>
      </w:r>
      <w:r w:rsidR="003B0B01" w:rsidRPr="00630A33">
        <w:rPr>
          <w:noProof/>
        </w:rPr>
        <w:t>21</w:t>
      </w:r>
      <w:r w:rsidRPr="00630A33">
        <w:rPr>
          <w:noProof/>
        </w:rPr>
        <w:fldChar w:fldCharType="end"/>
      </w:r>
      <w:r w:rsidR="00776B6E" w:rsidRPr="00630A33">
        <w:rPr>
          <w:noProof/>
        </w:rPr>
        <w:t xml:space="preserve"> Zřízené</w:t>
      </w:r>
      <w:r w:rsidRPr="00630A33">
        <w:rPr>
          <w:noProof/>
        </w:rPr>
        <w:t xml:space="preserve"> </w:t>
      </w:r>
      <w:r w:rsidR="00776B6E" w:rsidRPr="00630A33">
        <w:rPr>
          <w:noProof/>
        </w:rPr>
        <w:t>p</w:t>
      </w:r>
      <w:r w:rsidRPr="00630A33">
        <w:rPr>
          <w:noProof/>
        </w:rPr>
        <w:t>říspěvkové organizace celkem (v tis. Kč)</w:t>
      </w:r>
    </w:p>
    <w:tbl>
      <w:tblPr>
        <w:tblStyle w:val="Svtltabulkasmkou1zvraznn5"/>
        <w:tblW w:w="5089" w:type="pct"/>
        <w:tblInd w:w="-1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400"/>
        <w:gridCol w:w="1417"/>
        <w:gridCol w:w="1273"/>
        <w:gridCol w:w="1133"/>
        <w:gridCol w:w="989"/>
      </w:tblGrid>
      <w:tr w:rsidR="009C6D8C" w:rsidRPr="00630A33" w14:paraId="69CE6863" w14:textId="77777777" w:rsidTr="00D07D18">
        <w:trPr>
          <w:trHeight w:val="831"/>
          <w:tblHeader/>
        </w:trPr>
        <w:tc>
          <w:tcPr>
            <w:tcW w:w="238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FBEBFE"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Ukazatel</w:t>
            </w:r>
          </w:p>
        </w:tc>
        <w:tc>
          <w:tcPr>
            <w:tcW w:w="76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993B1A"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Skutečnost</w:t>
            </w:r>
          </w:p>
          <w:p w14:paraId="627CF962" w14:textId="6715C8BF" w:rsidR="009C6D8C" w:rsidRPr="00630A33" w:rsidRDefault="009C6D8C" w:rsidP="00D07D18">
            <w:pPr>
              <w:ind w:right="-47"/>
              <w:jc w:val="center"/>
              <w:rPr>
                <w:rFonts w:eastAsia="Times New Roman" w:cs="Times New Roman"/>
                <w:b/>
                <w:lang w:eastAsia="cs-CZ"/>
              </w:rPr>
            </w:pPr>
            <w:r w:rsidRPr="00630A33">
              <w:rPr>
                <w:rFonts w:eastAsia="Times New Roman" w:cs="Times New Roman"/>
                <w:b/>
                <w:lang w:eastAsia="cs-CZ"/>
              </w:rPr>
              <w:t>202</w:t>
            </w:r>
            <w:r w:rsidR="00630A33" w:rsidRPr="00630A33">
              <w:rPr>
                <w:rFonts w:eastAsia="Times New Roman" w:cs="Times New Roman"/>
                <w:b/>
                <w:lang w:eastAsia="cs-CZ"/>
              </w:rPr>
              <w:t>3</w:t>
            </w:r>
          </w:p>
        </w:tc>
        <w:tc>
          <w:tcPr>
            <w:tcW w:w="69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F78137E"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Schválený</w:t>
            </w:r>
          </w:p>
          <w:p w14:paraId="6C90C261"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rozpočet</w:t>
            </w:r>
          </w:p>
          <w:p w14:paraId="087DFBF4" w14:textId="5FEF67F2"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202</w:t>
            </w:r>
            <w:r w:rsidR="00630A33" w:rsidRPr="00630A33">
              <w:rPr>
                <w:rFonts w:eastAsia="Times New Roman" w:cs="Times New Roman"/>
                <w:b/>
                <w:lang w:eastAsia="cs-CZ"/>
              </w:rPr>
              <w:t>4</w:t>
            </w:r>
          </w:p>
        </w:tc>
        <w:tc>
          <w:tcPr>
            <w:tcW w:w="6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43764BA"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Návrh</w:t>
            </w:r>
          </w:p>
          <w:p w14:paraId="3C203067"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rozpočtu</w:t>
            </w:r>
          </w:p>
          <w:p w14:paraId="39EDAA6C" w14:textId="0BBAC4B4"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20</w:t>
            </w:r>
            <w:r w:rsidR="00630A33" w:rsidRPr="00630A33">
              <w:rPr>
                <w:rFonts w:eastAsia="Times New Roman" w:cs="Times New Roman"/>
                <w:b/>
                <w:lang w:eastAsia="cs-CZ"/>
              </w:rPr>
              <w:t>25</w:t>
            </w:r>
          </w:p>
        </w:tc>
        <w:tc>
          <w:tcPr>
            <w:tcW w:w="53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AFC441"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Index</w:t>
            </w:r>
          </w:p>
          <w:p w14:paraId="0B08D559" w14:textId="069787E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202</w:t>
            </w:r>
            <w:r w:rsidR="00630A33" w:rsidRPr="00630A33">
              <w:rPr>
                <w:rFonts w:eastAsia="Times New Roman" w:cs="Times New Roman"/>
                <w:b/>
                <w:lang w:eastAsia="cs-CZ"/>
              </w:rPr>
              <w:t>5</w:t>
            </w:r>
            <w:r w:rsidRPr="00630A33">
              <w:rPr>
                <w:rFonts w:eastAsia="Times New Roman" w:cs="Times New Roman"/>
                <w:b/>
                <w:lang w:eastAsia="cs-CZ"/>
              </w:rPr>
              <w:t>/</w:t>
            </w:r>
            <w:r w:rsidRPr="00630A33">
              <w:rPr>
                <w:rFonts w:eastAsia="Times New Roman" w:cs="Times New Roman"/>
                <w:b/>
                <w:lang w:eastAsia="cs-CZ"/>
              </w:rPr>
              <w:br/>
              <w:t>202</w:t>
            </w:r>
            <w:r w:rsidR="00630A33" w:rsidRPr="00630A33">
              <w:rPr>
                <w:rFonts w:eastAsia="Times New Roman" w:cs="Times New Roman"/>
                <w:b/>
                <w:lang w:eastAsia="cs-CZ"/>
              </w:rPr>
              <w:t>4</w:t>
            </w:r>
          </w:p>
          <w:p w14:paraId="6CED61D0" w14:textId="77777777" w:rsidR="009C6D8C" w:rsidRPr="00630A33" w:rsidRDefault="009C6D8C" w:rsidP="00D07D18">
            <w:pPr>
              <w:jc w:val="center"/>
              <w:rPr>
                <w:rFonts w:eastAsia="Times New Roman" w:cs="Times New Roman"/>
                <w:b/>
                <w:lang w:eastAsia="cs-CZ"/>
              </w:rPr>
            </w:pPr>
            <w:r w:rsidRPr="00630A33">
              <w:rPr>
                <w:rFonts w:eastAsia="Times New Roman" w:cs="Times New Roman"/>
                <w:b/>
                <w:lang w:eastAsia="cs-CZ"/>
              </w:rPr>
              <w:t>(v %)</w:t>
            </w:r>
          </w:p>
        </w:tc>
      </w:tr>
      <w:tr w:rsidR="009C6D8C" w:rsidRPr="00630A33" w14:paraId="7D53486C" w14:textId="77777777" w:rsidTr="00D07D18">
        <w:trPr>
          <w:trHeight w:val="184"/>
          <w:tblHeader/>
        </w:trPr>
        <w:tc>
          <w:tcPr>
            <w:tcW w:w="2388" w:type="pct"/>
            <w:tcBorders>
              <w:top w:val="single" w:sz="4" w:space="0" w:color="7F7F7F" w:themeColor="text1" w:themeTint="80"/>
              <w:bottom w:val="single" w:sz="8" w:space="0" w:color="7F7F7F" w:themeColor="text1" w:themeTint="80"/>
            </w:tcBorders>
            <w:shd w:val="clear" w:color="auto" w:fill="auto"/>
          </w:tcPr>
          <w:p w14:paraId="2E8799AC" w14:textId="77777777" w:rsidR="009C6D8C" w:rsidRPr="00630A33" w:rsidRDefault="009C6D8C" w:rsidP="00D07D18">
            <w:pPr>
              <w:jc w:val="center"/>
              <w:rPr>
                <w:rFonts w:eastAsia="Times New Roman" w:cs="Times New Roman"/>
                <w:lang w:eastAsia="cs-CZ"/>
              </w:rPr>
            </w:pPr>
            <w:r w:rsidRPr="00630A33">
              <w:rPr>
                <w:rFonts w:eastAsia="Times New Roman" w:cs="Times New Roman"/>
                <w:lang w:eastAsia="cs-CZ"/>
              </w:rPr>
              <w:t>a</w:t>
            </w:r>
          </w:p>
        </w:tc>
        <w:tc>
          <w:tcPr>
            <w:tcW w:w="769" w:type="pct"/>
            <w:tcBorders>
              <w:top w:val="single" w:sz="4" w:space="0" w:color="7F7F7F" w:themeColor="text1" w:themeTint="80"/>
              <w:bottom w:val="single" w:sz="8" w:space="0" w:color="7F7F7F" w:themeColor="text1" w:themeTint="80"/>
            </w:tcBorders>
            <w:shd w:val="clear" w:color="auto" w:fill="auto"/>
          </w:tcPr>
          <w:p w14:paraId="231F310E" w14:textId="77777777" w:rsidR="009C6D8C" w:rsidRPr="00630A33" w:rsidRDefault="009C6D8C" w:rsidP="00D07D18">
            <w:pPr>
              <w:jc w:val="center"/>
              <w:rPr>
                <w:rFonts w:eastAsia="Times New Roman" w:cs="Times New Roman"/>
                <w:lang w:eastAsia="cs-CZ"/>
              </w:rPr>
            </w:pPr>
            <w:r w:rsidRPr="00630A33">
              <w:rPr>
                <w:rFonts w:eastAsia="Times New Roman" w:cs="Times New Roman"/>
                <w:lang w:eastAsia="cs-CZ"/>
              </w:rPr>
              <w:t>1</w:t>
            </w:r>
          </w:p>
        </w:tc>
        <w:tc>
          <w:tcPr>
            <w:tcW w:w="691" w:type="pct"/>
            <w:tcBorders>
              <w:top w:val="single" w:sz="4" w:space="0" w:color="7F7F7F" w:themeColor="text1" w:themeTint="80"/>
              <w:bottom w:val="single" w:sz="8" w:space="0" w:color="7F7F7F" w:themeColor="text1" w:themeTint="80"/>
            </w:tcBorders>
            <w:shd w:val="clear" w:color="auto" w:fill="auto"/>
          </w:tcPr>
          <w:p w14:paraId="7EA9AA31" w14:textId="77777777" w:rsidR="009C6D8C" w:rsidRPr="00630A33" w:rsidRDefault="009C6D8C" w:rsidP="00D07D18">
            <w:pPr>
              <w:jc w:val="center"/>
              <w:rPr>
                <w:rFonts w:eastAsia="Times New Roman" w:cs="Times New Roman"/>
                <w:lang w:eastAsia="cs-CZ"/>
              </w:rPr>
            </w:pPr>
            <w:r w:rsidRPr="00630A33">
              <w:rPr>
                <w:rFonts w:eastAsia="Times New Roman" w:cs="Times New Roman"/>
                <w:lang w:eastAsia="cs-CZ"/>
              </w:rPr>
              <w:t>2</w:t>
            </w:r>
          </w:p>
        </w:tc>
        <w:tc>
          <w:tcPr>
            <w:tcW w:w="615" w:type="pct"/>
            <w:tcBorders>
              <w:top w:val="single" w:sz="4" w:space="0" w:color="7F7F7F" w:themeColor="text1" w:themeTint="80"/>
              <w:bottom w:val="single" w:sz="8" w:space="0" w:color="7F7F7F" w:themeColor="text1" w:themeTint="80"/>
            </w:tcBorders>
            <w:shd w:val="clear" w:color="auto" w:fill="auto"/>
          </w:tcPr>
          <w:p w14:paraId="4DF31E46" w14:textId="77777777" w:rsidR="009C6D8C" w:rsidRPr="00630A33" w:rsidRDefault="009C6D8C" w:rsidP="00D07D18">
            <w:pPr>
              <w:jc w:val="center"/>
              <w:rPr>
                <w:rFonts w:eastAsia="Times New Roman" w:cs="Times New Roman"/>
                <w:lang w:eastAsia="cs-CZ"/>
              </w:rPr>
            </w:pPr>
            <w:r w:rsidRPr="00630A33">
              <w:rPr>
                <w:rFonts w:eastAsia="Times New Roman" w:cs="Times New Roman"/>
                <w:lang w:eastAsia="cs-CZ"/>
              </w:rPr>
              <w:t>3</w:t>
            </w:r>
          </w:p>
        </w:tc>
        <w:tc>
          <w:tcPr>
            <w:tcW w:w="537" w:type="pct"/>
            <w:tcBorders>
              <w:top w:val="single" w:sz="4" w:space="0" w:color="7F7F7F" w:themeColor="text1" w:themeTint="80"/>
              <w:bottom w:val="single" w:sz="8" w:space="0" w:color="7F7F7F" w:themeColor="text1" w:themeTint="80"/>
            </w:tcBorders>
            <w:shd w:val="clear" w:color="auto" w:fill="auto"/>
          </w:tcPr>
          <w:p w14:paraId="02DD42AB" w14:textId="77777777" w:rsidR="009C6D8C" w:rsidRPr="00630A33" w:rsidRDefault="009C6D8C" w:rsidP="00D07D18">
            <w:pPr>
              <w:jc w:val="center"/>
              <w:rPr>
                <w:rFonts w:eastAsia="Times New Roman" w:cs="Times New Roman"/>
                <w:lang w:eastAsia="cs-CZ"/>
              </w:rPr>
            </w:pPr>
            <w:r w:rsidRPr="00630A33">
              <w:rPr>
                <w:rFonts w:eastAsia="Times New Roman" w:cs="Times New Roman"/>
                <w:lang w:eastAsia="cs-CZ"/>
              </w:rPr>
              <w:t>4</w:t>
            </w:r>
          </w:p>
        </w:tc>
      </w:tr>
      <w:tr w:rsidR="00630A33" w:rsidRPr="00630A33" w14:paraId="1E15B804" w14:textId="77777777" w:rsidTr="00D07D18">
        <w:trPr>
          <w:trHeight w:val="255"/>
          <w:tblHeader/>
        </w:trPr>
        <w:tc>
          <w:tcPr>
            <w:tcW w:w="2388" w:type="pct"/>
            <w:tcBorders>
              <w:top w:val="single" w:sz="8" w:space="0" w:color="7F7F7F" w:themeColor="text1" w:themeTint="80"/>
              <w:bottom w:val="single" w:sz="8" w:space="0" w:color="7F7F7F" w:themeColor="text1" w:themeTint="80"/>
            </w:tcBorders>
            <w:shd w:val="clear" w:color="auto" w:fill="auto"/>
          </w:tcPr>
          <w:p w14:paraId="7F0E612D" w14:textId="77777777" w:rsidR="00630A33" w:rsidRPr="00630A33" w:rsidRDefault="00630A33" w:rsidP="00630A33">
            <w:pPr>
              <w:rPr>
                <w:rFonts w:eastAsia="Times New Roman" w:cs="Times New Roman"/>
                <w:bCs/>
                <w:lang w:eastAsia="cs-CZ"/>
              </w:rPr>
            </w:pPr>
            <w:r w:rsidRPr="00630A33">
              <w:rPr>
                <w:rFonts w:eastAsia="Times New Roman" w:cs="Times New Roman"/>
                <w:b/>
                <w:bCs/>
                <w:lang w:eastAsia="cs-CZ"/>
              </w:rPr>
              <w:t xml:space="preserve">Neinvestiční příspěvek a transfery zřízeným PO </w:t>
            </w:r>
            <w:r w:rsidRPr="00630A33">
              <w:rPr>
                <w:rFonts w:eastAsia="Times New Roman" w:cs="Times New Roman"/>
                <w:bCs/>
                <w:lang w:eastAsia="cs-CZ"/>
              </w:rPr>
              <w:t>z toho:</w:t>
            </w:r>
          </w:p>
        </w:tc>
        <w:tc>
          <w:tcPr>
            <w:tcW w:w="769" w:type="pct"/>
            <w:tcBorders>
              <w:top w:val="single" w:sz="8" w:space="0" w:color="7F7F7F" w:themeColor="text1" w:themeTint="80"/>
              <w:bottom w:val="single" w:sz="8" w:space="0" w:color="7F7F7F" w:themeColor="text1" w:themeTint="80"/>
            </w:tcBorders>
            <w:shd w:val="clear" w:color="auto" w:fill="auto"/>
            <w:vAlign w:val="center"/>
          </w:tcPr>
          <w:p w14:paraId="65B2FB8C" w14:textId="6C79AA8C" w:rsidR="00630A33" w:rsidRPr="00630A33" w:rsidRDefault="00630A33" w:rsidP="00630A33">
            <w:pPr>
              <w:spacing w:before="81"/>
              <w:jc w:val="right"/>
              <w:rPr>
                <w:rFonts w:eastAsia="Times New Roman" w:cs="Times New Roman"/>
                <w:b/>
                <w:lang w:eastAsia="cs-CZ"/>
              </w:rPr>
            </w:pPr>
            <w:r w:rsidRPr="00630A33">
              <w:rPr>
                <w:rFonts w:eastAsia="Times New Roman" w:cs="Times New Roman"/>
                <w:b/>
                <w:lang w:eastAsia="cs-CZ"/>
              </w:rPr>
              <w:t>1 094 597</w:t>
            </w:r>
          </w:p>
        </w:tc>
        <w:tc>
          <w:tcPr>
            <w:tcW w:w="691" w:type="pct"/>
            <w:tcBorders>
              <w:top w:val="single" w:sz="8" w:space="0" w:color="7F7F7F" w:themeColor="text1" w:themeTint="80"/>
              <w:bottom w:val="single" w:sz="8" w:space="0" w:color="7F7F7F" w:themeColor="text1" w:themeTint="80"/>
            </w:tcBorders>
            <w:shd w:val="clear" w:color="auto" w:fill="auto"/>
            <w:vAlign w:val="center"/>
          </w:tcPr>
          <w:p w14:paraId="1E6921F9" w14:textId="6F1C9DB9" w:rsidR="00630A33" w:rsidRPr="00630A33" w:rsidRDefault="00630A33" w:rsidP="00630A33">
            <w:pPr>
              <w:spacing w:before="81"/>
              <w:jc w:val="right"/>
              <w:rPr>
                <w:rFonts w:eastAsia="Times New Roman" w:cs="Times New Roman"/>
                <w:b/>
                <w:lang w:eastAsia="cs-CZ"/>
              </w:rPr>
            </w:pPr>
            <w:r w:rsidRPr="00630A33">
              <w:rPr>
                <w:rFonts w:eastAsia="Times New Roman" w:cs="Times New Roman"/>
                <w:b/>
                <w:lang w:eastAsia="cs-CZ"/>
              </w:rPr>
              <w:t>69 019</w:t>
            </w:r>
          </w:p>
        </w:tc>
        <w:tc>
          <w:tcPr>
            <w:tcW w:w="615" w:type="pct"/>
            <w:tcBorders>
              <w:top w:val="single" w:sz="8" w:space="0" w:color="7F7F7F" w:themeColor="text1" w:themeTint="80"/>
              <w:bottom w:val="single" w:sz="8" w:space="0" w:color="7F7F7F" w:themeColor="text1" w:themeTint="80"/>
            </w:tcBorders>
            <w:shd w:val="clear" w:color="auto" w:fill="auto"/>
            <w:vAlign w:val="center"/>
          </w:tcPr>
          <w:p w14:paraId="42490774" w14:textId="4063B1FB" w:rsidR="00630A33" w:rsidRPr="00630A33" w:rsidRDefault="00630A33" w:rsidP="00630A33">
            <w:pPr>
              <w:spacing w:before="81"/>
              <w:jc w:val="right"/>
              <w:rPr>
                <w:rFonts w:eastAsia="Times New Roman" w:cs="Times New Roman"/>
                <w:b/>
                <w:lang w:eastAsia="cs-CZ"/>
              </w:rPr>
            </w:pPr>
            <w:r w:rsidRPr="00630A33">
              <w:rPr>
                <w:rFonts w:eastAsia="Times New Roman" w:cs="Times New Roman"/>
                <w:b/>
                <w:lang w:eastAsia="cs-CZ"/>
              </w:rPr>
              <w:t>71 207</w:t>
            </w:r>
          </w:p>
        </w:tc>
        <w:tc>
          <w:tcPr>
            <w:tcW w:w="537" w:type="pct"/>
            <w:tcBorders>
              <w:top w:val="single" w:sz="8" w:space="0" w:color="7F7F7F" w:themeColor="text1" w:themeTint="80"/>
              <w:bottom w:val="single" w:sz="8" w:space="0" w:color="7F7F7F" w:themeColor="text1" w:themeTint="80"/>
            </w:tcBorders>
            <w:shd w:val="clear" w:color="auto" w:fill="auto"/>
            <w:vAlign w:val="center"/>
          </w:tcPr>
          <w:p w14:paraId="06AFB740" w14:textId="5CDF131C" w:rsidR="00630A33" w:rsidRPr="00630A33" w:rsidRDefault="00630A33" w:rsidP="00630A33">
            <w:pPr>
              <w:spacing w:before="81"/>
              <w:jc w:val="right"/>
              <w:rPr>
                <w:rFonts w:eastAsia="Times New Roman" w:cs="Times New Roman"/>
                <w:b/>
                <w:color w:val="FF0000"/>
                <w:lang w:eastAsia="cs-CZ"/>
              </w:rPr>
            </w:pPr>
            <w:r w:rsidRPr="00630A33">
              <w:rPr>
                <w:rFonts w:eastAsia="Times New Roman" w:cs="Times New Roman"/>
                <w:b/>
                <w:lang w:eastAsia="cs-CZ"/>
              </w:rPr>
              <w:t>103,17</w:t>
            </w:r>
          </w:p>
        </w:tc>
      </w:tr>
      <w:tr w:rsidR="00630A33" w:rsidRPr="00630A33" w14:paraId="42671B25" w14:textId="77777777" w:rsidTr="00D07D18">
        <w:trPr>
          <w:trHeight w:val="294"/>
          <w:tblHeader/>
        </w:trPr>
        <w:tc>
          <w:tcPr>
            <w:tcW w:w="2388" w:type="pct"/>
            <w:tcBorders>
              <w:top w:val="single" w:sz="8" w:space="0" w:color="7F7F7F" w:themeColor="text1" w:themeTint="80"/>
            </w:tcBorders>
            <w:shd w:val="clear" w:color="auto" w:fill="auto"/>
            <w:vAlign w:val="center"/>
          </w:tcPr>
          <w:p w14:paraId="424139E9" w14:textId="77777777" w:rsidR="00630A33" w:rsidRPr="00630A33" w:rsidRDefault="00630A33" w:rsidP="00630A33">
            <w:pPr>
              <w:rPr>
                <w:rFonts w:eastAsia="Times New Roman" w:cs="Times New Roman"/>
                <w:lang w:eastAsia="cs-CZ"/>
              </w:rPr>
            </w:pPr>
            <w:r w:rsidRPr="00630A33">
              <w:rPr>
                <w:rFonts w:eastAsia="Times New Roman" w:cs="Times New Roman"/>
                <w:lang w:eastAsia="cs-CZ"/>
              </w:rPr>
              <w:t>platy zaměstnanců a ostatní osobní náklady</w:t>
            </w:r>
          </w:p>
        </w:tc>
        <w:tc>
          <w:tcPr>
            <w:tcW w:w="769" w:type="pct"/>
            <w:tcBorders>
              <w:top w:val="single" w:sz="8" w:space="0" w:color="7F7F7F" w:themeColor="text1" w:themeTint="80"/>
            </w:tcBorders>
            <w:shd w:val="clear" w:color="auto" w:fill="auto"/>
            <w:vAlign w:val="center"/>
          </w:tcPr>
          <w:p w14:paraId="5B576BEC" w14:textId="5AF2E4F1" w:rsidR="00630A33" w:rsidRPr="00630A33" w:rsidRDefault="00630A33" w:rsidP="00630A33">
            <w:pPr>
              <w:spacing w:before="81"/>
              <w:jc w:val="right"/>
              <w:rPr>
                <w:rFonts w:eastAsia="Times New Roman" w:cs="Times New Roman"/>
                <w:lang w:eastAsia="cs-CZ"/>
              </w:rPr>
            </w:pPr>
            <w:r w:rsidRPr="00630A33">
              <w:rPr>
                <w:rFonts w:eastAsia="Times New Roman" w:cs="Times New Roman"/>
                <w:lang w:eastAsia="cs-CZ"/>
              </w:rPr>
              <w:t>35 179</w:t>
            </w:r>
          </w:p>
        </w:tc>
        <w:tc>
          <w:tcPr>
            <w:tcW w:w="691" w:type="pct"/>
            <w:tcBorders>
              <w:top w:val="single" w:sz="8" w:space="0" w:color="7F7F7F" w:themeColor="text1" w:themeTint="80"/>
            </w:tcBorders>
            <w:shd w:val="clear" w:color="auto" w:fill="auto"/>
            <w:vAlign w:val="center"/>
          </w:tcPr>
          <w:p w14:paraId="43D41320" w14:textId="054241F2" w:rsidR="00630A33" w:rsidRPr="00630A33" w:rsidRDefault="00630A33" w:rsidP="00630A33">
            <w:pPr>
              <w:spacing w:before="81"/>
              <w:jc w:val="right"/>
              <w:rPr>
                <w:rFonts w:eastAsia="Times New Roman" w:cs="Times New Roman"/>
                <w:lang w:eastAsia="cs-CZ"/>
              </w:rPr>
            </w:pPr>
            <w:r w:rsidRPr="00630A33">
              <w:rPr>
                <w:rFonts w:eastAsia="Times New Roman" w:cs="Times New Roman"/>
                <w:lang w:eastAsia="cs-CZ"/>
              </w:rPr>
              <w:t>33 902</w:t>
            </w:r>
          </w:p>
        </w:tc>
        <w:tc>
          <w:tcPr>
            <w:tcW w:w="615" w:type="pct"/>
            <w:tcBorders>
              <w:top w:val="single" w:sz="8" w:space="0" w:color="7F7F7F" w:themeColor="text1" w:themeTint="80"/>
            </w:tcBorders>
            <w:shd w:val="clear" w:color="auto" w:fill="auto"/>
            <w:vAlign w:val="center"/>
          </w:tcPr>
          <w:p w14:paraId="39EE9D06" w14:textId="1FBBA398" w:rsidR="00630A33" w:rsidRPr="00630A33" w:rsidRDefault="00630A33" w:rsidP="00630A33">
            <w:pPr>
              <w:spacing w:before="81"/>
              <w:jc w:val="right"/>
              <w:rPr>
                <w:rFonts w:eastAsia="Times New Roman" w:cs="Times New Roman"/>
                <w:lang w:eastAsia="cs-CZ"/>
              </w:rPr>
            </w:pPr>
            <w:r w:rsidRPr="00630A33">
              <w:rPr>
                <w:rFonts w:eastAsia="Times New Roman" w:cs="Times New Roman"/>
                <w:lang w:eastAsia="cs-CZ"/>
              </w:rPr>
              <w:t>35 526</w:t>
            </w:r>
          </w:p>
        </w:tc>
        <w:tc>
          <w:tcPr>
            <w:tcW w:w="537" w:type="pct"/>
            <w:tcBorders>
              <w:top w:val="single" w:sz="8" w:space="0" w:color="7F7F7F" w:themeColor="text1" w:themeTint="80"/>
            </w:tcBorders>
            <w:shd w:val="clear" w:color="auto" w:fill="auto"/>
            <w:vAlign w:val="center"/>
          </w:tcPr>
          <w:p w14:paraId="120AC653" w14:textId="07F958F8" w:rsidR="00630A33" w:rsidRPr="00630A33" w:rsidRDefault="00630A33" w:rsidP="00630A33">
            <w:pPr>
              <w:spacing w:before="81"/>
              <w:jc w:val="right"/>
              <w:rPr>
                <w:rFonts w:eastAsia="Times New Roman" w:cs="Times New Roman"/>
                <w:color w:val="FF0000"/>
                <w:lang w:eastAsia="cs-CZ"/>
              </w:rPr>
            </w:pPr>
            <w:r w:rsidRPr="00630A33">
              <w:rPr>
                <w:rFonts w:eastAsia="Times New Roman" w:cs="Times New Roman"/>
                <w:lang w:eastAsia="cs-CZ"/>
              </w:rPr>
              <w:t>104,79</w:t>
            </w:r>
          </w:p>
        </w:tc>
      </w:tr>
      <w:tr w:rsidR="00630A33" w:rsidRPr="00630A33" w14:paraId="6A26E495" w14:textId="77777777" w:rsidTr="00D07D18">
        <w:trPr>
          <w:trHeight w:val="158"/>
          <w:tblHeader/>
        </w:trPr>
        <w:tc>
          <w:tcPr>
            <w:tcW w:w="2388" w:type="pct"/>
            <w:tcBorders>
              <w:top w:val="single" w:sz="4" w:space="0" w:color="7F7F7F" w:themeColor="text1" w:themeTint="80"/>
            </w:tcBorders>
            <w:shd w:val="clear" w:color="auto" w:fill="auto"/>
          </w:tcPr>
          <w:p w14:paraId="08892EBD" w14:textId="77777777" w:rsidR="00630A33" w:rsidRPr="00630A33" w:rsidRDefault="00630A33" w:rsidP="00630A33">
            <w:pPr>
              <w:rPr>
                <w:rFonts w:eastAsia="Times New Roman" w:cs="Times New Roman"/>
                <w:lang w:eastAsia="cs-CZ"/>
              </w:rPr>
            </w:pPr>
            <w:r w:rsidRPr="00630A33">
              <w:rPr>
                <w:rFonts w:eastAsia="Times New Roman" w:cs="Times New Roman"/>
                <w:lang w:eastAsia="cs-CZ"/>
              </w:rPr>
              <w:t>povinné pojistné placené zaměstnavatelem</w:t>
            </w:r>
          </w:p>
        </w:tc>
        <w:tc>
          <w:tcPr>
            <w:tcW w:w="769" w:type="pct"/>
            <w:tcBorders>
              <w:top w:val="single" w:sz="4" w:space="0" w:color="7F7F7F" w:themeColor="text1" w:themeTint="80"/>
            </w:tcBorders>
            <w:shd w:val="clear" w:color="auto" w:fill="auto"/>
            <w:vAlign w:val="center"/>
          </w:tcPr>
          <w:p w14:paraId="11D2C967" w14:textId="69871F1E" w:rsidR="00630A33" w:rsidRPr="00630A33" w:rsidRDefault="00630A33" w:rsidP="00630A33">
            <w:pPr>
              <w:autoSpaceDE w:val="0"/>
              <w:autoSpaceDN w:val="0"/>
              <w:adjustRightInd w:val="0"/>
              <w:jc w:val="right"/>
              <w:rPr>
                <w:rFonts w:eastAsia="Times New Roman" w:cs="Times New Roman"/>
                <w:lang w:eastAsia="cs-CZ"/>
              </w:rPr>
            </w:pPr>
            <w:r w:rsidRPr="00630A33">
              <w:rPr>
                <w:rFonts w:eastAsia="Times New Roman" w:cs="Times New Roman"/>
                <w:lang w:eastAsia="cs-CZ"/>
              </w:rPr>
              <w:t>11 891</w:t>
            </w:r>
          </w:p>
        </w:tc>
        <w:tc>
          <w:tcPr>
            <w:tcW w:w="691" w:type="pct"/>
            <w:tcBorders>
              <w:top w:val="single" w:sz="4" w:space="0" w:color="7F7F7F" w:themeColor="text1" w:themeTint="80"/>
            </w:tcBorders>
            <w:shd w:val="clear" w:color="auto" w:fill="auto"/>
            <w:vAlign w:val="center"/>
          </w:tcPr>
          <w:p w14:paraId="5E85257F" w14:textId="4BE1E2DE" w:rsidR="00630A33" w:rsidRPr="00630A33" w:rsidRDefault="00630A33" w:rsidP="00630A33">
            <w:pPr>
              <w:jc w:val="right"/>
              <w:rPr>
                <w:rFonts w:eastAsia="Times New Roman" w:cs="Times New Roman"/>
                <w:lang w:eastAsia="cs-CZ"/>
              </w:rPr>
            </w:pPr>
            <w:r w:rsidRPr="00630A33">
              <w:rPr>
                <w:rFonts w:eastAsia="Times New Roman" w:cs="Times New Roman"/>
                <w:lang w:eastAsia="cs-CZ"/>
              </w:rPr>
              <w:t>11 459</w:t>
            </w:r>
          </w:p>
        </w:tc>
        <w:tc>
          <w:tcPr>
            <w:tcW w:w="615" w:type="pct"/>
            <w:tcBorders>
              <w:top w:val="single" w:sz="4" w:space="0" w:color="7F7F7F" w:themeColor="text1" w:themeTint="80"/>
            </w:tcBorders>
            <w:shd w:val="clear" w:color="auto" w:fill="auto"/>
            <w:vAlign w:val="center"/>
          </w:tcPr>
          <w:p w14:paraId="34FC5201" w14:textId="352BA311" w:rsidR="00630A33" w:rsidRPr="00630A33" w:rsidRDefault="00630A33" w:rsidP="00630A33">
            <w:pPr>
              <w:jc w:val="right"/>
              <w:rPr>
                <w:rFonts w:eastAsia="Times New Roman" w:cs="Times New Roman"/>
                <w:lang w:eastAsia="cs-CZ"/>
              </w:rPr>
            </w:pPr>
            <w:r w:rsidRPr="00630A33">
              <w:rPr>
                <w:rFonts w:eastAsia="Times New Roman" w:cs="Times New Roman"/>
                <w:lang w:eastAsia="cs-CZ"/>
              </w:rPr>
              <w:t>12 008</w:t>
            </w:r>
          </w:p>
        </w:tc>
        <w:tc>
          <w:tcPr>
            <w:tcW w:w="537" w:type="pct"/>
            <w:tcBorders>
              <w:top w:val="single" w:sz="4" w:space="0" w:color="7F7F7F" w:themeColor="text1" w:themeTint="80"/>
            </w:tcBorders>
            <w:shd w:val="clear" w:color="auto" w:fill="auto"/>
            <w:vAlign w:val="center"/>
          </w:tcPr>
          <w:p w14:paraId="4EE2B42C" w14:textId="42C82084" w:rsidR="00630A33" w:rsidRPr="00630A33" w:rsidRDefault="00630A33" w:rsidP="00630A33">
            <w:pPr>
              <w:jc w:val="right"/>
              <w:rPr>
                <w:rFonts w:eastAsia="Times New Roman" w:cs="Times New Roman"/>
                <w:color w:val="FF0000"/>
                <w:lang w:eastAsia="cs-CZ"/>
              </w:rPr>
            </w:pPr>
            <w:r w:rsidRPr="00630A33">
              <w:rPr>
                <w:rFonts w:eastAsia="Times New Roman" w:cs="Times New Roman"/>
                <w:lang w:eastAsia="cs-CZ"/>
              </w:rPr>
              <w:t>104,79</w:t>
            </w:r>
          </w:p>
        </w:tc>
      </w:tr>
      <w:tr w:rsidR="00630A33" w:rsidRPr="00630A33" w14:paraId="0F88D8C3" w14:textId="77777777" w:rsidTr="00D07D18">
        <w:trPr>
          <w:trHeight w:val="255"/>
          <w:tblHeader/>
        </w:trPr>
        <w:tc>
          <w:tcPr>
            <w:tcW w:w="2388" w:type="pct"/>
            <w:shd w:val="clear" w:color="auto" w:fill="auto"/>
          </w:tcPr>
          <w:p w14:paraId="711C17D8" w14:textId="77777777" w:rsidR="00630A33" w:rsidRPr="00630A33" w:rsidRDefault="00630A33" w:rsidP="00630A33">
            <w:pPr>
              <w:rPr>
                <w:rFonts w:eastAsia="Times New Roman" w:cs="Times New Roman"/>
                <w:lang w:eastAsia="cs-CZ"/>
              </w:rPr>
            </w:pPr>
            <w:r w:rsidRPr="00630A33">
              <w:rPr>
                <w:rFonts w:eastAsia="Times New Roman" w:cs="Times New Roman"/>
                <w:lang w:eastAsia="cs-CZ"/>
              </w:rPr>
              <w:t>příděl FKSP</w:t>
            </w:r>
          </w:p>
        </w:tc>
        <w:tc>
          <w:tcPr>
            <w:tcW w:w="769" w:type="pct"/>
            <w:tcBorders>
              <w:bottom w:val="single" w:sz="4" w:space="0" w:color="7F7F7F" w:themeColor="text1" w:themeTint="80"/>
            </w:tcBorders>
            <w:shd w:val="clear" w:color="auto" w:fill="auto"/>
            <w:vAlign w:val="center"/>
          </w:tcPr>
          <w:p w14:paraId="5DCBB300" w14:textId="4E11F366" w:rsidR="00630A33" w:rsidRPr="00630A33" w:rsidRDefault="00630A33" w:rsidP="00630A33">
            <w:pPr>
              <w:tabs>
                <w:tab w:val="left" w:pos="489"/>
              </w:tabs>
              <w:jc w:val="right"/>
              <w:rPr>
                <w:rFonts w:eastAsia="Times New Roman" w:cs="Times New Roman"/>
                <w:lang w:eastAsia="cs-CZ"/>
              </w:rPr>
            </w:pPr>
            <w:r w:rsidRPr="00630A33">
              <w:rPr>
                <w:rFonts w:eastAsia="Times New Roman" w:cs="Times New Roman"/>
                <w:lang w:eastAsia="cs-CZ"/>
              </w:rPr>
              <w:t>660</w:t>
            </w:r>
          </w:p>
        </w:tc>
        <w:tc>
          <w:tcPr>
            <w:tcW w:w="691" w:type="pct"/>
            <w:tcBorders>
              <w:bottom w:val="single" w:sz="4" w:space="0" w:color="7F7F7F" w:themeColor="text1" w:themeTint="80"/>
            </w:tcBorders>
            <w:shd w:val="clear" w:color="auto" w:fill="auto"/>
            <w:vAlign w:val="center"/>
          </w:tcPr>
          <w:p w14:paraId="6A9EF8D0" w14:textId="4BF2E947" w:rsidR="00630A33" w:rsidRPr="00630A33" w:rsidRDefault="00630A33" w:rsidP="00630A33">
            <w:pPr>
              <w:jc w:val="right"/>
              <w:rPr>
                <w:rFonts w:eastAsia="Times New Roman" w:cs="Times New Roman"/>
                <w:lang w:eastAsia="cs-CZ"/>
              </w:rPr>
            </w:pPr>
            <w:r w:rsidRPr="00630A33">
              <w:rPr>
                <w:rFonts w:eastAsia="Times New Roman" w:cs="Times New Roman"/>
                <w:lang w:eastAsia="cs-CZ"/>
              </w:rPr>
              <w:t>325</w:t>
            </w:r>
          </w:p>
        </w:tc>
        <w:tc>
          <w:tcPr>
            <w:tcW w:w="615" w:type="pct"/>
            <w:tcBorders>
              <w:bottom w:val="single" w:sz="4" w:space="0" w:color="7F7F7F" w:themeColor="text1" w:themeTint="80"/>
            </w:tcBorders>
            <w:shd w:val="clear" w:color="auto" w:fill="auto"/>
            <w:vAlign w:val="center"/>
          </w:tcPr>
          <w:p w14:paraId="6FBC4064" w14:textId="0A7E2623" w:rsidR="00630A33" w:rsidRPr="00630A33" w:rsidRDefault="00630A33" w:rsidP="00630A33">
            <w:pPr>
              <w:jc w:val="right"/>
              <w:rPr>
                <w:rFonts w:eastAsia="Times New Roman" w:cs="Times New Roman"/>
                <w:lang w:eastAsia="cs-CZ"/>
              </w:rPr>
            </w:pPr>
            <w:r w:rsidRPr="00630A33">
              <w:rPr>
                <w:rFonts w:eastAsia="Times New Roman" w:cs="Times New Roman"/>
                <w:lang w:eastAsia="cs-CZ"/>
              </w:rPr>
              <w:t>341</w:t>
            </w:r>
          </w:p>
        </w:tc>
        <w:tc>
          <w:tcPr>
            <w:tcW w:w="537" w:type="pct"/>
            <w:tcBorders>
              <w:bottom w:val="single" w:sz="4" w:space="0" w:color="7F7F7F" w:themeColor="text1" w:themeTint="80"/>
            </w:tcBorders>
            <w:shd w:val="clear" w:color="auto" w:fill="auto"/>
            <w:vAlign w:val="center"/>
          </w:tcPr>
          <w:p w14:paraId="23FF2DB2" w14:textId="1ADEB774" w:rsidR="00630A33" w:rsidRPr="00630A33" w:rsidRDefault="00630A33" w:rsidP="00630A33">
            <w:pPr>
              <w:jc w:val="right"/>
              <w:rPr>
                <w:rFonts w:eastAsia="Times New Roman" w:cs="Times New Roman"/>
                <w:color w:val="FF0000"/>
                <w:lang w:eastAsia="cs-CZ"/>
              </w:rPr>
            </w:pPr>
            <w:r w:rsidRPr="00630A33">
              <w:rPr>
                <w:rFonts w:eastAsia="Times New Roman" w:cs="Times New Roman"/>
                <w:lang w:eastAsia="cs-CZ"/>
              </w:rPr>
              <w:t>104,92</w:t>
            </w:r>
          </w:p>
        </w:tc>
      </w:tr>
      <w:tr w:rsidR="00630A33" w:rsidRPr="00D070B8" w14:paraId="0A831DF2" w14:textId="77777777" w:rsidTr="00D07D18">
        <w:trPr>
          <w:trHeight w:val="455"/>
          <w:tblHeader/>
        </w:trPr>
        <w:tc>
          <w:tcPr>
            <w:tcW w:w="2388" w:type="pct"/>
            <w:shd w:val="clear" w:color="auto" w:fill="auto"/>
          </w:tcPr>
          <w:p w14:paraId="0FF0752D" w14:textId="77777777" w:rsidR="00630A33" w:rsidRPr="00630A33" w:rsidRDefault="00630A33" w:rsidP="00630A33">
            <w:pPr>
              <w:jc w:val="left"/>
              <w:rPr>
                <w:rFonts w:eastAsia="Times New Roman" w:cs="Times New Roman"/>
                <w:lang w:eastAsia="cs-CZ"/>
              </w:rPr>
            </w:pPr>
            <w:r w:rsidRPr="00630A33">
              <w:rPr>
                <w:rFonts w:eastAsia="Times New Roman" w:cs="Times New Roman"/>
                <w:lang w:eastAsia="cs-CZ"/>
              </w:rPr>
              <w:t>dotace na neinvestiční náklady související s financ. programů evidovaných v EDS/SMVS</w:t>
            </w:r>
          </w:p>
        </w:tc>
        <w:tc>
          <w:tcPr>
            <w:tcW w:w="769" w:type="pct"/>
            <w:tcBorders>
              <w:top w:val="single" w:sz="4" w:space="0" w:color="7F7F7F" w:themeColor="text1" w:themeTint="80"/>
              <w:bottom w:val="single" w:sz="4" w:space="0" w:color="auto"/>
            </w:tcBorders>
            <w:shd w:val="clear" w:color="auto" w:fill="auto"/>
            <w:vAlign w:val="center"/>
          </w:tcPr>
          <w:p w14:paraId="16CC0C01" w14:textId="4AD7070C" w:rsidR="00630A33" w:rsidRPr="00630A33" w:rsidRDefault="00630A33" w:rsidP="00630A33">
            <w:pPr>
              <w:spacing w:before="81"/>
              <w:jc w:val="right"/>
              <w:rPr>
                <w:rFonts w:eastAsia="Times New Roman" w:cs="Times New Roman"/>
                <w:lang w:eastAsia="cs-CZ"/>
              </w:rPr>
            </w:pPr>
            <w:r w:rsidRPr="00630A33">
              <w:rPr>
                <w:rFonts w:eastAsia="Times New Roman" w:cs="Times New Roman"/>
                <w:lang w:eastAsia="cs-CZ"/>
              </w:rPr>
              <w:t>505</w:t>
            </w:r>
          </w:p>
        </w:tc>
        <w:tc>
          <w:tcPr>
            <w:tcW w:w="691" w:type="pct"/>
            <w:tcBorders>
              <w:top w:val="single" w:sz="4" w:space="0" w:color="7F7F7F" w:themeColor="text1" w:themeTint="80"/>
              <w:bottom w:val="single" w:sz="4" w:space="0" w:color="auto"/>
            </w:tcBorders>
            <w:shd w:val="clear" w:color="auto" w:fill="auto"/>
            <w:vAlign w:val="center"/>
          </w:tcPr>
          <w:p w14:paraId="2CF52EDF" w14:textId="3D5B59A3" w:rsidR="00630A33" w:rsidRPr="00630A33" w:rsidRDefault="00630A33" w:rsidP="00630A33">
            <w:pPr>
              <w:spacing w:before="81"/>
              <w:jc w:val="right"/>
              <w:rPr>
                <w:rFonts w:eastAsia="Times New Roman" w:cs="Times New Roman"/>
                <w:lang w:eastAsia="cs-CZ"/>
              </w:rPr>
            </w:pPr>
            <w:r w:rsidRPr="00630A33">
              <w:rPr>
                <w:rFonts w:eastAsia="Times New Roman" w:cs="Times New Roman"/>
                <w:lang w:eastAsia="cs-CZ"/>
              </w:rPr>
              <w:t>0</w:t>
            </w:r>
          </w:p>
        </w:tc>
        <w:tc>
          <w:tcPr>
            <w:tcW w:w="615" w:type="pct"/>
            <w:tcBorders>
              <w:top w:val="single" w:sz="4" w:space="0" w:color="7F7F7F" w:themeColor="text1" w:themeTint="80"/>
              <w:bottom w:val="single" w:sz="4" w:space="0" w:color="auto"/>
            </w:tcBorders>
            <w:shd w:val="clear" w:color="auto" w:fill="auto"/>
            <w:vAlign w:val="center"/>
          </w:tcPr>
          <w:p w14:paraId="5513F6CE" w14:textId="77777777" w:rsidR="00630A33" w:rsidRPr="00630A33" w:rsidRDefault="00630A33" w:rsidP="00630A33">
            <w:pPr>
              <w:spacing w:before="81"/>
              <w:jc w:val="right"/>
              <w:rPr>
                <w:rFonts w:eastAsia="Times New Roman" w:cs="Times New Roman"/>
                <w:lang w:eastAsia="cs-CZ"/>
              </w:rPr>
            </w:pPr>
            <w:r w:rsidRPr="00630A33">
              <w:rPr>
                <w:rFonts w:eastAsia="Times New Roman" w:cs="Times New Roman"/>
                <w:lang w:eastAsia="cs-CZ"/>
              </w:rPr>
              <w:t>0</w:t>
            </w:r>
          </w:p>
        </w:tc>
        <w:tc>
          <w:tcPr>
            <w:tcW w:w="537" w:type="pct"/>
            <w:tcBorders>
              <w:top w:val="single" w:sz="4" w:space="0" w:color="7F7F7F" w:themeColor="text1" w:themeTint="80"/>
              <w:bottom w:val="single" w:sz="4" w:space="0" w:color="auto"/>
            </w:tcBorders>
            <w:shd w:val="clear" w:color="auto" w:fill="auto"/>
            <w:vAlign w:val="center"/>
          </w:tcPr>
          <w:p w14:paraId="79F015D9" w14:textId="77777777" w:rsidR="00630A33" w:rsidRPr="00630A33" w:rsidRDefault="00630A33" w:rsidP="00630A33">
            <w:pPr>
              <w:spacing w:before="81"/>
              <w:jc w:val="right"/>
              <w:rPr>
                <w:rFonts w:eastAsia="Times New Roman" w:cs="Times New Roman"/>
                <w:lang w:eastAsia="cs-CZ"/>
              </w:rPr>
            </w:pPr>
            <w:r w:rsidRPr="00630A33">
              <w:rPr>
                <w:rFonts w:eastAsia="Times New Roman" w:cs="Times New Roman"/>
                <w:lang w:eastAsia="cs-CZ"/>
              </w:rPr>
              <w:t>x</w:t>
            </w:r>
          </w:p>
        </w:tc>
      </w:tr>
    </w:tbl>
    <w:p w14:paraId="783672DB" w14:textId="77777777" w:rsidR="00BD28A7" w:rsidRPr="00367A38" w:rsidRDefault="00BD28A7" w:rsidP="00A66629">
      <w:pPr>
        <w:pStyle w:val="Nadpis9"/>
        <w:rPr>
          <w:color w:val="000000" w:themeColor="text1"/>
          <w:lang w:eastAsia="cs-CZ"/>
        </w:rPr>
      </w:pPr>
      <w:r w:rsidRPr="00367A38">
        <w:rPr>
          <w:color w:val="000000" w:themeColor="text1"/>
          <w:lang w:eastAsia="cs-CZ"/>
        </w:rPr>
        <w:t>Centrum služeb pro silniční dopravu</w:t>
      </w:r>
    </w:p>
    <w:p w14:paraId="5BE1243B" w14:textId="4A1CFBB5" w:rsidR="008C2FA3" w:rsidRPr="00367A38" w:rsidRDefault="008C2FA3" w:rsidP="005B5118">
      <w:pPr>
        <w:pStyle w:val="Styl1"/>
        <w:rPr>
          <w:color w:val="000000" w:themeColor="text1"/>
        </w:rPr>
      </w:pPr>
      <w:r w:rsidRPr="00367A38">
        <w:rPr>
          <w:color w:val="000000" w:themeColor="text1"/>
        </w:rPr>
        <w:t>Centrum služeb pro silniční dopravu je státní příspěvkovou organizací re</w:t>
      </w:r>
      <w:r w:rsidR="00DE1C56">
        <w:rPr>
          <w:color w:val="000000" w:themeColor="text1"/>
        </w:rPr>
        <w:t>s</w:t>
      </w:r>
      <w:r w:rsidRPr="00367A38">
        <w:rPr>
          <w:color w:val="000000" w:themeColor="text1"/>
        </w:rPr>
        <w:t xml:space="preserve">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w:t>
      </w:r>
      <w:r w:rsidRPr="00367A38">
        <w:rPr>
          <w:color w:val="000000" w:themeColor="text1"/>
        </w:rPr>
        <w:br/>
        <w:t>a mezinárodních smluv, kterými je vázána Česká republika v oblasti práce osádek silniční dopravy (AETR) a přepravy nebezpečných věcí (ADR).</w:t>
      </w:r>
    </w:p>
    <w:p w14:paraId="6737E231" w14:textId="06188CF9" w:rsidR="008C2FA3" w:rsidRPr="00367A38" w:rsidRDefault="008C2FA3" w:rsidP="00A4652C">
      <w:pPr>
        <w:pStyle w:val="Titulek"/>
        <w:rPr>
          <w:color w:val="000000" w:themeColor="text1"/>
        </w:rPr>
      </w:pPr>
      <w:r w:rsidRPr="00367A38">
        <w:rPr>
          <w:color w:val="000000" w:themeColor="text1"/>
        </w:rPr>
        <w:lastRenderedPageBreak/>
        <w:t xml:space="preserve">Tabulka č. </w:t>
      </w:r>
      <w:r w:rsidRPr="00367A38">
        <w:rPr>
          <w:color w:val="000000" w:themeColor="text1"/>
        </w:rPr>
        <w:fldChar w:fldCharType="begin"/>
      </w:r>
      <w:r w:rsidRPr="00367A38">
        <w:rPr>
          <w:color w:val="000000" w:themeColor="text1"/>
        </w:rPr>
        <w:instrText xml:space="preserve"> SEQ Tabulka \* ARABIC </w:instrText>
      </w:r>
      <w:r w:rsidRPr="00367A38">
        <w:rPr>
          <w:color w:val="000000" w:themeColor="text1"/>
        </w:rPr>
        <w:fldChar w:fldCharType="separate"/>
      </w:r>
      <w:r w:rsidR="003B0B01" w:rsidRPr="00367A38">
        <w:rPr>
          <w:noProof/>
          <w:color w:val="000000" w:themeColor="text1"/>
        </w:rPr>
        <w:t>22</w:t>
      </w:r>
      <w:r w:rsidRPr="00367A38">
        <w:rPr>
          <w:noProof/>
          <w:color w:val="000000" w:themeColor="text1"/>
        </w:rPr>
        <w:fldChar w:fldCharType="end"/>
      </w:r>
      <w:r w:rsidRPr="00367A38">
        <w:rPr>
          <w:noProof/>
          <w:color w:val="000000" w:themeColor="text1"/>
        </w:rPr>
        <w:t xml:space="preserve"> Centrum služeb pro silniční dopravu (v tis. Kč)</w:t>
      </w:r>
    </w:p>
    <w:tbl>
      <w:tblPr>
        <w:tblStyle w:val="Svtltabulkasmkou1zvraznn5"/>
        <w:tblW w:w="9168" w:type="dxa"/>
        <w:tblInd w:w="-10" w:type="dxa"/>
        <w:tblLayout w:type="fixed"/>
        <w:tblLook w:val="0000" w:firstRow="0" w:lastRow="0" w:firstColumn="0" w:lastColumn="0" w:noHBand="0" w:noVBand="0"/>
      </w:tblPr>
      <w:tblGrid>
        <w:gridCol w:w="4422"/>
        <w:gridCol w:w="1344"/>
        <w:gridCol w:w="1332"/>
        <w:gridCol w:w="1134"/>
        <w:gridCol w:w="936"/>
      </w:tblGrid>
      <w:tr w:rsidR="00153ADE" w:rsidRPr="00367A38" w14:paraId="3AF20C0E" w14:textId="77777777"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65ED6E2E" w14:textId="77777777" w:rsidR="00586150" w:rsidRPr="00367A38" w:rsidRDefault="00586150" w:rsidP="000A1EB1">
            <w:pPr>
              <w:autoSpaceDE w:val="0"/>
              <w:autoSpaceDN w:val="0"/>
              <w:adjustRightInd w:val="0"/>
              <w:jc w:val="center"/>
              <w:rPr>
                <w:rFonts w:eastAsia="Times New Roman" w:cs="Times New Roman"/>
                <w:b/>
                <w:color w:val="000000" w:themeColor="text1"/>
                <w:lang w:eastAsia="cs-CZ"/>
              </w:rPr>
            </w:pPr>
            <w:r w:rsidRPr="00367A38">
              <w:rPr>
                <w:rFonts w:eastAsia="Times New Roman" w:cs="Times New Roman"/>
                <w:b/>
                <w:color w:val="000000" w:themeColor="text1"/>
                <w:lang w:eastAsia="cs-CZ"/>
              </w:rPr>
              <w:t>Ukazatel</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60A8C8A1" w14:textId="77777777" w:rsidR="00586150" w:rsidRPr="00367A38" w:rsidRDefault="00586150"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Skutečnost</w:t>
            </w:r>
          </w:p>
          <w:p w14:paraId="4625B43C" w14:textId="1E819FA8" w:rsidR="00586150" w:rsidRPr="00367A38" w:rsidRDefault="0071732D"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202</w:t>
            </w:r>
            <w:r w:rsidR="00367A38" w:rsidRPr="00367A38">
              <w:rPr>
                <w:rFonts w:eastAsia="Times New Roman" w:cs="Times New Roman"/>
                <w:b/>
                <w:color w:val="000000" w:themeColor="text1"/>
                <w:szCs w:val="24"/>
                <w:lang w:eastAsia="cs-CZ"/>
              </w:rPr>
              <w:t>3</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2F804348" w14:textId="77777777" w:rsidR="00586150" w:rsidRPr="00367A38" w:rsidRDefault="00586150"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Schválený</w:t>
            </w:r>
          </w:p>
          <w:p w14:paraId="66A1E0B2" w14:textId="77777777" w:rsidR="00586150" w:rsidRPr="00367A38" w:rsidRDefault="00586150"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rozpočet</w:t>
            </w:r>
          </w:p>
          <w:p w14:paraId="6B35E7B3" w14:textId="6319CC8C" w:rsidR="00586150" w:rsidRPr="00367A38" w:rsidRDefault="0071732D"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202</w:t>
            </w:r>
            <w:r w:rsidR="00367A38" w:rsidRPr="00367A38">
              <w:rPr>
                <w:rFonts w:eastAsia="Times New Roman" w:cs="Times New Roman"/>
                <w:b/>
                <w:color w:val="000000" w:themeColor="text1"/>
                <w:szCs w:val="24"/>
                <w:lang w:eastAsia="cs-CZ"/>
              </w:rPr>
              <w:t>4</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0E06B278" w14:textId="77777777" w:rsidR="00586150" w:rsidRPr="00367A38" w:rsidRDefault="00586150"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Návrh</w:t>
            </w:r>
          </w:p>
          <w:p w14:paraId="31F96390" w14:textId="77777777" w:rsidR="00586150" w:rsidRPr="00367A38" w:rsidRDefault="00586150"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rozpočtu</w:t>
            </w:r>
          </w:p>
          <w:p w14:paraId="476D471B" w14:textId="0ADDD3AB" w:rsidR="00586150" w:rsidRPr="00367A38" w:rsidRDefault="0071732D"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202</w:t>
            </w:r>
            <w:r w:rsidR="00367A38" w:rsidRPr="00367A38">
              <w:rPr>
                <w:rFonts w:eastAsia="Times New Roman" w:cs="Times New Roman"/>
                <w:b/>
                <w:color w:val="000000" w:themeColor="text1"/>
                <w:szCs w:val="24"/>
                <w:lang w:eastAsia="cs-CZ"/>
              </w:rPr>
              <w:t>5</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14:paraId="464DAEB3" w14:textId="77777777" w:rsidR="00586150" w:rsidRPr="00367A38" w:rsidRDefault="00586150" w:rsidP="000A1EB1">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Index</w:t>
            </w:r>
          </w:p>
          <w:p w14:paraId="2D33E557" w14:textId="41A0B61E" w:rsidR="00586150" w:rsidRPr="00367A38" w:rsidRDefault="0071732D">
            <w:pPr>
              <w:jc w:val="center"/>
              <w:rPr>
                <w:rFonts w:eastAsia="Times New Roman" w:cs="Times New Roman"/>
                <w:b/>
                <w:color w:val="000000" w:themeColor="text1"/>
                <w:szCs w:val="24"/>
                <w:lang w:eastAsia="cs-CZ"/>
              </w:rPr>
            </w:pPr>
            <w:r w:rsidRPr="00367A38">
              <w:rPr>
                <w:rFonts w:eastAsia="Times New Roman" w:cs="Times New Roman"/>
                <w:b/>
                <w:color w:val="000000" w:themeColor="text1"/>
                <w:szCs w:val="24"/>
                <w:lang w:eastAsia="cs-CZ"/>
              </w:rPr>
              <w:t>202</w:t>
            </w:r>
            <w:r w:rsidR="00367A38" w:rsidRPr="00367A38">
              <w:rPr>
                <w:rFonts w:eastAsia="Times New Roman" w:cs="Times New Roman"/>
                <w:b/>
                <w:color w:val="000000" w:themeColor="text1"/>
                <w:szCs w:val="24"/>
                <w:lang w:eastAsia="cs-CZ"/>
              </w:rPr>
              <w:t>5</w:t>
            </w:r>
            <w:r w:rsidR="00586150" w:rsidRPr="00367A38">
              <w:rPr>
                <w:rFonts w:eastAsia="Times New Roman" w:cs="Times New Roman"/>
                <w:b/>
                <w:color w:val="000000" w:themeColor="text1"/>
                <w:szCs w:val="24"/>
                <w:lang w:eastAsia="cs-CZ"/>
              </w:rPr>
              <w:t>/</w:t>
            </w:r>
            <w:r w:rsidR="00586150" w:rsidRPr="00367A38">
              <w:rPr>
                <w:rFonts w:eastAsia="Times New Roman" w:cs="Times New Roman"/>
                <w:b/>
                <w:color w:val="000000" w:themeColor="text1"/>
                <w:szCs w:val="24"/>
                <w:lang w:eastAsia="cs-CZ"/>
              </w:rPr>
              <w:br/>
            </w:r>
            <w:r w:rsidRPr="00367A38">
              <w:rPr>
                <w:rFonts w:eastAsia="Times New Roman" w:cs="Times New Roman"/>
                <w:b/>
                <w:color w:val="000000" w:themeColor="text1"/>
                <w:szCs w:val="24"/>
                <w:lang w:eastAsia="cs-CZ"/>
              </w:rPr>
              <w:t>202</w:t>
            </w:r>
            <w:r w:rsidR="00367A38" w:rsidRPr="00367A38">
              <w:rPr>
                <w:rFonts w:eastAsia="Times New Roman" w:cs="Times New Roman"/>
                <w:b/>
                <w:color w:val="000000" w:themeColor="text1"/>
                <w:szCs w:val="24"/>
                <w:lang w:eastAsia="cs-CZ"/>
              </w:rPr>
              <w:t>4</w:t>
            </w:r>
            <w:r w:rsidR="00586150" w:rsidRPr="00367A38">
              <w:rPr>
                <w:rFonts w:eastAsia="Times New Roman" w:cs="Times New Roman"/>
                <w:b/>
                <w:color w:val="000000" w:themeColor="text1"/>
                <w:szCs w:val="24"/>
                <w:lang w:eastAsia="cs-CZ"/>
              </w:rPr>
              <w:br/>
              <w:t>(v %)</w:t>
            </w:r>
          </w:p>
        </w:tc>
      </w:tr>
      <w:tr w:rsidR="00AA1D3E" w:rsidRPr="00367A38" w14:paraId="3F85E648" w14:textId="77777777" w:rsidTr="000A1EB1">
        <w:trPr>
          <w:trHeight w:val="270"/>
        </w:trPr>
        <w:tc>
          <w:tcPr>
            <w:tcW w:w="4422" w:type="dxa"/>
            <w:tcBorders>
              <w:top w:val="single" w:sz="4"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72C53991" w14:textId="77777777" w:rsidR="00586150" w:rsidRPr="00367A38" w:rsidRDefault="00586150" w:rsidP="000A1EB1">
            <w:pPr>
              <w:autoSpaceDE w:val="0"/>
              <w:autoSpaceDN w:val="0"/>
              <w:adjustRightInd w:val="0"/>
              <w:jc w:val="center"/>
              <w:rPr>
                <w:rFonts w:eastAsia="Times New Roman" w:cs="Times New Roman"/>
                <w:color w:val="000000" w:themeColor="text1"/>
                <w:lang w:eastAsia="cs-CZ"/>
              </w:rPr>
            </w:pPr>
            <w:r w:rsidRPr="00367A38">
              <w:rPr>
                <w:rFonts w:eastAsia="Times New Roman" w:cs="Times New Roman"/>
                <w:color w:val="000000" w:themeColor="text1"/>
                <w:lang w:eastAsia="cs-CZ"/>
              </w:rPr>
              <w:t>a</w:t>
            </w:r>
          </w:p>
        </w:tc>
        <w:tc>
          <w:tcPr>
            <w:tcW w:w="134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33E70A1" w14:textId="77777777" w:rsidR="00586150" w:rsidRPr="00367A38" w:rsidRDefault="00586150" w:rsidP="000A1EB1">
            <w:pPr>
              <w:jc w:val="center"/>
              <w:rPr>
                <w:rFonts w:eastAsia="Times New Roman" w:cs="Times New Roman"/>
                <w:color w:val="000000" w:themeColor="text1"/>
                <w:lang w:eastAsia="cs-CZ"/>
              </w:rPr>
            </w:pPr>
            <w:r w:rsidRPr="00367A38">
              <w:rPr>
                <w:rFonts w:eastAsia="Times New Roman" w:cs="Times New Roman"/>
                <w:color w:val="000000" w:themeColor="text1"/>
                <w:lang w:eastAsia="cs-CZ"/>
              </w:rPr>
              <w:t>1</w:t>
            </w:r>
          </w:p>
        </w:tc>
        <w:tc>
          <w:tcPr>
            <w:tcW w:w="1332"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5D739B31" w14:textId="77777777" w:rsidR="00586150" w:rsidRPr="00367A38" w:rsidRDefault="00586150" w:rsidP="000A1EB1">
            <w:pPr>
              <w:jc w:val="center"/>
              <w:rPr>
                <w:rFonts w:eastAsia="Times New Roman" w:cs="Times New Roman"/>
                <w:color w:val="000000" w:themeColor="text1"/>
                <w:lang w:eastAsia="cs-CZ"/>
              </w:rPr>
            </w:pPr>
            <w:r w:rsidRPr="00367A38">
              <w:rPr>
                <w:rFonts w:eastAsia="Times New Roman" w:cs="Times New Roman"/>
                <w:color w:val="000000" w:themeColor="text1"/>
                <w:lang w:eastAsia="cs-CZ"/>
              </w:rPr>
              <w:t>2</w:t>
            </w:r>
          </w:p>
        </w:tc>
        <w:tc>
          <w:tcPr>
            <w:tcW w:w="113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37158450" w14:textId="77777777" w:rsidR="00586150" w:rsidRPr="00367A38" w:rsidRDefault="00586150" w:rsidP="000A1EB1">
            <w:pPr>
              <w:jc w:val="center"/>
              <w:rPr>
                <w:rFonts w:eastAsia="Times New Roman" w:cs="Times New Roman"/>
                <w:color w:val="000000" w:themeColor="text1"/>
                <w:lang w:eastAsia="cs-CZ"/>
              </w:rPr>
            </w:pPr>
            <w:r w:rsidRPr="00367A38">
              <w:rPr>
                <w:rFonts w:eastAsia="Times New Roman" w:cs="Times New Roman"/>
                <w:color w:val="000000" w:themeColor="text1"/>
                <w:lang w:eastAsia="cs-CZ"/>
              </w:rPr>
              <w:t>3</w:t>
            </w:r>
          </w:p>
        </w:tc>
        <w:tc>
          <w:tcPr>
            <w:tcW w:w="936" w:type="dxa"/>
            <w:tcBorders>
              <w:top w:val="single" w:sz="4"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4F81BEEA" w14:textId="77777777" w:rsidR="00586150" w:rsidRPr="00367A38" w:rsidRDefault="00586150" w:rsidP="000A1EB1">
            <w:pPr>
              <w:jc w:val="center"/>
              <w:rPr>
                <w:rFonts w:eastAsia="Times New Roman" w:cs="Times New Roman"/>
                <w:color w:val="000000" w:themeColor="text1"/>
                <w:lang w:eastAsia="cs-CZ"/>
              </w:rPr>
            </w:pPr>
            <w:r w:rsidRPr="00367A38">
              <w:rPr>
                <w:rFonts w:eastAsia="Times New Roman" w:cs="Times New Roman"/>
                <w:color w:val="000000" w:themeColor="text1"/>
                <w:lang w:eastAsia="cs-CZ"/>
              </w:rPr>
              <w:t>4</w:t>
            </w:r>
          </w:p>
        </w:tc>
      </w:tr>
      <w:tr w:rsidR="00367A38" w:rsidRPr="00367A38" w14:paraId="3B1DA80D" w14:textId="77777777" w:rsidTr="000A1EB1">
        <w:trPr>
          <w:trHeight w:val="270"/>
        </w:trPr>
        <w:tc>
          <w:tcPr>
            <w:tcW w:w="4422"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0EE038BE" w14:textId="77777777" w:rsidR="00367A38" w:rsidRPr="00367A38" w:rsidRDefault="00367A38" w:rsidP="00367A38">
            <w:pPr>
              <w:autoSpaceDE w:val="0"/>
              <w:autoSpaceDN w:val="0"/>
              <w:adjustRightInd w:val="0"/>
              <w:rPr>
                <w:rFonts w:eastAsia="Times New Roman" w:cs="Times New Roman"/>
                <w:b/>
                <w:bCs/>
                <w:color w:val="000000" w:themeColor="text1"/>
                <w:lang w:eastAsia="cs-CZ"/>
              </w:rPr>
            </w:pPr>
            <w:r w:rsidRPr="00367A38">
              <w:rPr>
                <w:rFonts w:eastAsia="Times New Roman" w:cs="Times New Roman"/>
                <w:b/>
                <w:bCs/>
                <w:color w:val="000000" w:themeColor="text1"/>
                <w:lang w:eastAsia="cs-CZ"/>
              </w:rPr>
              <w:t>Neinvestiční příspěvek a transfer zřízeným PO</w:t>
            </w:r>
          </w:p>
          <w:p w14:paraId="4AED89AB" w14:textId="77777777" w:rsidR="00367A38" w:rsidRPr="00367A38" w:rsidRDefault="00367A38" w:rsidP="00367A38">
            <w:pPr>
              <w:autoSpaceDE w:val="0"/>
              <w:autoSpaceDN w:val="0"/>
              <w:adjustRightInd w:val="0"/>
              <w:rPr>
                <w:rFonts w:eastAsia="Times New Roman" w:cs="Times New Roman"/>
                <w:bCs/>
                <w:color w:val="000000" w:themeColor="text1"/>
                <w:lang w:eastAsia="cs-CZ"/>
              </w:rPr>
            </w:pPr>
            <w:r w:rsidRPr="00367A38">
              <w:rPr>
                <w:rFonts w:eastAsia="Times New Roman" w:cs="Times New Roman"/>
                <w:b/>
                <w:bCs/>
                <w:color w:val="000000" w:themeColor="text1"/>
                <w:lang w:eastAsia="cs-CZ"/>
              </w:rPr>
              <w:t xml:space="preserve"> </w:t>
            </w:r>
            <w:r w:rsidRPr="00367A38">
              <w:rPr>
                <w:rFonts w:eastAsia="Times New Roman" w:cs="Times New Roman"/>
                <w:bCs/>
                <w:color w:val="000000" w:themeColor="text1"/>
                <w:lang w:eastAsia="cs-CZ"/>
              </w:rPr>
              <w:t>z toho:</w:t>
            </w:r>
          </w:p>
        </w:tc>
        <w:tc>
          <w:tcPr>
            <w:tcW w:w="134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5C74B40" w14:textId="7B74969C" w:rsidR="00367A38" w:rsidRPr="00367A38" w:rsidRDefault="00367A38" w:rsidP="00367A38">
            <w:pPr>
              <w:autoSpaceDE w:val="0"/>
              <w:autoSpaceDN w:val="0"/>
              <w:adjustRightInd w:val="0"/>
              <w:jc w:val="right"/>
              <w:rPr>
                <w:rFonts w:eastAsia="Times New Roman" w:cs="Times New Roman"/>
                <w:b/>
                <w:bCs/>
                <w:color w:val="000000" w:themeColor="text1"/>
                <w:lang w:eastAsia="cs-CZ"/>
              </w:rPr>
            </w:pPr>
            <w:r w:rsidRPr="00367A38">
              <w:rPr>
                <w:rFonts w:eastAsia="Times New Roman" w:cs="Times New Roman"/>
                <w:b/>
                <w:bCs/>
                <w:color w:val="000000" w:themeColor="text1"/>
                <w:lang w:eastAsia="cs-CZ"/>
              </w:rPr>
              <w:t>88 045</w:t>
            </w:r>
          </w:p>
        </w:tc>
        <w:tc>
          <w:tcPr>
            <w:tcW w:w="1332"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99E9FD5" w14:textId="4629E8F0" w:rsidR="00367A38" w:rsidRPr="00367A38" w:rsidRDefault="00367A38" w:rsidP="00367A38">
            <w:pPr>
              <w:autoSpaceDE w:val="0"/>
              <w:autoSpaceDN w:val="0"/>
              <w:adjustRightInd w:val="0"/>
              <w:jc w:val="right"/>
              <w:rPr>
                <w:rFonts w:eastAsia="Times New Roman" w:cs="Times New Roman"/>
                <w:b/>
                <w:bCs/>
                <w:color w:val="000000" w:themeColor="text1"/>
                <w:lang w:eastAsia="cs-CZ"/>
              </w:rPr>
            </w:pPr>
            <w:r w:rsidRPr="00367A38">
              <w:rPr>
                <w:rFonts w:eastAsia="Times New Roman" w:cs="Times New Roman"/>
                <w:b/>
                <w:bCs/>
                <w:color w:val="000000" w:themeColor="text1"/>
                <w:lang w:eastAsia="cs-CZ"/>
              </w:rPr>
              <w:t>69 019</w:t>
            </w:r>
          </w:p>
        </w:tc>
        <w:tc>
          <w:tcPr>
            <w:tcW w:w="113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75667017" w14:textId="57ABEDFC" w:rsidR="00367A38" w:rsidRPr="00367A38" w:rsidRDefault="00367A38" w:rsidP="00367A38">
            <w:pPr>
              <w:autoSpaceDE w:val="0"/>
              <w:autoSpaceDN w:val="0"/>
              <w:adjustRightInd w:val="0"/>
              <w:jc w:val="right"/>
              <w:rPr>
                <w:rFonts w:eastAsia="Times New Roman" w:cs="Times New Roman"/>
                <w:b/>
                <w:bCs/>
                <w:color w:val="000000" w:themeColor="text1"/>
                <w:lang w:eastAsia="cs-CZ"/>
              </w:rPr>
            </w:pPr>
            <w:r w:rsidRPr="00367A38">
              <w:rPr>
                <w:rFonts w:eastAsia="Times New Roman" w:cs="Times New Roman"/>
                <w:b/>
                <w:bCs/>
                <w:color w:val="000000" w:themeColor="text1"/>
                <w:lang w:eastAsia="cs-CZ"/>
              </w:rPr>
              <w:t>71 207</w:t>
            </w:r>
          </w:p>
        </w:tc>
        <w:tc>
          <w:tcPr>
            <w:tcW w:w="936"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5E707A8" w14:textId="180D56C4" w:rsidR="00367A38" w:rsidRPr="00367A38" w:rsidRDefault="00367A38" w:rsidP="00367A38">
            <w:pPr>
              <w:autoSpaceDE w:val="0"/>
              <w:autoSpaceDN w:val="0"/>
              <w:adjustRightInd w:val="0"/>
              <w:jc w:val="right"/>
              <w:rPr>
                <w:rFonts w:eastAsia="Times New Roman" w:cs="Times New Roman"/>
                <w:b/>
                <w:bCs/>
                <w:color w:val="000000" w:themeColor="text1"/>
                <w:lang w:eastAsia="cs-CZ"/>
              </w:rPr>
            </w:pPr>
            <w:r w:rsidRPr="00367A38">
              <w:rPr>
                <w:rFonts w:eastAsia="Times New Roman" w:cs="Times New Roman"/>
                <w:b/>
                <w:bCs/>
                <w:color w:val="000000" w:themeColor="text1"/>
                <w:lang w:eastAsia="cs-CZ"/>
              </w:rPr>
              <w:t>103,17</w:t>
            </w:r>
          </w:p>
        </w:tc>
      </w:tr>
      <w:tr w:rsidR="00367A38" w:rsidRPr="00367A38" w14:paraId="1413880F" w14:textId="77777777"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7BC4C37A" w14:textId="77777777" w:rsidR="00367A38" w:rsidRPr="00367A38" w:rsidRDefault="00367A38" w:rsidP="00367A38">
            <w:pPr>
              <w:autoSpaceDE w:val="0"/>
              <w:autoSpaceDN w:val="0"/>
              <w:adjustRightInd w:val="0"/>
              <w:jc w:val="left"/>
              <w:rPr>
                <w:rFonts w:eastAsia="Times New Roman" w:cs="Times New Roman"/>
                <w:color w:val="000000" w:themeColor="text1"/>
                <w:lang w:eastAsia="cs-CZ"/>
              </w:rPr>
            </w:pPr>
            <w:r w:rsidRPr="00367A38">
              <w:rPr>
                <w:rFonts w:eastAsia="Times New Roman" w:cs="Times New Roman"/>
                <w:color w:val="000000" w:themeColor="text1"/>
                <w:lang w:eastAsia="cs-CZ"/>
              </w:rPr>
              <w:t xml:space="preserve">platy zaměstnanců a ostatní platby </w:t>
            </w:r>
            <w:r w:rsidRPr="00367A38">
              <w:rPr>
                <w:rFonts w:eastAsia="Times New Roman" w:cs="Times New Roman"/>
                <w:color w:val="000000" w:themeColor="text1"/>
                <w:lang w:eastAsia="cs-CZ"/>
              </w:rPr>
              <w:br/>
              <w:t>za provedenou práci</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468C0778" w14:textId="20BB0ABA"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35 179</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5077305" w14:textId="3DACE11A"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33 902</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9D433ED" w14:textId="58B1A197"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 xml:space="preserve">35 526 </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2CD8CBEA" w14:textId="4728817B"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104,</w:t>
            </w:r>
            <w:r w:rsidR="00B37D92">
              <w:rPr>
                <w:rFonts w:eastAsia="Times New Roman" w:cs="Times New Roman"/>
                <w:color w:val="000000" w:themeColor="text1"/>
                <w:lang w:eastAsia="cs-CZ"/>
              </w:rPr>
              <w:t>79</w:t>
            </w:r>
          </w:p>
        </w:tc>
      </w:tr>
      <w:tr w:rsidR="00367A38" w:rsidRPr="00367A38" w14:paraId="6FED68C6" w14:textId="77777777"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4C5755D4" w14:textId="77777777" w:rsidR="00367A38" w:rsidRPr="00367A38" w:rsidRDefault="00367A38" w:rsidP="00367A38">
            <w:pPr>
              <w:autoSpaceDE w:val="0"/>
              <w:autoSpaceDN w:val="0"/>
              <w:adjustRightInd w:val="0"/>
              <w:rPr>
                <w:rFonts w:eastAsia="Times New Roman" w:cs="Times New Roman"/>
                <w:color w:val="000000" w:themeColor="text1"/>
                <w:lang w:eastAsia="cs-CZ"/>
              </w:rPr>
            </w:pPr>
            <w:r w:rsidRPr="00367A38">
              <w:rPr>
                <w:rFonts w:eastAsia="Times New Roman" w:cs="Times New Roman"/>
                <w:color w:val="000000" w:themeColor="text1"/>
                <w:lang w:eastAsia="cs-CZ"/>
              </w:rPr>
              <w:t>povinné pojistné placené zaměstnavatelem</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4D849090" w14:textId="3ABB6C9F"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11 891</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71AAC963" w14:textId="783993ED"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11 459</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3FFCDC71" w14:textId="41738D15"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12 008</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62A1B018" w14:textId="62FD4E4D"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104,</w:t>
            </w:r>
            <w:r w:rsidR="00B37D92">
              <w:rPr>
                <w:rFonts w:eastAsia="Times New Roman" w:cs="Times New Roman"/>
                <w:color w:val="000000" w:themeColor="text1"/>
                <w:lang w:eastAsia="cs-CZ"/>
              </w:rPr>
              <w:t>79</w:t>
            </w:r>
          </w:p>
        </w:tc>
      </w:tr>
      <w:tr w:rsidR="00367A38" w:rsidRPr="00367A38" w14:paraId="4F32B893" w14:textId="77777777"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01D96EE4" w14:textId="77777777" w:rsidR="00367A38" w:rsidRPr="00367A38" w:rsidRDefault="00367A38" w:rsidP="00367A38">
            <w:pPr>
              <w:autoSpaceDE w:val="0"/>
              <w:autoSpaceDN w:val="0"/>
              <w:adjustRightInd w:val="0"/>
              <w:rPr>
                <w:rFonts w:eastAsia="Times New Roman" w:cs="Times New Roman"/>
                <w:color w:val="000000" w:themeColor="text1"/>
                <w:lang w:eastAsia="cs-CZ"/>
              </w:rPr>
            </w:pPr>
            <w:r w:rsidRPr="00367A38">
              <w:rPr>
                <w:rFonts w:eastAsia="Times New Roman" w:cs="Times New Roman"/>
                <w:color w:val="000000" w:themeColor="text1"/>
                <w:lang w:eastAsia="cs-CZ"/>
              </w:rPr>
              <w:t>příděl FKSP</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D7FD728" w14:textId="7EDD59A7"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6</w:t>
            </w:r>
            <w:r w:rsidR="008B40B2">
              <w:rPr>
                <w:rFonts w:eastAsia="Times New Roman" w:cs="Times New Roman"/>
                <w:color w:val="000000" w:themeColor="text1"/>
                <w:lang w:eastAsia="cs-CZ"/>
              </w:rPr>
              <w:t>8</w:t>
            </w:r>
            <w:r w:rsidRPr="00367A38">
              <w:rPr>
                <w:rFonts w:eastAsia="Times New Roman" w:cs="Times New Roman"/>
                <w:color w:val="000000" w:themeColor="text1"/>
                <w:lang w:eastAsia="cs-CZ"/>
              </w:rPr>
              <w:t>0</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7C6DC118" w14:textId="2CDF12CC"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325</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1995A2F8" w14:textId="44064B6F"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341</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1C99B147" w14:textId="589DCAA3"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104,92</w:t>
            </w:r>
          </w:p>
        </w:tc>
      </w:tr>
      <w:tr w:rsidR="00367A38" w:rsidRPr="00367A38" w14:paraId="2C0D8CD8" w14:textId="77777777" w:rsidTr="000A1EB1">
        <w:trPr>
          <w:trHeight w:val="771"/>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67DFB9B0" w14:textId="77777777" w:rsidR="00367A38" w:rsidRPr="00367A38" w:rsidRDefault="00367A38" w:rsidP="00367A38">
            <w:pPr>
              <w:autoSpaceDE w:val="0"/>
              <w:autoSpaceDN w:val="0"/>
              <w:adjustRightInd w:val="0"/>
              <w:jc w:val="left"/>
              <w:rPr>
                <w:rFonts w:eastAsia="Times New Roman" w:cs="Times New Roman"/>
                <w:color w:val="000000" w:themeColor="text1"/>
                <w:lang w:eastAsia="cs-CZ"/>
              </w:rPr>
            </w:pPr>
            <w:r w:rsidRPr="00367A38">
              <w:rPr>
                <w:rFonts w:eastAsia="Times New Roman" w:cs="Times New Roman"/>
                <w:color w:val="000000" w:themeColor="text1"/>
                <w:lang w:eastAsia="cs-CZ"/>
              </w:rPr>
              <w:t>dotace na neinvestiční náklady související s financ. z programů evidovaných v EDS/SMVS</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CE3906C" w14:textId="47AAD573" w:rsidR="00367A38" w:rsidRPr="00367A38" w:rsidRDefault="00367A38" w:rsidP="00367A38">
            <w:pPr>
              <w:tabs>
                <w:tab w:val="left" w:pos="489"/>
              </w:tabs>
              <w:jc w:val="right"/>
              <w:rPr>
                <w:rFonts w:eastAsia="Times New Roman" w:cs="Times New Roman"/>
                <w:color w:val="000000" w:themeColor="text1"/>
                <w:lang w:eastAsia="cs-CZ"/>
              </w:rPr>
            </w:pPr>
            <w:r w:rsidRPr="00367A38">
              <w:rPr>
                <w:rFonts w:eastAsia="Times New Roman" w:cs="Times New Roman"/>
                <w:color w:val="000000" w:themeColor="text1"/>
                <w:lang w:eastAsia="cs-CZ"/>
              </w:rPr>
              <w:t>0</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11283FE7" w14:textId="39EEAFF4"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0</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50282B07" w14:textId="14863F16"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0</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30078888" w14:textId="0AE6A4F1" w:rsidR="00367A38" w:rsidRPr="00367A38" w:rsidRDefault="00367A38" w:rsidP="00367A38">
            <w:pPr>
              <w:autoSpaceDE w:val="0"/>
              <w:autoSpaceDN w:val="0"/>
              <w:adjustRightInd w:val="0"/>
              <w:jc w:val="right"/>
              <w:rPr>
                <w:rFonts w:eastAsia="Times New Roman" w:cs="Times New Roman"/>
                <w:color w:val="000000" w:themeColor="text1"/>
                <w:lang w:eastAsia="cs-CZ"/>
              </w:rPr>
            </w:pPr>
            <w:r w:rsidRPr="00367A38">
              <w:rPr>
                <w:rFonts w:eastAsia="Times New Roman" w:cs="Times New Roman"/>
                <w:color w:val="000000" w:themeColor="text1"/>
                <w:lang w:eastAsia="cs-CZ"/>
              </w:rPr>
              <w:t>x</w:t>
            </w:r>
          </w:p>
        </w:tc>
      </w:tr>
      <w:tr w:rsidR="00367A38" w:rsidRPr="00367A38" w14:paraId="5049C6AE" w14:textId="77777777" w:rsidTr="000A1EB1">
        <w:trPr>
          <w:trHeight w:val="270"/>
        </w:trPr>
        <w:tc>
          <w:tcPr>
            <w:tcW w:w="4422" w:type="dxa"/>
            <w:tcBorders>
              <w:top w:val="single" w:sz="4" w:space="0" w:color="7F7F7F" w:themeColor="text1" w:themeTint="80"/>
              <w:left w:val="single" w:sz="8" w:space="0" w:color="7F7F7F" w:themeColor="text1" w:themeTint="80"/>
              <w:bottom w:val="nil"/>
              <w:right w:val="single" w:sz="4" w:space="0" w:color="7F7F7F" w:themeColor="text1" w:themeTint="80"/>
            </w:tcBorders>
            <w:shd w:val="clear" w:color="auto" w:fill="auto"/>
          </w:tcPr>
          <w:p w14:paraId="1EE1003B" w14:textId="77777777" w:rsidR="00367A38" w:rsidRPr="00367A38" w:rsidRDefault="00367A38" w:rsidP="00367A38">
            <w:pPr>
              <w:autoSpaceDE w:val="0"/>
              <w:autoSpaceDN w:val="0"/>
              <w:adjustRightInd w:val="0"/>
              <w:rPr>
                <w:rFonts w:eastAsia="Times New Roman" w:cs="Times New Roman"/>
                <w:color w:val="000000" w:themeColor="text1"/>
                <w:lang w:eastAsia="cs-CZ"/>
              </w:rPr>
            </w:pPr>
            <w:r w:rsidRPr="00367A38">
              <w:rPr>
                <w:rFonts w:eastAsia="Times New Roman" w:cs="Times New Roman"/>
                <w:color w:val="000000" w:themeColor="text1"/>
                <w:lang w:eastAsia="cs-CZ"/>
              </w:rPr>
              <w:t>Z celkového objemu:</w:t>
            </w:r>
          </w:p>
        </w:tc>
        <w:tc>
          <w:tcPr>
            <w:tcW w:w="134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38D28F08" w14:textId="77777777" w:rsidR="00367A38" w:rsidRPr="00367A38" w:rsidRDefault="00367A38" w:rsidP="00367A38">
            <w:pPr>
              <w:autoSpaceDE w:val="0"/>
              <w:autoSpaceDN w:val="0"/>
              <w:adjustRightInd w:val="0"/>
              <w:jc w:val="right"/>
              <w:rPr>
                <w:rFonts w:eastAsia="Times New Roman" w:cs="Times New Roman"/>
                <w:color w:val="000000" w:themeColor="text1"/>
                <w:lang w:eastAsia="cs-CZ"/>
              </w:rPr>
            </w:pPr>
          </w:p>
        </w:tc>
        <w:tc>
          <w:tcPr>
            <w:tcW w:w="1332"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00C5F735" w14:textId="77777777" w:rsidR="00367A38" w:rsidRPr="00367A38" w:rsidRDefault="00367A38" w:rsidP="00367A38">
            <w:pPr>
              <w:autoSpaceDE w:val="0"/>
              <w:autoSpaceDN w:val="0"/>
              <w:adjustRightInd w:val="0"/>
              <w:jc w:val="right"/>
              <w:rPr>
                <w:rFonts w:eastAsia="Times New Roman" w:cs="Times New Roman"/>
                <w:b/>
                <w:bCs/>
                <w:color w:val="000000" w:themeColor="text1"/>
                <w:lang w:eastAsia="cs-CZ"/>
              </w:rPr>
            </w:pPr>
          </w:p>
        </w:tc>
        <w:tc>
          <w:tcPr>
            <w:tcW w:w="113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45A962CD" w14:textId="77777777" w:rsidR="00367A38" w:rsidRPr="00367A38" w:rsidRDefault="00367A38" w:rsidP="00367A38">
            <w:pPr>
              <w:autoSpaceDE w:val="0"/>
              <w:autoSpaceDN w:val="0"/>
              <w:adjustRightInd w:val="0"/>
              <w:jc w:val="right"/>
              <w:rPr>
                <w:rFonts w:eastAsia="Times New Roman" w:cs="Times New Roman"/>
                <w:b/>
                <w:bCs/>
                <w:color w:val="FF0000"/>
                <w:lang w:eastAsia="cs-CZ"/>
              </w:rPr>
            </w:pPr>
          </w:p>
        </w:tc>
        <w:tc>
          <w:tcPr>
            <w:tcW w:w="936" w:type="dxa"/>
            <w:tcBorders>
              <w:top w:val="single" w:sz="4"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14:paraId="0E40354F" w14:textId="77777777" w:rsidR="00367A38" w:rsidRPr="00367A38" w:rsidRDefault="00367A38" w:rsidP="00367A38">
            <w:pPr>
              <w:autoSpaceDE w:val="0"/>
              <w:autoSpaceDN w:val="0"/>
              <w:adjustRightInd w:val="0"/>
              <w:jc w:val="right"/>
              <w:rPr>
                <w:rFonts w:eastAsia="Times New Roman" w:cs="Times New Roman"/>
                <w:color w:val="FF0000"/>
                <w:lang w:eastAsia="cs-CZ"/>
              </w:rPr>
            </w:pPr>
          </w:p>
        </w:tc>
      </w:tr>
      <w:tr w:rsidR="00367A38" w:rsidRPr="00367A38" w14:paraId="6D83802F" w14:textId="77777777" w:rsidTr="000A1EB1">
        <w:trPr>
          <w:trHeight w:val="270"/>
        </w:trPr>
        <w:tc>
          <w:tcPr>
            <w:tcW w:w="4422"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3957D6C8" w14:textId="77777777" w:rsidR="00367A38" w:rsidRPr="00367A38" w:rsidRDefault="00367A38" w:rsidP="00367A38">
            <w:pPr>
              <w:autoSpaceDE w:val="0"/>
              <w:autoSpaceDN w:val="0"/>
              <w:adjustRightInd w:val="0"/>
              <w:ind w:left="22" w:hanging="96"/>
              <w:jc w:val="left"/>
              <w:rPr>
                <w:rFonts w:eastAsia="Times New Roman" w:cs="Times New Roman"/>
                <w:i/>
                <w:color w:val="000000" w:themeColor="text1"/>
                <w:lang w:eastAsia="cs-CZ"/>
              </w:rPr>
            </w:pPr>
            <w:r w:rsidRPr="00367A38">
              <w:rPr>
                <w:rFonts w:eastAsia="Times New Roman" w:cs="Times New Roman"/>
                <w:i/>
                <w:color w:val="000000" w:themeColor="text1"/>
                <w:lang w:eastAsia="cs-CZ"/>
              </w:rPr>
              <w:t xml:space="preserve">           - výdaje na dopravně správní agendy</w:t>
            </w:r>
          </w:p>
          <w:p w14:paraId="79D77AC3" w14:textId="77777777" w:rsidR="00367A38" w:rsidRPr="00367A38" w:rsidRDefault="00367A38" w:rsidP="00367A38">
            <w:pPr>
              <w:autoSpaceDE w:val="0"/>
              <w:autoSpaceDN w:val="0"/>
              <w:adjustRightInd w:val="0"/>
              <w:ind w:hanging="74"/>
              <w:rPr>
                <w:rFonts w:eastAsia="Times New Roman" w:cs="Times New Roman"/>
                <w:i/>
                <w:color w:val="000000" w:themeColor="text1"/>
                <w:lang w:eastAsia="cs-CZ"/>
              </w:rPr>
            </w:pPr>
            <w:r w:rsidRPr="00367A38">
              <w:rPr>
                <w:rFonts w:eastAsia="Times New Roman" w:cs="Times New Roman"/>
                <w:i/>
                <w:color w:val="000000" w:themeColor="text1"/>
                <w:lang w:eastAsia="cs-CZ"/>
              </w:rPr>
              <w:t xml:space="preserve">           - BESIP</w:t>
            </w:r>
          </w:p>
        </w:tc>
        <w:tc>
          <w:tcPr>
            <w:tcW w:w="134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6D4B0B97" w14:textId="2C4372A1" w:rsidR="00367A38" w:rsidRPr="00367A38" w:rsidRDefault="008B40B2" w:rsidP="00367A38">
            <w:pPr>
              <w:autoSpaceDE w:val="0"/>
              <w:autoSpaceDN w:val="0"/>
              <w:adjustRightInd w:val="0"/>
              <w:jc w:val="right"/>
              <w:rPr>
                <w:rFonts w:eastAsia="Times New Roman" w:cs="Times New Roman"/>
                <w:i/>
                <w:color w:val="000000" w:themeColor="text1"/>
                <w:lang w:eastAsia="cs-CZ"/>
              </w:rPr>
            </w:pPr>
            <w:r>
              <w:rPr>
                <w:rFonts w:eastAsia="Times New Roman" w:cs="Times New Roman"/>
                <w:i/>
                <w:color w:val="000000" w:themeColor="text1"/>
                <w:lang w:eastAsia="cs-CZ"/>
              </w:rPr>
              <w:t>60 255</w:t>
            </w:r>
          </w:p>
          <w:p w14:paraId="03BFCF4D" w14:textId="73089F4E" w:rsidR="00367A38" w:rsidRPr="00367A38" w:rsidRDefault="00367A38" w:rsidP="00367A38">
            <w:pPr>
              <w:autoSpaceDE w:val="0"/>
              <w:autoSpaceDN w:val="0"/>
              <w:adjustRightInd w:val="0"/>
              <w:jc w:val="right"/>
              <w:rPr>
                <w:rFonts w:eastAsia="Times New Roman" w:cs="Times New Roman"/>
                <w:i/>
                <w:color w:val="000000" w:themeColor="text1"/>
                <w:lang w:eastAsia="cs-CZ"/>
              </w:rPr>
            </w:pPr>
            <w:r w:rsidRPr="00367A38">
              <w:rPr>
                <w:rFonts w:eastAsia="Times New Roman" w:cs="Times New Roman"/>
                <w:i/>
                <w:color w:val="000000" w:themeColor="text1"/>
                <w:lang w:eastAsia="cs-CZ"/>
              </w:rPr>
              <w:t>16 434</w:t>
            </w:r>
          </w:p>
        </w:tc>
        <w:tc>
          <w:tcPr>
            <w:tcW w:w="1332"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6D3908B0" w14:textId="77777777" w:rsidR="00367A38" w:rsidRPr="00367A38" w:rsidRDefault="00367A38" w:rsidP="00367A38">
            <w:pPr>
              <w:autoSpaceDE w:val="0"/>
              <w:autoSpaceDN w:val="0"/>
              <w:adjustRightInd w:val="0"/>
              <w:jc w:val="right"/>
              <w:rPr>
                <w:rFonts w:eastAsia="Times New Roman" w:cs="Times New Roman"/>
                <w:i/>
                <w:color w:val="000000" w:themeColor="text1"/>
                <w:lang w:eastAsia="cs-CZ"/>
              </w:rPr>
            </w:pPr>
            <w:r w:rsidRPr="00367A38">
              <w:rPr>
                <w:rFonts w:eastAsia="Times New Roman" w:cs="Times New Roman"/>
                <w:i/>
                <w:color w:val="000000" w:themeColor="text1"/>
                <w:lang w:eastAsia="cs-CZ"/>
              </w:rPr>
              <w:t>57 754</w:t>
            </w:r>
          </w:p>
          <w:p w14:paraId="09A06660" w14:textId="400F3BA1" w:rsidR="00367A38" w:rsidRPr="00367A38" w:rsidRDefault="00367A38" w:rsidP="00367A38">
            <w:pPr>
              <w:autoSpaceDE w:val="0"/>
              <w:autoSpaceDN w:val="0"/>
              <w:adjustRightInd w:val="0"/>
              <w:jc w:val="right"/>
              <w:rPr>
                <w:rFonts w:eastAsia="Times New Roman" w:cs="Times New Roman"/>
                <w:i/>
                <w:color w:val="000000" w:themeColor="text1"/>
                <w:lang w:eastAsia="cs-CZ"/>
              </w:rPr>
            </w:pPr>
            <w:r w:rsidRPr="00367A38">
              <w:rPr>
                <w:rFonts w:eastAsia="Times New Roman" w:cs="Times New Roman"/>
                <w:i/>
                <w:color w:val="000000" w:themeColor="text1"/>
                <w:lang w:eastAsia="cs-CZ"/>
              </w:rPr>
              <w:t>0</w:t>
            </w:r>
          </w:p>
        </w:tc>
        <w:tc>
          <w:tcPr>
            <w:tcW w:w="113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0103B167" w14:textId="77777777" w:rsidR="00367A38" w:rsidRPr="00367A38" w:rsidRDefault="00367A38" w:rsidP="00367A38">
            <w:pPr>
              <w:autoSpaceDE w:val="0"/>
              <w:autoSpaceDN w:val="0"/>
              <w:adjustRightInd w:val="0"/>
              <w:jc w:val="right"/>
              <w:rPr>
                <w:rFonts w:eastAsia="Times New Roman" w:cs="Times New Roman"/>
                <w:i/>
                <w:color w:val="000000" w:themeColor="text1"/>
                <w:lang w:eastAsia="cs-CZ"/>
              </w:rPr>
            </w:pPr>
            <w:r w:rsidRPr="00367A38">
              <w:rPr>
                <w:rFonts w:eastAsia="Times New Roman" w:cs="Times New Roman"/>
                <w:i/>
                <w:color w:val="000000" w:themeColor="text1"/>
                <w:lang w:eastAsia="cs-CZ"/>
              </w:rPr>
              <w:t>59 942</w:t>
            </w:r>
          </w:p>
          <w:p w14:paraId="0FC387BB" w14:textId="05B97272" w:rsidR="00367A38" w:rsidRPr="00367A38" w:rsidRDefault="00367A38" w:rsidP="00367A38">
            <w:pPr>
              <w:autoSpaceDE w:val="0"/>
              <w:autoSpaceDN w:val="0"/>
              <w:adjustRightInd w:val="0"/>
              <w:jc w:val="right"/>
              <w:rPr>
                <w:rFonts w:eastAsia="Times New Roman" w:cs="Times New Roman"/>
                <w:i/>
                <w:color w:val="000000" w:themeColor="text1"/>
                <w:lang w:eastAsia="cs-CZ"/>
              </w:rPr>
            </w:pPr>
            <w:r w:rsidRPr="00367A38">
              <w:rPr>
                <w:rFonts w:eastAsia="Times New Roman" w:cs="Times New Roman"/>
                <w:i/>
                <w:color w:val="000000" w:themeColor="text1"/>
                <w:lang w:eastAsia="cs-CZ"/>
              </w:rPr>
              <w:t>0</w:t>
            </w:r>
          </w:p>
        </w:tc>
        <w:tc>
          <w:tcPr>
            <w:tcW w:w="936"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563E9474" w14:textId="77777777" w:rsidR="00367A38" w:rsidRPr="00367A38" w:rsidRDefault="00367A38" w:rsidP="00367A38">
            <w:pPr>
              <w:autoSpaceDE w:val="0"/>
              <w:autoSpaceDN w:val="0"/>
              <w:adjustRightInd w:val="0"/>
              <w:jc w:val="right"/>
              <w:rPr>
                <w:rFonts w:eastAsia="Times New Roman" w:cs="Times New Roman"/>
                <w:i/>
                <w:color w:val="000000" w:themeColor="text1"/>
                <w:lang w:eastAsia="cs-CZ"/>
              </w:rPr>
            </w:pPr>
            <w:r w:rsidRPr="00367A38">
              <w:rPr>
                <w:rFonts w:eastAsia="Times New Roman" w:cs="Times New Roman"/>
                <w:i/>
                <w:color w:val="000000" w:themeColor="text1"/>
                <w:lang w:eastAsia="cs-CZ"/>
              </w:rPr>
              <w:t>103,79</w:t>
            </w:r>
          </w:p>
          <w:p w14:paraId="77BECB20" w14:textId="38926BF3" w:rsidR="00367A38" w:rsidRPr="00367A38" w:rsidRDefault="00F81560" w:rsidP="00367A38">
            <w:pPr>
              <w:autoSpaceDE w:val="0"/>
              <w:autoSpaceDN w:val="0"/>
              <w:adjustRightInd w:val="0"/>
              <w:jc w:val="right"/>
              <w:rPr>
                <w:rFonts w:eastAsia="Times New Roman" w:cs="Times New Roman"/>
                <w:i/>
                <w:color w:val="000000" w:themeColor="text1"/>
                <w:lang w:eastAsia="cs-CZ"/>
              </w:rPr>
            </w:pPr>
            <w:r>
              <w:rPr>
                <w:rFonts w:eastAsia="Times New Roman" w:cs="Times New Roman"/>
                <w:i/>
                <w:color w:val="000000" w:themeColor="text1"/>
                <w:lang w:eastAsia="cs-CZ"/>
              </w:rPr>
              <w:t>x</w:t>
            </w:r>
          </w:p>
        </w:tc>
      </w:tr>
    </w:tbl>
    <w:p w14:paraId="55BCA38E" w14:textId="631199CD" w:rsidR="00123A7B" w:rsidRPr="00D070B8" w:rsidRDefault="00367A38" w:rsidP="00123A7B">
      <w:pPr>
        <w:pStyle w:val="Styl1"/>
        <w:rPr>
          <w:highlight w:val="yellow"/>
        </w:rPr>
      </w:pPr>
      <w:r w:rsidRPr="00470FD3">
        <w:t>Navrhovaná částka neinvestičního příspěvku na činnost na rok 202</w:t>
      </w:r>
      <w:r>
        <w:t>5</w:t>
      </w:r>
      <w:r w:rsidRPr="00470FD3">
        <w:t xml:space="preserve"> je oproti schválenému rozpočtu na rok 202</w:t>
      </w:r>
      <w:r>
        <w:t>4 vyšší</w:t>
      </w:r>
      <w:r w:rsidRPr="00470FD3">
        <w:t xml:space="preserve"> o </w:t>
      </w:r>
      <w:r>
        <w:t>2 188</w:t>
      </w:r>
      <w:r w:rsidRPr="00470FD3">
        <w:t xml:space="preserve"> tis. Kč. Důvodem pro </w:t>
      </w:r>
      <w:r>
        <w:t>zvýšení</w:t>
      </w:r>
      <w:r w:rsidRPr="00470FD3">
        <w:t xml:space="preserve"> </w:t>
      </w:r>
      <w:r>
        <w:t>je nárůst platů o 5 % včetně příslušenství (</w:t>
      </w:r>
      <w:r w:rsidRPr="00630A33">
        <w:t>podrobněji viz oddíl 3.2.2 Výdaje</w:t>
      </w:r>
      <w:r>
        <w:t xml:space="preserve"> na platy a počty pracovníků za OSS a P</w:t>
      </w:r>
      <w:r w:rsidRPr="00367A38">
        <w:t>O</w:t>
      </w:r>
      <w:r w:rsidR="00123A7B" w:rsidRPr="00367A38">
        <w:t xml:space="preserve">).    </w:t>
      </w:r>
    </w:p>
    <w:p w14:paraId="40DB5919" w14:textId="77777777" w:rsidR="00123A7B" w:rsidRPr="00367A38" w:rsidRDefault="00123A7B" w:rsidP="00123A7B">
      <w:pPr>
        <w:pStyle w:val="Styl1"/>
        <w:rPr>
          <w:color w:val="FF0000"/>
        </w:rPr>
      </w:pPr>
      <w:r w:rsidRPr="00367A38">
        <w:t xml:space="preserve">Návrh rozpočtu zahrnuje hlavně krytí výdajů na činnosti vyplývající ze zákonů </w:t>
      </w:r>
      <w:r w:rsidRPr="00367A38">
        <w:br/>
        <w:t xml:space="preserve">č. 247/2000 Sb., č. 361/2000 Sb., č. 56/2001 Sb. a č. 13/1997 Sb., ve smyslu jejich pozdějších úprav. Dále krytí výdajů vyplývá z nařízení Evropského parlamentu a Rady EU 561/2006/ES, o harmonizaci některých předpisů v sociální oblasti týkajících se silniční dopravy. Jde zejména o zabezpečení některých činností a úkolů v oblasti státního odborného dozoru </w:t>
      </w:r>
      <w:r w:rsidRPr="00367A38">
        <w:br/>
        <w:t xml:space="preserve">v dopravně správních agendách. Dále jsou v tomto objemu zahrnuty požadavky na zajišťování a distribuci všech druhů tiskopisů, zajištění logistiky na úseku centralizované výroby řidičského průkazu vzoru EU, distribuci registračních značek od výrobce na dopravní úřady pověřených měst a obcí a následný svoz znehodnocených registračních značek a jejich centrální likvidaci. </w:t>
      </w:r>
    </w:p>
    <w:p w14:paraId="39F5FE1B" w14:textId="596EF12E" w:rsidR="00123A7B" w:rsidRDefault="00367A38" w:rsidP="00123A7B">
      <w:pPr>
        <w:pStyle w:val="Styl1"/>
      </w:pPr>
      <w:r w:rsidRPr="00430342">
        <w:t>Počet zaměstnanců organizace je pro rok 202</w:t>
      </w:r>
      <w:r>
        <w:t>5</w:t>
      </w:r>
      <w:r w:rsidRPr="00430342">
        <w:t xml:space="preserve"> navržen ve výši 80, </w:t>
      </w:r>
      <w:r>
        <w:t>stejně jako v roce</w:t>
      </w:r>
      <w:r w:rsidRPr="00430342">
        <w:t xml:space="preserve"> 202</w:t>
      </w:r>
      <w:r>
        <w:t>4</w:t>
      </w:r>
      <w:r w:rsidR="007D6A85" w:rsidRPr="00367A38">
        <w:t>.</w:t>
      </w:r>
    </w:p>
    <w:p w14:paraId="2D77EEA9" w14:textId="0E46C32D" w:rsidR="00F80A96" w:rsidRPr="00E91D1F" w:rsidRDefault="00F80A96" w:rsidP="00F80A96">
      <w:pPr>
        <w:pStyle w:val="Styl1"/>
        <w:rPr>
          <w:b/>
          <w:u w:val="single"/>
        </w:rPr>
      </w:pPr>
      <w:bookmarkStart w:id="165" w:name="_Toc242513289"/>
      <w:bookmarkStart w:id="166" w:name="_Toc462314394"/>
      <w:r w:rsidRPr="00E91D1F">
        <w:rPr>
          <w:b/>
          <w:u w:val="single"/>
        </w:rPr>
        <w:t>Ředitelství silnic a dálnic ČR</w:t>
      </w:r>
      <w:r w:rsidR="00E91D1F">
        <w:rPr>
          <w:b/>
          <w:u w:val="single"/>
        </w:rPr>
        <w:t xml:space="preserve"> (k 1. 1. 2024 transformováno na státní podnik)</w:t>
      </w:r>
    </w:p>
    <w:p w14:paraId="355DD156" w14:textId="7754F699" w:rsidR="0046115C" w:rsidRDefault="0046115C" w:rsidP="00F80A96">
      <w:pPr>
        <w:pStyle w:val="Styl1"/>
        <w:rPr>
          <w:bCs/>
        </w:rPr>
      </w:pPr>
      <w:r w:rsidRPr="00E91D1F">
        <w:rPr>
          <w:bCs/>
        </w:rPr>
        <w:t xml:space="preserve">Do 31. prosince 2023 </w:t>
      </w:r>
      <w:r w:rsidR="00E91D1F" w:rsidRPr="00E91D1F">
        <w:rPr>
          <w:bCs/>
        </w:rPr>
        <w:t>bylo</w:t>
      </w:r>
      <w:r w:rsidRPr="00E91D1F">
        <w:rPr>
          <w:bCs/>
        </w:rPr>
        <w:t xml:space="preserve"> ŘSD ČR státní příspěvkovou organizací. Od 1. ledna 2024 </w:t>
      </w:r>
      <w:r w:rsidR="00E91D1F" w:rsidRPr="00E91D1F">
        <w:rPr>
          <w:bCs/>
        </w:rPr>
        <w:t>je</w:t>
      </w:r>
      <w:r w:rsidR="006D2690" w:rsidRPr="00E91D1F">
        <w:rPr>
          <w:bCs/>
        </w:rPr>
        <w:t xml:space="preserve"> organizace transformována na státní podnik. Z toho důvodu nejsou na rok 202</w:t>
      </w:r>
      <w:r w:rsidR="00E91D1F" w:rsidRPr="00E91D1F">
        <w:rPr>
          <w:bCs/>
        </w:rPr>
        <w:t>5</w:t>
      </w:r>
      <w:r w:rsidR="006D2690" w:rsidRPr="00E91D1F">
        <w:rPr>
          <w:bCs/>
        </w:rPr>
        <w:t xml:space="preserve"> rozpočtovány žádné finanční prostředky pro danou organizaci.</w:t>
      </w:r>
    </w:p>
    <w:p w14:paraId="4325875D" w14:textId="5785B584" w:rsidR="00980DAA" w:rsidRPr="00D070B8" w:rsidRDefault="00980DAA" w:rsidP="00980DAA">
      <w:pPr>
        <w:pStyle w:val="Titulek"/>
        <w:rPr>
          <w:noProof/>
          <w:highlight w:val="yellow"/>
        </w:rPr>
      </w:pPr>
      <w:r w:rsidRPr="00E91D1F">
        <w:t xml:space="preserve">Tabulka č. </w:t>
      </w:r>
      <w:r w:rsidRPr="00E91D1F">
        <w:rPr>
          <w:noProof/>
        </w:rPr>
        <w:fldChar w:fldCharType="begin"/>
      </w:r>
      <w:r w:rsidRPr="00E91D1F">
        <w:rPr>
          <w:noProof/>
        </w:rPr>
        <w:instrText xml:space="preserve"> SEQ Tabulka \* ARABIC </w:instrText>
      </w:r>
      <w:r w:rsidRPr="00E91D1F">
        <w:rPr>
          <w:noProof/>
        </w:rPr>
        <w:fldChar w:fldCharType="separate"/>
      </w:r>
      <w:r w:rsidR="003B0B01" w:rsidRPr="00E91D1F">
        <w:rPr>
          <w:noProof/>
        </w:rPr>
        <w:t>23</w:t>
      </w:r>
      <w:r w:rsidRPr="00E91D1F">
        <w:rPr>
          <w:noProof/>
        </w:rPr>
        <w:fldChar w:fldCharType="end"/>
      </w:r>
      <w:r w:rsidRPr="00E91D1F">
        <w:rPr>
          <w:noProof/>
        </w:rPr>
        <w:t xml:space="preserve"> Ředitelství silnic a dálnic ČR (v tis. Kč)</w:t>
      </w:r>
    </w:p>
    <w:tbl>
      <w:tblPr>
        <w:tblStyle w:val="Svtltabulkasmkou1zvraznn5"/>
        <w:tblW w:w="5172" w:type="pct"/>
        <w:tblInd w:w="-15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95"/>
        <w:gridCol w:w="1417"/>
        <w:gridCol w:w="1275"/>
        <w:gridCol w:w="1135"/>
        <w:gridCol w:w="1140"/>
      </w:tblGrid>
      <w:tr w:rsidR="00141901" w:rsidRPr="00254A6B" w14:paraId="714260D5" w14:textId="77777777" w:rsidTr="00D07D18">
        <w:trPr>
          <w:trHeight w:val="775"/>
        </w:trPr>
        <w:tc>
          <w:tcPr>
            <w:tcW w:w="23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59891E"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Ukazatel</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EDF07C"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Skutečnost</w:t>
            </w:r>
          </w:p>
          <w:p w14:paraId="6F2F7B71" w14:textId="4199911D"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202</w:t>
            </w:r>
            <w:r w:rsidR="00E91D1F" w:rsidRPr="00254A6B">
              <w:rPr>
                <w:rFonts w:eastAsia="Times New Roman" w:cs="Times New Roman"/>
                <w:b/>
                <w:lang w:eastAsia="cs-CZ"/>
              </w:rPr>
              <w:t>3</w:t>
            </w:r>
          </w:p>
        </w:tc>
        <w:tc>
          <w:tcPr>
            <w:tcW w:w="6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B9F9950"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Schválený</w:t>
            </w:r>
          </w:p>
          <w:p w14:paraId="04C93DE6"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rozpočet</w:t>
            </w:r>
          </w:p>
          <w:p w14:paraId="37585DFF" w14:textId="0F604C4C"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202</w:t>
            </w:r>
            <w:r w:rsidR="00E91D1F" w:rsidRPr="00254A6B">
              <w:rPr>
                <w:rFonts w:eastAsia="Times New Roman" w:cs="Times New Roman"/>
                <w:b/>
                <w:lang w:eastAsia="cs-CZ"/>
              </w:rPr>
              <w:t>4</w:t>
            </w:r>
          </w:p>
        </w:tc>
        <w:tc>
          <w:tcPr>
            <w:tcW w:w="6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41AD760"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Návrh</w:t>
            </w:r>
          </w:p>
          <w:p w14:paraId="24C5729E"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rozpočtu</w:t>
            </w:r>
          </w:p>
          <w:p w14:paraId="45CACAB9" w14:textId="68A3DA1D"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202</w:t>
            </w:r>
            <w:r w:rsidR="00E91D1F" w:rsidRPr="00254A6B">
              <w:rPr>
                <w:rFonts w:eastAsia="Times New Roman" w:cs="Times New Roman"/>
                <w:b/>
                <w:lang w:eastAsia="cs-CZ"/>
              </w:rPr>
              <w:t>5</w:t>
            </w:r>
          </w:p>
        </w:tc>
        <w:tc>
          <w:tcPr>
            <w:tcW w:w="6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FD0054F"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Index</w:t>
            </w:r>
          </w:p>
          <w:p w14:paraId="3A6862F8" w14:textId="3376F489"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202</w:t>
            </w:r>
            <w:r w:rsidR="00E91D1F" w:rsidRPr="00254A6B">
              <w:rPr>
                <w:rFonts w:eastAsia="Times New Roman" w:cs="Times New Roman"/>
                <w:b/>
                <w:lang w:eastAsia="cs-CZ"/>
              </w:rPr>
              <w:t>5</w:t>
            </w:r>
            <w:r w:rsidRPr="00254A6B">
              <w:rPr>
                <w:rFonts w:eastAsia="Times New Roman" w:cs="Times New Roman"/>
                <w:b/>
                <w:lang w:eastAsia="cs-CZ"/>
              </w:rPr>
              <w:t>/</w:t>
            </w:r>
            <w:r w:rsidRPr="00254A6B">
              <w:rPr>
                <w:rFonts w:eastAsia="Times New Roman" w:cs="Times New Roman"/>
                <w:b/>
                <w:lang w:eastAsia="cs-CZ"/>
              </w:rPr>
              <w:br/>
              <w:t>202</w:t>
            </w:r>
            <w:r w:rsidR="00E91D1F" w:rsidRPr="00254A6B">
              <w:rPr>
                <w:rFonts w:eastAsia="Times New Roman" w:cs="Times New Roman"/>
                <w:b/>
                <w:lang w:eastAsia="cs-CZ"/>
              </w:rPr>
              <w:t>4</w:t>
            </w:r>
          </w:p>
          <w:p w14:paraId="51A99192" w14:textId="77777777" w:rsidR="00141901" w:rsidRPr="00254A6B" w:rsidRDefault="00141901" w:rsidP="00D07D18">
            <w:pPr>
              <w:autoSpaceDE w:val="0"/>
              <w:autoSpaceDN w:val="0"/>
              <w:adjustRightInd w:val="0"/>
              <w:jc w:val="center"/>
              <w:rPr>
                <w:rFonts w:eastAsia="Times New Roman" w:cs="Times New Roman"/>
                <w:b/>
                <w:lang w:eastAsia="cs-CZ"/>
              </w:rPr>
            </w:pPr>
            <w:r w:rsidRPr="00254A6B">
              <w:rPr>
                <w:rFonts w:eastAsia="Times New Roman" w:cs="Times New Roman"/>
                <w:b/>
                <w:lang w:eastAsia="cs-CZ"/>
              </w:rPr>
              <w:t>(v %)</w:t>
            </w:r>
          </w:p>
        </w:tc>
      </w:tr>
      <w:tr w:rsidR="00141901" w:rsidRPr="00254A6B" w14:paraId="41FC6EB3" w14:textId="77777777" w:rsidTr="00D07D18">
        <w:trPr>
          <w:trHeight w:val="255"/>
        </w:trPr>
        <w:tc>
          <w:tcPr>
            <w:tcW w:w="2347" w:type="pct"/>
            <w:tcBorders>
              <w:top w:val="single" w:sz="4" w:space="0" w:color="7F7F7F" w:themeColor="text1" w:themeTint="80"/>
              <w:bottom w:val="single" w:sz="8" w:space="0" w:color="7F7F7F" w:themeColor="text1" w:themeTint="80"/>
            </w:tcBorders>
            <w:shd w:val="clear" w:color="auto" w:fill="auto"/>
          </w:tcPr>
          <w:p w14:paraId="1A89C092" w14:textId="77777777" w:rsidR="00141901" w:rsidRPr="00254A6B" w:rsidRDefault="00141901" w:rsidP="00D07D18">
            <w:pPr>
              <w:autoSpaceDE w:val="0"/>
              <w:autoSpaceDN w:val="0"/>
              <w:adjustRightInd w:val="0"/>
              <w:jc w:val="center"/>
              <w:rPr>
                <w:rFonts w:eastAsia="Times New Roman" w:cs="Times New Roman"/>
                <w:lang w:eastAsia="cs-CZ"/>
              </w:rPr>
            </w:pPr>
            <w:r w:rsidRPr="00254A6B">
              <w:rPr>
                <w:rFonts w:eastAsia="Times New Roman" w:cs="Times New Roman"/>
                <w:lang w:eastAsia="cs-CZ"/>
              </w:rPr>
              <w:t>a</w:t>
            </w:r>
          </w:p>
        </w:tc>
        <w:tc>
          <w:tcPr>
            <w:tcW w:w="757" w:type="pct"/>
            <w:tcBorders>
              <w:top w:val="single" w:sz="4" w:space="0" w:color="7F7F7F" w:themeColor="text1" w:themeTint="80"/>
              <w:bottom w:val="single" w:sz="8" w:space="0" w:color="7F7F7F" w:themeColor="text1" w:themeTint="80"/>
            </w:tcBorders>
            <w:shd w:val="clear" w:color="auto" w:fill="auto"/>
          </w:tcPr>
          <w:p w14:paraId="31AD57D0" w14:textId="77777777" w:rsidR="00141901" w:rsidRPr="00254A6B" w:rsidRDefault="00141901" w:rsidP="00D07D18">
            <w:pPr>
              <w:autoSpaceDE w:val="0"/>
              <w:autoSpaceDN w:val="0"/>
              <w:adjustRightInd w:val="0"/>
              <w:jc w:val="center"/>
              <w:rPr>
                <w:rFonts w:eastAsia="Times New Roman" w:cs="Times New Roman"/>
                <w:lang w:eastAsia="cs-CZ"/>
              </w:rPr>
            </w:pPr>
            <w:r w:rsidRPr="00254A6B">
              <w:rPr>
                <w:rFonts w:eastAsia="Times New Roman" w:cs="Times New Roman"/>
                <w:lang w:eastAsia="cs-CZ"/>
              </w:rPr>
              <w:t>1</w:t>
            </w:r>
          </w:p>
        </w:tc>
        <w:tc>
          <w:tcPr>
            <w:tcW w:w="681" w:type="pct"/>
            <w:tcBorders>
              <w:top w:val="single" w:sz="4" w:space="0" w:color="7F7F7F" w:themeColor="text1" w:themeTint="80"/>
              <w:bottom w:val="single" w:sz="8" w:space="0" w:color="7F7F7F" w:themeColor="text1" w:themeTint="80"/>
            </w:tcBorders>
            <w:shd w:val="clear" w:color="auto" w:fill="auto"/>
          </w:tcPr>
          <w:p w14:paraId="620E97EF" w14:textId="77777777" w:rsidR="00141901" w:rsidRPr="00254A6B" w:rsidRDefault="00141901" w:rsidP="00D07D18">
            <w:pPr>
              <w:autoSpaceDE w:val="0"/>
              <w:autoSpaceDN w:val="0"/>
              <w:adjustRightInd w:val="0"/>
              <w:jc w:val="center"/>
              <w:rPr>
                <w:rFonts w:eastAsia="Times New Roman" w:cs="Times New Roman"/>
                <w:lang w:eastAsia="cs-CZ"/>
              </w:rPr>
            </w:pPr>
            <w:r w:rsidRPr="00254A6B">
              <w:rPr>
                <w:rFonts w:eastAsia="Times New Roman" w:cs="Times New Roman"/>
                <w:lang w:eastAsia="cs-CZ"/>
              </w:rPr>
              <w:t>2</w:t>
            </w:r>
          </w:p>
        </w:tc>
        <w:tc>
          <w:tcPr>
            <w:tcW w:w="606" w:type="pct"/>
            <w:tcBorders>
              <w:top w:val="single" w:sz="4" w:space="0" w:color="7F7F7F" w:themeColor="text1" w:themeTint="80"/>
              <w:bottom w:val="single" w:sz="8" w:space="0" w:color="7F7F7F" w:themeColor="text1" w:themeTint="80"/>
            </w:tcBorders>
            <w:shd w:val="clear" w:color="auto" w:fill="auto"/>
          </w:tcPr>
          <w:p w14:paraId="64E78FB4" w14:textId="77777777" w:rsidR="00141901" w:rsidRPr="00254A6B" w:rsidRDefault="00141901" w:rsidP="00D07D18">
            <w:pPr>
              <w:autoSpaceDE w:val="0"/>
              <w:autoSpaceDN w:val="0"/>
              <w:adjustRightInd w:val="0"/>
              <w:jc w:val="center"/>
              <w:rPr>
                <w:rFonts w:eastAsia="Times New Roman" w:cs="Times New Roman"/>
                <w:lang w:eastAsia="cs-CZ"/>
              </w:rPr>
            </w:pPr>
            <w:r w:rsidRPr="00254A6B">
              <w:rPr>
                <w:rFonts w:eastAsia="Times New Roman" w:cs="Times New Roman"/>
                <w:lang w:eastAsia="cs-CZ"/>
              </w:rPr>
              <w:t>3</w:t>
            </w:r>
          </w:p>
        </w:tc>
        <w:tc>
          <w:tcPr>
            <w:tcW w:w="609" w:type="pct"/>
            <w:tcBorders>
              <w:top w:val="single" w:sz="4" w:space="0" w:color="7F7F7F" w:themeColor="text1" w:themeTint="80"/>
              <w:bottom w:val="single" w:sz="8" w:space="0" w:color="7F7F7F" w:themeColor="text1" w:themeTint="80"/>
            </w:tcBorders>
            <w:shd w:val="clear" w:color="auto" w:fill="auto"/>
          </w:tcPr>
          <w:p w14:paraId="2280CB1A" w14:textId="77777777" w:rsidR="00141901" w:rsidRPr="00254A6B" w:rsidRDefault="00141901" w:rsidP="00D07D18">
            <w:pPr>
              <w:autoSpaceDE w:val="0"/>
              <w:autoSpaceDN w:val="0"/>
              <w:adjustRightInd w:val="0"/>
              <w:jc w:val="center"/>
              <w:rPr>
                <w:rFonts w:eastAsia="Times New Roman" w:cs="Times New Roman"/>
                <w:lang w:eastAsia="cs-CZ"/>
              </w:rPr>
            </w:pPr>
            <w:r w:rsidRPr="00254A6B">
              <w:rPr>
                <w:rFonts w:eastAsia="Times New Roman" w:cs="Times New Roman"/>
                <w:lang w:eastAsia="cs-CZ"/>
              </w:rPr>
              <w:t>4</w:t>
            </w:r>
          </w:p>
        </w:tc>
      </w:tr>
      <w:tr w:rsidR="00141901" w:rsidRPr="00D070B8" w14:paraId="0B278D67" w14:textId="77777777" w:rsidTr="00D07D18">
        <w:trPr>
          <w:trHeight w:val="255"/>
        </w:trPr>
        <w:tc>
          <w:tcPr>
            <w:tcW w:w="2347" w:type="pct"/>
            <w:tcBorders>
              <w:top w:val="single" w:sz="8" w:space="0" w:color="7F7F7F" w:themeColor="text1" w:themeTint="80"/>
              <w:bottom w:val="single" w:sz="8" w:space="0" w:color="7F7F7F" w:themeColor="text1" w:themeTint="80"/>
            </w:tcBorders>
            <w:shd w:val="clear" w:color="auto" w:fill="auto"/>
          </w:tcPr>
          <w:p w14:paraId="0C2FA318" w14:textId="77777777" w:rsidR="00141901" w:rsidRPr="00254A6B" w:rsidRDefault="00141901" w:rsidP="00D07D18">
            <w:pPr>
              <w:autoSpaceDE w:val="0"/>
              <w:autoSpaceDN w:val="0"/>
              <w:adjustRightInd w:val="0"/>
              <w:rPr>
                <w:rFonts w:eastAsia="Times New Roman" w:cs="Times New Roman"/>
                <w:bCs/>
                <w:lang w:eastAsia="cs-CZ"/>
              </w:rPr>
            </w:pPr>
            <w:r w:rsidRPr="00254A6B">
              <w:rPr>
                <w:rFonts w:eastAsia="Times New Roman" w:cs="Times New Roman"/>
                <w:b/>
                <w:bCs/>
                <w:lang w:eastAsia="cs-CZ"/>
              </w:rPr>
              <w:lastRenderedPageBreak/>
              <w:t xml:space="preserve">Neinvestiční příspěvek a transfery zřízeným PO </w:t>
            </w:r>
            <w:r w:rsidRPr="00254A6B">
              <w:rPr>
                <w:rFonts w:eastAsia="Times New Roman" w:cs="Times New Roman"/>
                <w:bCs/>
                <w:lang w:eastAsia="cs-CZ"/>
              </w:rPr>
              <w:t>z toho:</w:t>
            </w:r>
          </w:p>
        </w:tc>
        <w:tc>
          <w:tcPr>
            <w:tcW w:w="757" w:type="pct"/>
            <w:tcBorders>
              <w:top w:val="single" w:sz="8" w:space="0" w:color="7F7F7F" w:themeColor="text1" w:themeTint="80"/>
              <w:bottom w:val="single" w:sz="8" w:space="0" w:color="7F7F7F" w:themeColor="text1" w:themeTint="80"/>
            </w:tcBorders>
            <w:shd w:val="clear" w:color="auto" w:fill="auto"/>
            <w:vAlign w:val="center"/>
          </w:tcPr>
          <w:p w14:paraId="1A908FEF" w14:textId="2B9B5196" w:rsidR="00141901" w:rsidRPr="00254A6B" w:rsidRDefault="00E91D1F" w:rsidP="00D07D18">
            <w:pPr>
              <w:autoSpaceDE w:val="0"/>
              <w:autoSpaceDN w:val="0"/>
              <w:adjustRightInd w:val="0"/>
              <w:spacing w:before="81"/>
              <w:jc w:val="right"/>
              <w:rPr>
                <w:rFonts w:eastAsia="Times New Roman" w:cs="Times New Roman"/>
                <w:b/>
                <w:bCs/>
                <w:lang w:eastAsia="cs-CZ"/>
              </w:rPr>
            </w:pPr>
            <w:r w:rsidRPr="00254A6B">
              <w:rPr>
                <w:rFonts w:eastAsia="Times New Roman" w:cs="Times New Roman"/>
                <w:b/>
                <w:bCs/>
                <w:lang w:eastAsia="cs-CZ"/>
              </w:rPr>
              <w:t>1 006 55</w:t>
            </w:r>
            <w:r w:rsidR="00254A6B" w:rsidRPr="00254A6B">
              <w:rPr>
                <w:rFonts w:eastAsia="Times New Roman" w:cs="Times New Roman"/>
                <w:b/>
                <w:bCs/>
                <w:lang w:eastAsia="cs-CZ"/>
              </w:rPr>
              <w:t>2</w:t>
            </w:r>
          </w:p>
        </w:tc>
        <w:tc>
          <w:tcPr>
            <w:tcW w:w="681" w:type="pct"/>
            <w:tcBorders>
              <w:top w:val="single" w:sz="8" w:space="0" w:color="7F7F7F" w:themeColor="text1" w:themeTint="80"/>
              <w:bottom w:val="single" w:sz="8" w:space="0" w:color="7F7F7F" w:themeColor="text1" w:themeTint="80"/>
            </w:tcBorders>
            <w:shd w:val="clear" w:color="auto" w:fill="auto"/>
            <w:vAlign w:val="center"/>
          </w:tcPr>
          <w:p w14:paraId="36EE90DA" w14:textId="30E386F7" w:rsidR="00141901" w:rsidRPr="00254A6B" w:rsidRDefault="00E91D1F" w:rsidP="00D07D18">
            <w:pPr>
              <w:autoSpaceDE w:val="0"/>
              <w:autoSpaceDN w:val="0"/>
              <w:adjustRightInd w:val="0"/>
              <w:spacing w:before="81"/>
              <w:jc w:val="right"/>
              <w:rPr>
                <w:rFonts w:eastAsia="Times New Roman" w:cs="Times New Roman"/>
                <w:b/>
                <w:bCs/>
                <w:lang w:eastAsia="cs-CZ"/>
              </w:rPr>
            </w:pPr>
            <w:r w:rsidRPr="00254A6B">
              <w:rPr>
                <w:rFonts w:eastAsia="Times New Roman" w:cs="Times New Roman"/>
                <w:b/>
                <w:bCs/>
                <w:lang w:eastAsia="cs-CZ"/>
              </w:rPr>
              <w:t>0</w:t>
            </w:r>
          </w:p>
        </w:tc>
        <w:tc>
          <w:tcPr>
            <w:tcW w:w="606" w:type="pct"/>
            <w:tcBorders>
              <w:top w:val="single" w:sz="8" w:space="0" w:color="7F7F7F" w:themeColor="text1" w:themeTint="80"/>
              <w:bottom w:val="single" w:sz="8" w:space="0" w:color="7F7F7F" w:themeColor="text1" w:themeTint="80"/>
            </w:tcBorders>
            <w:shd w:val="clear" w:color="auto" w:fill="auto"/>
            <w:vAlign w:val="center"/>
          </w:tcPr>
          <w:p w14:paraId="7937CA8B" w14:textId="0A5ACEA2" w:rsidR="00141901" w:rsidRPr="00254A6B" w:rsidRDefault="00254A6B" w:rsidP="00D07D18">
            <w:pPr>
              <w:autoSpaceDE w:val="0"/>
              <w:autoSpaceDN w:val="0"/>
              <w:adjustRightInd w:val="0"/>
              <w:spacing w:before="81"/>
              <w:jc w:val="right"/>
              <w:rPr>
                <w:rFonts w:eastAsia="Times New Roman" w:cs="Times New Roman"/>
                <w:b/>
                <w:bCs/>
                <w:lang w:eastAsia="cs-CZ"/>
              </w:rPr>
            </w:pPr>
            <w:r>
              <w:rPr>
                <w:rFonts w:eastAsia="Times New Roman" w:cs="Times New Roman"/>
                <w:b/>
                <w:bCs/>
                <w:lang w:eastAsia="cs-CZ"/>
              </w:rPr>
              <w:t>0</w:t>
            </w:r>
          </w:p>
        </w:tc>
        <w:tc>
          <w:tcPr>
            <w:tcW w:w="609" w:type="pct"/>
            <w:tcBorders>
              <w:top w:val="single" w:sz="8" w:space="0" w:color="7F7F7F" w:themeColor="text1" w:themeTint="80"/>
              <w:bottom w:val="single" w:sz="8" w:space="0" w:color="7F7F7F" w:themeColor="text1" w:themeTint="80"/>
            </w:tcBorders>
            <w:shd w:val="clear" w:color="auto" w:fill="auto"/>
            <w:vAlign w:val="center"/>
          </w:tcPr>
          <w:p w14:paraId="6C621E0B" w14:textId="77777777" w:rsidR="00141901" w:rsidRPr="00254A6B" w:rsidRDefault="00141901" w:rsidP="00D07D18">
            <w:pPr>
              <w:autoSpaceDE w:val="0"/>
              <w:autoSpaceDN w:val="0"/>
              <w:adjustRightInd w:val="0"/>
              <w:spacing w:before="81"/>
              <w:jc w:val="right"/>
              <w:rPr>
                <w:rFonts w:eastAsia="Times New Roman" w:cs="Times New Roman"/>
                <w:b/>
                <w:bCs/>
                <w:lang w:eastAsia="cs-CZ"/>
              </w:rPr>
            </w:pPr>
            <w:r w:rsidRPr="00254A6B">
              <w:rPr>
                <w:rFonts w:eastAsia="Times New Roman" w:cs="Times New Roman"/>
                <w:b/>
                <w:bCs/>
                <w:lang w:eastAsia="cs-CZ"/>
              </w:rPr>
              <w:t>x</w:t>
            </w:r>
          </w:p>
        </w:tc>
      </w:tr>
      <w:tr w:rsidR="00141901" w:rsidRPr="00D070B8" w14:paraId="58CA6EAD" w14:textId="77777777" w:rsidTr="00D07D18">
        <w:trPr>
          <w:trHeight w:val="255"/>
        </w:trPr>
        <w:tc>
          <w:tcPr>
            <w:tcW w:w="2347" w:type="pct"/>
            <w:tcBorders>
              <w:top w:val="single" w:sz="8" w:space="0" w:color="7F7F7F" w:themeColor="text1" w:themeTint="80"/>
            </w:tcBorders>
            <w:shd w:val="clear" w:color="auto" w:fill="auto"/>
            <w:vAlign w:val="center"/>
          </w:tcPr>
          <w:p w14:paraId="07685035" w14:textId="77777777" w:rsidR="00141901" w:rsidRPr="00254A6B" w:rsidRDefault="00141901" w:rsidP="00D07D18">
            <w:pPr>
              <w:autoSpaceDE w:val="0"/>
              <w:autoSpaceDN w:val="0"/>
              <w:adjustRightInd w:val="0"/>
              <w:rPr>
                <w:rFonts w:eastAsia="Times New Roman" w:cs="Times New Roman"/>
                <w:lang w:eastAsia="cs-CZ"/>
              </w:rPr>
            </w:pPr>
            <w:r w:rsidRPr="00254A6B">
              <w:rPr>
                <w:rFonts w:eastAsia="Times New Roman" w:cs="Times New Roman"/>
                <w:lang w:eastAsia="cs-CZ"/>
              </w:rPr>
              <w:t xml:space="preserve">platy zaměstnanců a ostatní osobní náklady </w:t>
            </w:r>
          </w:p>
        </w:tc>
        <w:tc>
          <w:tcPr>
            <w:tcW w:w="757" w:type="pct"/>
            <w:tcBorders>
              <w:top w:val="single" w:sz="8" w:space="0" w:color="7F7F7F" w:themeColor="text1" w:themeTint="80"/>
            </w:tcBorders>
            <w:shd w:val="clear" w:color="auto" w:fill="auto"/>
            <w:vAlign w:val="center"/>
          </w:tcPr>
          <w:p w14:paraId="47D9C60A" w14:textId="77777777" w:rsidR="00141901" w:rsidRPr="00254A6B" w:rsidRDefault="00141901" w:rsidP="00D07D18">
            <w:pPr>
              <w:autoSpaceDE w:val="0"/>
              <w:autoSpaceDN w:val="0"/>
              <w:adjustRightInd w:val="0"/>
              <w:spacing w:before="81"/>
              <w:jc w:val="right"/>
              <w:rPr>
                <w:rFonts w:eastAsia="Times New Roman" w:cs="Times New Roman"/>
                <w:lang w:eastAsia="cs-CZ"/>
              </w:rPr>
            </w:pPr>
            <w:r w:rsidRPr="00254A6B">
              <w:rPr>
                <w:rFonts w:eastAsia="Times New Roman" w:cs="Times New Roman"/>
                <w:lang w:eastAsia="cs-CZ"/>
              </w:rPr>
              <w:t>0</w:t>
            </w:r>
          </w:p>
        </w:tc>
        <w:tc>
          <w:tcPr>
            <w:tcW w:w="681" w:type="pct"/>
            <w:tcBorders>
              <w:top w:val="single" w:sz="8" w:space="0" w:color="7F7F7F" w:themeColor="text1" w:themeTint="80"/>
            </w:tcBorders>
            <w:shd w:val="clear" w:color="auto" w:fill="auto"/>
            <w:vAlign w:val="center"/>
          </w:tcPr>
          <w:p w14:paraId="088F3DBC" w14:textId="77777777" w:rsidR="00141901" w:rsidRPr="00254A6B" w:rsidRDefault="00141901" w:rsidP="00D07D18">
            <w:pPr>
              <w:autoSpaceDE w:val="0"/>
              <w:autoSpaceDN w:val="0"/>
              <w:adjustRightInd w:val="0"/>
              <w:spacing w:before="81"/>
              <w:jc w:val="right"/>
              <w:rPr>
                <w:rFonts w:eastAsia="Times New Roman" w:cs="Times New Roman"/>
                <w:lang w:eastAsia="cs-CZ"/>
              </w:rPr>
            </w:pPr>
            <w:r w:rsidRPr="00254A6B">
              <w:rPr>
                <w:rFonts w:eastAsia="Times New Roman" w:cs="Times New Roman"/>
                <w:lang w:eastAsia="cs-CZ"/>
              </w:rPr>
              <w:t>0</w:t>
            </w:r>
          </w:p>
        </w:tc>
        <w:tc>
          <w:tcPr>
            <w:tcW w:w="606" w:type="pct"/>
            <w:tcBorders>
              <w:top w:val="single" w:sz="8" w:space="0" w:color="7F7F7F" w:themeColor="text1" w:themeTint="80"/>
            </w:tcBorders>
            <w:shd w:val="clear" w:color="auto" w:fill="auto"/>
            <w:vAlign w:val="center"/>
          </w:tcPr>
          <w:p w14:paraId="7A400F70" w14:textId="5250C053" w:rsidR="00141901" w:rsidRPr="00254A6B" w:rsidRDefault="00254A6B" w:rsidP="00D07D18">
            <w:pPr>
              <w:autoSpaceDE w:val="0"/>
              <w:autoSpaceDN w:val="0"/>
              <w:adjustRightInd w:val="0"/>
              <w:spacing w:before="81"/>
              <w:jc w:val="right"/>
              <w:rPr>
                <w:rFonts w:eastAsia="Times New Roman" w:cs="Times New Roman"/>
                <w:lang w:eastAsia="cs-CZ"/>
              </w:rPr>
            </w:pPr>
            <w:r>
              <w:rPr>
                <w:rFonts w:eastAsia="Times New Roman" w:cs="Times New Roman"/>
                <w:lang w:eastAsia="cs-CZ"/>
              </w:rPr>
              <w:t>0</w:t>
            </w:r>
          </w:p>
        </w:tc>
        <w:tc>
          <w:tcPr>
            <w:tcW w:w="609" w:type="pct"/>
            <w:tcBorders>
              <w:top w:val="single" w:sz="8" w:space="0" w:color="7F7F7F" w:themeColor="text1" w:themeTint="80"/>
            </w:tcBorders>
            <w:shd w:val="clear" w:color="auto" w:fill="auto"/>
            <w:vAlign w:val="center"/>
          </w:tcPr>
          <w:p w14:paraId="069D3A18" w14:textId="77777777" w:rsidR="00141901" w:rsidRPr="00254A6B" w:rsidRDefault="00141901" w:rsidP="00D07D18">
            <w:pPr>
              <w:autoSpaceDE w:val="0"/>
              <w:autoSpaceDN w:val="0"/>
              <w:adjustRightInd w:val="0"/>
              <w:spacing w:before="81"/>
              <w:jc w:val="right"/>
              <w:rPr>
                <w:rFonts w:eastAsia="Times New Roman" w:cs="Times New Roman"/>
                <w:lang w:eastAsia="cs-CZ"/>
              </w:rPr>
            </w:pPr>
            <w:r w:rsidRPr="00254A6B">
              <w:rPr>
                <w:rFonts w:eastAsia="Times New Roman" w:cs="Times New Roman"/>
                <w:lang w:eastAsia="cs-CZ"/>
              </w:rPr>
              <w:t>x</w:t>
            </w:r>
          </w:p>
        </w:tc>
      </w:tr>
      <w:tr w:rsidR="00141901" w:rsidRPr="00D070B8" w14:paraId="51F0DCFB" w14:textId="77777777" w:rsidTr="00D07D18">
        <w:trPr>
          <w:trHeight w:val="255"/>
        </w:trPr>
        <w:tc>
          <w:tcPr>
            <w:tcW w:w="2347" w:type="pct"/>
            <w:shd w:val="clear" w:color="auto" w:fill="auto"/>
          </w:tcPr>
          <w:p w14:paraId="6904D962" w14:textId="77777777" w:rsidR="00141901" w:rsidRPr="00254A6B" w:rsidRDefault="00141901" w:rsidP="00D07D18">
            <w:pPr>
              <w:autoSpaceDE w:val="0"/>
              <w:autoSpaceDN w:val="0"/>
              <w:adjustRightInd w:val="0"/>
              <w:rPr>
                <w:rFonts w:eastAsia="Times New Roman" w:cs="Times New Roman"/>
                <w:lang w:eastAsia="cs-CZ"/>
              </w:rPr>
            </w:pPr>
            <w:r w:rsidRPr="00254A6B">
              <w:rPr>
                <w:rFonts w:eastAsia="Times New Roman" w:cs="Times New Roman"/>
                <w:lang w:eastAsia="cs-CZ"/>
              </w:rPr>
              <w:t>povinné pojistné placené zaměstnavatelem</w:t>
            </w:r>
          </w:p>
        </w:tc>
        <w:tc>
          <w:tcPr>
            <w:tcW w:w="757" w:type="pct"/>
            <w:shd w:val="clear" w:color="auto" w:fill="auto"/>
            <w:vAlign w:val="center"/>
          </w:tcPr>
          <w:p w14:paraId="7A146C13" w14:textId="77777777" w:rsidR="00141901" w:rsidRPr="00254A6B" w:rsidRDefault="00141901" w:rsidP="00D07D18">
            <w:pPr>
              <w:autoSpaceDE w:val="0"/>
              <w:autoSpaceDN w:val="0"/>
              <w:adjustRightInd w:val="0"/>
              <w:jc w:val="right"/>
              <w:rPr>
                <w:rFonts w:eastAsia="Times New Roman" w:cs="Times New Roman"/>
                <w:lang w:eastAsia="cs-CZ"/>
              </w:rPr>
            </w:pPr>
            <w:r w:rsidRPr="00254A6B">
              <w:rPr>
                <w:rFonts w:eastAsia="Times New Roman" w:cs="Times New Roman"/>
                <w:lang w:eastAsia="cs-CZ"/>
              </w:rPr>
              <w:t>0</w:t>
            </w:r>
          </w:p>
        </w:tc>
        <w:tc>
          <w:tcPr>
            <w:tcW w:w="681" w:type="pct"/>
            <w:shd w:val="clear" w:color="auto" w:fill="auto"/>
            <w:vAlign w:val="center"/>
          </w:tcPr>
          <w:p w14:paraId="7C830F2F" w14:textId="77777777" w:rsidR="00141901" w:rsidRPr="00254A6B" w:rsidRDefault="00141901" w:rsidP="00D07D18">
            <w:pPr>
              <w:autoSpaceDE w:val="0"/>
              <w:autoSpaceDN w:val="0"/>
              <w:adjustRightInd w:val="0"/>
              <w:jc w:val="right"/>
              <w:rPr>
                <w:rFonts w:eastAsia="Times New Roman" w:cs="Times New Roman"/>
                <w:lang w:eastAsia="cs-CZ"/>
              </w:rPr>
            </w:pPr>
            <w:r w:rsidRPr="00254A6B">
              <w:rPr>
                <w:rFonts w:eastAsia="Times New Roman" w:cs="Times New Roman"/>
                <w:lang w:eastAsia="cs-CZ"/>
              </w:rPr>
              <w:t>0</w:t>
            </w:r>
          </w:p>
        </w:tc>
        <w:tc>
          <w:tcPr>
            <w:tcW w:w="606" w:type="pct"/>
            <w:shd w:val="clear" w:color="auto" w:fill="auto"/>
            <w:vAlign w:val="center"/>
          </w:tcPr>
          <w:p w14:paraId="4AEA68B2" w14:textId="36AF20CC" w:rsidR="00141901" w:rsidRPr="00254A6B" w:rsidRDefault="00254A6B" w:rsidP="00D07D18">
            <w:pPr>
              <w:autoSpaceDE w:val="0"/>
              <w:autoSpaceDN w:val="0"/>
              <w:adjustRightInd w:val="0"/>
              <w:jc w:val="right"/>
              <w:rPr>
                <w:rFonts w:eastAsia="Times New Roman" w:cs="Times New Roman"/>
                <w:lang w:eastAsia="cs-CZ"/>
              </w:rPr>
            </w:pPr>
            <w:r>
              <w:rPr>
                <w:rFonts w:eastAsia="Times New Roman" w:cs="Times New Roman"/>
                <w:lang w:eastAsia="cs-CZ"/>
              </w:rPr>
              <w:t>0</w:t>
            </w:r>
          </w:p>
        </w:tc>
        <w:tc>
          <w:tcPr>
            <w:tcW w:w="609" w:type="pct"/>
            <w:shd w:val="clear" w:color="auto" w:fill="auto"/>
            <w:vAlign w:val="center"/>
          </w:tcPr>
          <w:p w14:paraId="1DBF60CA" w14:textId="77777777" w:rsidR="00141901" w:rsidRPr="00254A6B" w:rsidRDefault="00141901" w:rsidP="00D07D18">
            <w:pPr>
              <w:autoSpaceDE w:val="0"/>
              <w:autoSpaceDN w:val="0"/>
              <w:adjustRightInd w:val="0"/>
              <w:jc w:val="right"/>
              <w:rPr>
                <w:rFonts w:eastAsia="Times New Roman" w:cs="Times New Roman"/>
                <w:lang w:eastAsia="cs-CZ"/>
              </w:rPr>
            </w:pPr>
            <w:r w:rsidRPr="00254A6B">
              <w:rPr>
                <w:rFonts w:eastAsia="Times New Roman" w:cs="Times New Roman"/>
                <w:lang w:eastAsia="cs-CZ"/>
              </w:rPr>
              <w:t>x</w:t>
            </w:r>
          </w:p>
        </w:tc>
      </w:tr>
      <w:tr w:rsidR="00141901" w:rsidRPr="00D070B8" w14:paraId="484C3E3A" w14:textId="77777777" w:rsidTr="00D07D18">
        <w:trPr>
          <w:trHeight w:val="255"/>
        </w:trPr>
        <w:tc>
          <w:tcPr>
            <w:tcW w:w="2347" w:type="pct"/>
            <w:shd w:val="clear" w:color="auto" w:fill="auto"/>
          </w:tcPr>
          <w:p w14:paraId="205A5A7C" w14:textId="77777777" w:rsidR="00141901" w:rsidRPr="00254A6B" w:rsidRDefault="00141901" w:rsidP="00D07D18">
            <w:pPr>
              <w:autoSpaceDE w:val="0"/>
              <w:autoSpaceDN w:val="0"/>
              <w:adjustRightInd w:val="0"/>
              <w:rPr>
                <w:rFonts w:eastAsia="Times New Roman" w:cs="Times New Roman"/>
                <w:lang w:eastAsia="cs-CZ"/>
              </w:rPr>
            </w:pPr>
            <w:r w:rsidRPr="00254A6B">
              <w:rPr>
                <w:rFonts w:eastAsia="Times New Roman" w:cs="Times New Roman"/>
                <w:lang w:eastAsia="cs-CZ"/>
              </w:rPr>
              <w:t>příděl FKSP</w:t>
            </w:r>
          </w:p>
        </w:tc>
        <w:tc>
          <w:tcPr>
            <w:tcW w:w="757" w:type="pct"/>
            <w:shd w:val="clear" w:color="auto" w:fill="auto"/>
            <w:vAlign w:val="center"/>
          </w:tcPr>
          <w:p w14:paraId="454DFD98" w14:textId="77777777" w:rsidR="00141901" w:rsidRPr="00254A6B" w:rsidRDefault="00141901" w:rsidP="00D07D18">
            <w:pPr>
              <w:autoSpaceDE w:val="0"/>
              <w:autoSpaceDN w:val="0"/>
              <w:adjustRightInd w:val="0"/>
              <w:jc w:val="right"/>
              <w:rPr>
                <w:rFonts w:eastAsia="Times New Roman" w:cs="Times New Roman"/>
                <w:lang w:eastAsia="cs-CZ"/>
              </w:rPr>
            </w:pPr>
            <w:r w:rsidRPr="00254A6B">
              <w:rPr>
                <w:rFonts w:eastAsia="Times New Roman" w:cs="Times New Roman"/>
                <w:lang w:eastAsia="cs-CZ"/>
              </w:rPr>
              <w:t>0</w:t>
            </w:r>
          </w:p>
        </w:tc>
        <w:tc>
          <w:tcPr>
            <w:tcW w:w="681" w:type="pct"/>
            <w:shd w:val="clear" w:color="auto" w:fill="auto"/>
            <w:vAlign w:val="center"/>
          </w:tcPr>
          <w:p w14:paraId="5C06930C" w14:textId="77777777" w:rsidR="00141901" w:rsidRPr="00254A6B" w:rsidRDefault="00141901" w:rsidP="00D07D18">
            <w:pPr>
              <w:autoSpaceDE w:val="0"/>
              <w:autoSpaceDN w:val="0"/>
              <w:adjustRightInd w:val="0"/>
              <w:jc w:val="right"/>
              <w:rPr>
                <w:rFonts w:eastAsia="Times New Roman" w:cs="Times New Roman"/>
                <w:lang w:eastAsia="cs-CZ"/>
              </w:rPr>
            </w:pPr>
            <w:r w:rsidRPr="00254A6B">
              <w:rPr>
                <w:rFonts w:eastAsia="Times New Roman" w:cs="Times New Roman"/>
                <w:lang w:eastAsia="cs-CZ"/>
              </w:rPr>
              <w:t>0</w:t>
            </w:r>
          </w:p>
        </w:tc>
        <w:tc>
          <w:tcPr>
            <w:tcW w:w="606" w:type="pct"/>
            <w:shd w:val="clear" w:color="auto" w:fill="auto"/>
            <w:vAlign w:val="center"/>
          </w:tcPr>
          <w:p w14:paraId="0344239B" w14:textId="01F42941" w:rsidR="00141901" w:rsidRPr="00254A6B" w:rsidRDefault="00254A6B" w:rsidP="00D07D18">
            <w:pPr>
              <w:autoSpaceDE w:val="0"/>
              <w:autoSpaceDN w:val="0"/>
              <w:adjustRightInd w:val="0"/>
              <w:jc w:val="right"/>
              <w:rPr>
                <w:rFonts w:eastAsia="Times New Roman" w:cs="Times New Roman"/>
                <w:lang w:eastAsia="cs-CZ"/>
              </w:rPr>
            </w:pPr>
            <w:r>
              <w:rPr>
                <w:rFonts w:eastAsia="Times New Roman" w:cs="Times New Roman"/>
                <w:lang w:eastAsia="cs-CZ"/>
              </w:rPr>
              <w:t>0</w:t>
            </w:r>
          </w:p>
        </w:tc>
        <w:tc>
          <w:tcPr>
            <w:tcW w:w="609" w:type="pct"/>
            <w:shd w:val="clear" w:color="auto" w:fill="auto"/>
            <w:vAlign w:val="center"/>
          </w:tcPr>
          <w:p w14:paraId="6816A887" w14:textId="77777777" w:rsidR="00141901" w:rsidRPr="00254A6B" w:rsidRDefault="00141901" w:rsidP="00D07D18">
            <w:pPr>
              <w:autoSpaceDE w:val="0"/>
              <w:autoSpaceDN w:val="0"/>
              <w:adjustRightInd w:val="0"/>
              <w:jc w:val="right"/>
              <w:rPr>
                <w:rFonts w:eastAsia="Times New Roman" w:cs="Times New Roman"/>
                <w:lang w:eastAsia="cs-CZ"/>
              </w:rPr>
            </w:pPr>
            <w:r w:rsidRPr="00254A6B">
              <w:rPr>
                <w:rFonts w:eastAsia="Times New Roman" w:cs="Times New Roman"/>
                <w:lang w:eastAsia="cs-CZ"/>
              </w:rPr>
              <w:t>x</w:t>
            </w:r>
          </w:p>
        </w:tc>
      </w:tr>
      <w:tr w:rsidR="00141901" w:rsidRPr="00D070B8" w14:paraId="71D7BB79" w14:textId="77777777" w:rsidTr="00D07D18">
        <w:trPr>
          <w:trHeight w:val="255"/>
        </w:trPr>
        <w:tc>
          <w:tcPr>
            <w:tcW w:w="2347" w:type="pct"/>
            <w:shd w:val="clear" w:color="auto" w:fill="auto"/>
          </w:tcPr>
          <w:p w14:paraId="2FFC193A" w14:textId="77777777" w:rsidR="00141901" w:rsidRPr="00254A6B" w:rsidRDefault="00141901" w:rsidP="00D07D18">
            <w:pPr>
              <w:autoSpaceDE w:val="0"/>
              <w:autoSpaceDN w:val="0"/>
              <w:adjustRightInd w:val="0"/>
              <w:jc w:val="left"/>
              <w:rPr>
                <w:rFonts w:eastAsia="Times New Roman" w:cs="Times New Roman"/>
                <w:lang w:eastAsia="cs-CZ"/>
              </w:rPr>
            </w:pPr>
            <w:r w:rsidRPr="00254A6B">
              <w:rPr>
                <w:rFonts w:eastAsia="Times New Roman" w:cs="Times New Roman"/>
                <w:lang w:eastAsia="cs-CZ"/>
              </w:rPr>
              <w:t>dotace na neinvestiční náklady související s financ. programů evidovaných v EDS/SMVS</w:t>
            </w:r>
          </w:p>
        </w:tc>
        <w:tc>
          <w:tcPr>
            <w:tcW w:w="757" w:type="pct"/>
            <w:shd w:val="clear" w:color="auto" w:fill="auto"/>
            <w:vAlign w:val="center"/>
          </w:tcPr>
          <w:p w14:paraId="75609DF5" w14:textId="6DEB8553" w:rsidR="00141901" w:rsidRPr="00254A6B" w:rsidRDefault="00E91D1F" w:rsidP="00D07D18">
            <w:pPr>
              <w:autoSpaceDE w:val="0"/>
              <w:autoSpaceDN w:val="0"/>
              <w:adjustRightInd w:val="0"/>
              <w:spacing w:before="81"/>
              <w:jc w:val="right"/>
              <w:rPr>
                <w:rFonts w:eastAsia="Times New Roman" w:cs="Times New Roman"/>
                <w:lang w:eastAsia="cs-CZ"/>
              </w:rPr>
            </w:pPr>
            <w:r w:rsidRPr="00254A6B">
              <w:rPr>
                <w:rFonts w:eastAsia="Times New Roman" w:cs="Times New Roman"/>
                <w:lang w:eastAsia="cs-CZ"/>
              </w:rPr>
              <w:t>505</w:t>
            </w:r>
          </w:p>
        </w:tc>
        <w:tc>
          <w:tcPr>
            <w:tcW w:w="681" w:type="pct"/>
            <w:shd w:val="clear" w:color="auto" w:fill="auto"/>
            <w:vAlign w:val="center"/>
          </w:tcPr>
          <w:p w14:paraId="1698C2AF" w14:textId="39A031B6" w:rsidR="00141901" w:rsidRPr="00254A6B" w:rsidRDefault="00E91D1F" w:rsidP="00D07D18">
            <w:pPr>
              <w:autoSpaceDE w:val="0"/>
              <w:autoSpaceDN w:val="0"/>
              <w:adjustRightInd w:val="0"/>
              <w:spacing w:before="81"/>
              <w:jc w:val="right"/>
              <w:rPr>
                <w:rFonts w:eastAsia="Times New Roman" w:cs="Times New Roman"/>
                <w:lang w:eastAsia="cs-CZ"/>
              </w:rPr>
            </w:pPr>
            <w:r w:rsidRPr="00254A6B">
              <w:rPr>
                <w:rFonts w:eastAsia="Times New Roman" w:cs="Times New Roman"/>
                <w:lang w:eastAsia="cs-CZ"/>
              </w:rPr>
              <w:t>0</w:t>
            </w:r>
          </w:p>
        </w:tc>
        <w:tc>
          <w:tcPr>
            <w:tcW w:w="606" w:type="pct"/>
            <w:shd w:val="clear" w:color="auto" w:fill="auto"/>
            <w:vAlign w:val="center"/>
          </w:tcPr>
          <w:p w14:paraId="7D715EA8" w14:textId="25C626C3" w:rsidR="00141901" w:rsidRPr="00254A6B" w:rsidRDefault="00254A6B" w:rsidP="00D07D18">
            <w:pPr>
              <w:autoSpaceDE w:val="0"/>
              <w:autoSpaceDN w:val="0"/>
              <w:adjustRightInd w:val="0"/>
              <w:spacing w:before="81"/>
              <w:jc w:val="right"/>
              <w:rPr>
                <w:rFonts w:eastAsia="Times New Roman" w:cs="Times New Roman"/>
                <w:lang w:eastAsia="cs-CZ"/>
              </w:rPr>
            </w:pPr>
            <w:r>
              <w:rPr>
                <w:rFonts w:eastAsia="Times New Roman" w:cs="Times New Roman"/>
                <w:lang w:eastAsia="cs-CZ"/>
              </w:rPr>
              <w:t>0</w:t>
            </w:r>
          </w:p>
        </w:tc>
        <w:tc>
          <w:tcPr>
            <w:tcW w:w="609" w:type="pct"/>
            <w:shd w:val="clear" w:color="auto" w:fill="auto"/>
            <w:vAlign w:val="center"/>
          </w:tcPr>
          <w:p w14:paraId="01493DE2" w14:textId="77777777" w:rsidR="00141901" w:rsidRPr="00254A6B" w:rsidRDefault="00141901" w:rsidP="00D07D18">
            <w:pPr>
              <w:autoSpaceDE w:val="0"/>
              <w:autoSpaceDN w:val="0"/>
              <w:adjustRightInd w:val="0"/>
              <w:spacing w:before="81"/>
              <w:jc w:val="right"/>
              <w:rPr>
                <w:rFonts w:eastAsia="Times New Roman" w:cs="Times New Roman"/>
                <w:lang w:eastAsia="cs-CZ"/>
              </w:rPr>
            </w:pPr>
            <w:r w:rsidRPr="00254A6B">
              <w:rPr>
                <w:rFonts w:eastAsia="Times New Roman" w:cs="Times New Roman"/>
                <w:lang w:eastAsia="cs-CZ"/>
              </w:rPr>
              <w:t>x</w:t>
            </w:r>
          </w:p>
        </w:tc>
      </w:tr>
    </w:tbl>
    <w:p w14:paraId="29401AEF" w14:textId="3B60C599" w:rsidR="008C2FA3" w:rsidRPr="002177D3" w:rsidRDefault="008C2FA3" w:rsidP="008C2FA3">
      <w:pPr>
        <w:pStyle w:val="Nadpis3"/>
        <w:rPr>
          <w:color w:val="000000" w:themeColor="text1"/>
        </w:rPr>
      </w:pPr>
      <w:bookmarkStart w:id="167" w:name="_Toc115787202"/>
      <w:bookmarkStart w:id="168" w:name="_Toc115787792"/>
      <w:bookmarkStart w:id="169" w:name="_Toc115787203"/>
      <w:bookmarkStart w:id="170" w:name="_Toc115787793"/>
      <w:bookmarkStart w:id="171" w:name="_Toc242513757"/>
      <w:bookmarkStart w:id="172" w:name="_Toc462314399"/>
      <w:bookmarkStart w:id="173" w:name="_Toc179964097"/>
      <w:bookmarkEnd w:id="164"/>
      <w:bookmarkEnd w:id="165"/>
      <w:bookmarkEnd w:id="166"/>
      <w:bookmarkEnd w:id="167"/>
      <w:bookmarkEnd w:id="168"/>
      <w:bookmarkEnd w:id="169"/>
      <w:bookmarkEnd w:id="170"/>
      <w:r w:rsidRPr="002177D3">
        <w:rPr>
          <w:color w:val="000000" w:themeColor="text1"/>
        </w:rPr>
        <w:t>Neinvestiční transfery ostatním příspěvkovým a podobným organizacím</w:t>
      </w:r>
      <w:bookmarkEnd w:id="173"/>
      <w:r w:rsidRPr="002177D3">
        <w:rPr>
          <w:color w:val="000000" w:themeColor="text1"/>
        </w:rPr>
        <w:t xml:space="preserve"> </w:t>
      </w:r>
    </w:p>
    <w:p w14:paraId="2B43B57A" w14:textId="77777777" w:rsidR="00F52116" w:rsidRPr="002177D3" w:rsidRDefault="00F52116" w:rsidP="00F52116">
      <w:pPr>
        <w:pStyle w:val="Nadpis4"/>
      </w:pPr>
      <w:r w:rsidRPr="002177D3">
        <w:t xml:space="preserve">Neinvestiční transfery veřejným výzkumným organizacím </w:t>
      </w:r>
    </w:p>
    <w:p w14:paraId="03F2BE4C" w14:textId="557BA2A4" w:rsidR="00123A7B" w:rsidRPr="002177D3" w:rsidRDefault="00123A7B" w:rsidP="00123A7B">
      <w:pPr>
        <w:pStyle w:val="Styl1"/>
      </w:pPr>
      <w:r w:rsidRPr="002177D3">
        <w:t>V návrhu rozpočtu kapitoly 327 Ministerstvo dopravy pro rok 202</w:t>
      </w:r>
      <w:r w:rsidR="002177D3" w:rsidRPr="002177D3">
        <w:t>5</w:t>
      </w:r>
      <w:r w:rsidRPr="002177D3">
        <w:t xml:space="preserve"> jsou rovněž zařazeny neinvestiční transfery veřejným výzkumným institucím. Tyto transfery jsou určeny </w:t>
      </w:r>
      <w:r w:rsidRPr="002177D3">
        <w:br/>
        <w:t xml:space="preserve">pro Centrum dopravního výzkumu, v.v.i.  </w:t>
      </w:r>
    </w:p>
    <w:p w14:paraId="127B0DCE" w14:textId="77777777" w:rsidR="00123A7B" w:rsidRPr="002177D3" w:rsidRDefault="00123A7B" w:rsidP="00123A7B">
      <w:pPr>
        <w:pStyle w:val="Styl1"/>
      </w:pPr>
      <w:r w:rsidRPr="002177D3">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14:paraId="651D9604" w14:textId="49F09438" w:rsidR="008C2FA3" w:rsidRPr="00A76A47" w:rsidRDefault="008C2FA3" w:rsidP="008C2FA3">
      <w:pPr>
        <w:pStyle w:val="Titulek"/>
        <w:rPr>
          <w:color w:val="000000" w:themeColor="text1"/>
        </w:rPr>
      </w:pPr>
      <w:r w:rsidRPr="00A76A47">
        <w:rPr>
          <w:color w:val="000000" w:themeColor="text1"/>
        </w:rPr>
        <w:t xml:space="preserve">Tabulka č. </w:t>
      </w:r>
      <w:r w:rsidRPr="00A76A47">
        <w:rPr>
          <w:color w:val="000000" w:themeColor="text1"/>
        </w:rPr>
        <w:fldChar w:fldCharType="begin"/>
      </w:r>
      <w:r w:rsidRPr="00A76A47">
        <w:rPr>
          <w:color w:val="000000" w:themeColor="text1"/>
        </w:rPr>
        <w:instrText xml:space="preserve"> SEQ Tabulka \* ARABIC </w:instrText>
      </w:r>
      <w:r w:rsidRPr="00A76A47">
        <w:rPr>
          <w:color w:val="000000" w:themeColor="text1"/>
        </w:rPr>
        <w:fldChar w:fldCharType="separate"/>
      </w:r>
      <w:r w:rsidR="003B0B01" w:rsidRPr="00A76A47">
        <w:rPr>
          <w:noProof/>
          <w:color w:val="000000" w:themeColor="text1"/>
        </w:rPr>
        <w:t>24</w:t>
      </w:r>
      <w:r w:rsidRPr="00A76A47">
        <w:rPr>
          <w:noProof/>
          <w:color w:val="000000" w:themeColor="text1"/>
        </w:rPr>
        <w:fldChar w:fldCharType="end"/>
      </w:r>
      <w:r w:rsidRPr="00A76A47">
        <w:rPr>
          <w:noProof/>
          <w:color w:val="000000" w:themeColor="text1"/>
        </w:rPr>
        <w:t xml:space="preserve"> Neivestiční transfery </w:t>
      </w:r>
      <w:r w:rsidR="00906739" w:rsidRPr="00A76A47">
        <w:rPr>
          <w:noProof/>
          <w:color w:val="000000" w:themeColor="text1"/>
        </w:rPr>
        <w:t>ostatním příspěvkovým a podobným organizacím</w:t>
      </w:r>
      <w:r w:rsidRPr="00A76A47">
        <w:rPr>
          <w:noProof/>
          <w:color w:val="000000" w:themeColor="text1"/>
        </w:rPr>
        <w:t xml:space="preserv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304"/>
        <w:gridCol w:w="997"/>
      </w:tblGrid>
      <w:tr w:rsidR="00AA1D3E" w:rsidRPr="00D070B8" w14:paraId="6A356BEB" w14:textId="77777777" w:rsidTr="000817C4">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B10FE55"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F9C56B"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Skutečnost</w:t>
            </w:r>
          </w:p>
          <w:p w14:paraId="2A1758BD" w14:textId="495BBC5C" w:rsidR="008C2FA3" w:rsidRPr="00CA4E72" w:rsidRDefault="00123A7B"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202</w:t>
            </w:r>
            <w:r w:rsidR="002177D3" w:rsidRPr="00CA4E72">
              <w:rPr>
                <w:rFonts w:eastAsia="Times New Roman" w:cs="Times New Roman"/>
                <w:b/>
                <w:color w:val="000000" w:themeColor="text1"/>
                <w:szCs w:val="24"/>
                <w:lang w:eastAsia="cs-CZ"/>
              </w:rPr>
              <w:t>3</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CB40D58"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Schválený</w:t>
            </w:r>
          </w:p>
          <w:p w14:paraId="0270DC23"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rozpočet</w:t>
            </w:r>
          </w:p>
          <w:p w14:paraId="3EB9E529" w14:textId="00DC8E18" w:rsidR="008C2FA3" w:rsidRPr="00CA4E72" w:rsidRDefault="00123A7B"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202</w:t>
            </w:r>
            <w:r w:rsidR="002177D3" w:rsidRPr="00CA4E72">
              <w:rPr>
                <w:rFonts w:eastAsia="Times New Roman" w:cs="Times New Roman"/>
                <w:b/>
                <w:color w:val="000000" w:themeColor="text1"/>
                <w:szCs w:val="24"/>
                <w:lang w:eastAsia="cs-CZ"/>
              </w:rPr>
              <w:t>4</w:t>
            </w:r>
          </w:p>
        </w:tc>
        <w:tc>
          <w:tcPr>
            <w:tcW w:w="130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992372"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Návrh</w:t>
            </w:r>
          </w:p>
          <w:p w14:paraId="19F1BD2F"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rozpočtu</w:t>
            </w:r>
          </w:p>
          <w:p w14:paraId="69F375C9" w14:textId="4E9731DB" w:rsidR="008C2FA3" w:rsidRPr="00CA4E72" w:rsidRDefault="00123A7B"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202</w:t>
            </w:r>
            <w:r w:rsidR="002177D3" w:rsidRPr="00CA4E72">
              <w:rPr>
                <w:rFonts w:eastAsia="Times New Roman" w:cs="Times New Roman"/>
                <w:b/>
                <w:color w:val="000000" w:themeColor="text1"/>
                <w:szCs w:val="24"/>
                <w:lang w:eastAsia="cs-CZ"/>
              </w:rPr>
              <w:t>5</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BFA8553"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Index</w:t>
            </w:r>
          </w:p>
          <w:p w14:paraId="14D98ACF" w14:textId="56EE2D2A" w:rsidR="008C2FA3" w:rsidRPr="00CA4E72" w:rsidRDefault="00123A7B"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202</w:t>
            </w:r>
            <w:r w:rsidR="002177D3" w:rsidRPr="00CA4E72">
              <w:rPr>
                <w:rFonts w:eastAsia="Times New Roman" w:cs="Times New Roman"/>
                <w:b/>
                <w:color w:val="000000" w:themeColor="text1"/>
                <w:szCs w:val="24"/>
                <w:lang w:eastAsia="cs-CZ"/>
              </w:rPr>
              <w:t>5</w:t>
            </w:r>
            <w:r w:rsidR="008C2FA3" w:rsidRPr="00CA4E72">
              <w:rPr>
                <w:rFonts w:eastAsia="Times New Roman" w:cs="Times New Roman"/>
                <w:b/>
                <w:color w:val="000000" w:themeColor="text1"/>
                <w:szCs w:val="24"/>
                <w:lang w:eastAsia="cs-CZ"/>
              </w:rPr>
              <w:t>/</w:t>
            </w:r>
            <w:r w:rsidR="008C2FA3" w:rsidRPr="00CA4E72">
              <w:rPr>
                <w:rFonts w:eastAsia="Times New Roman" w:cs="Times New Roman"/>
                <w:b/>
                <w:color w:val="000000" w:themeColor="text1"/>
                <w:szCs w:val="24"/>
                <w:lang w:eastAsia="cs-CZ"/>
              </w:rPr>
              <w:br/>
            </w:r>
            <w:r w:rsidRPr="00CA4E72">
              <w:rPr>
                <w:rFonts w:eastAsia="Times New Roman" w:cs="Times New Roman"/>
                <w:b/>
                <w:color w:val="000000" w:themeColor="text1"/>
                <w:szCs w:val="24"/>
                <w:lang w:eastAsia="cs-CZ"/>
              </w:rPr>
              <w:t>202</w:t>
            </w:r>
            <w:r w:rsidR="002177D3" w:rsidRPr="00CA4E72">
              <w:rPr>
                <w:rFonts w:eastAsia="Times New Roman" w:cs="Times New Roman"/>
                <w:b/>
                <w:color w:val="000000" w:themeColor="text1"/>
                <w:szCs w:val="24"/>
                <w:lang w:eastAsia="cs-CZ"/>
              </w:rPr>
              <w:t>4</w:t>
            </w:r>
          </w:p>
          <w:p w14:paraId="78AEEFE0" w14:textId="77777777" w:rsidR="008C2FA3" w:rsidRPr="00CA4E72" w:rsidRDefault="008C2FA3" w:rsidP="000817C4">
            <w:pPr>
              <w:jc w:val="center"/>
              <w:rPr>
                <w:rFonts w:eastAsia="Times New Roman" w:cs="Times New Roman"/>
                <w:b/>
                <w:color w:val="000000" w:themeColor="text1"/>
                <w:szCs w:val="24"/>
                <w:lang w:eastAsia="cs-CZ"/>
              </w:rPr>
            </w:pPr>
            <w:r w:rsidRPr="00CA4E72">
              <w:rPr>
                <w:rFonts w:eastAsia="Times New Roman" w:cs="Times New Roman"/>
                <w:b/>
                <w:color w:val="000000" w:themeColor="text1"/>
                <w:szCs w:val="24"/>
                <w:lang w:eastAsia="cs-CZ"/>
              </w:rPr>
              <w:t>(v %)</w:t>
            </w:r>
          </w:p>
        </w:tc>
      </w:tr>
      <w:tr w:rsidR="00AA1D3E" w:rsidRPr="00D070B8" w14:paraId="03FDECBF" w14:textId="77777777" w:rsidTr="000817C4">
        <w:tc>
          <w:tcPr>
            <w:tcW w:w="4140" w:type="dxa"/>
            <w:tcBorders>
              <w:top w:val="single" w:sz="4" w:space="0" w:color="7F7F7F" w:themeColor="text1" w:themeTint="80"/>
            </w:tcBorders>
            <w:shd w:val="clear" w:color="auto" w:fill="auto"/>
          </w:tcPr>
          <w:p w14:paraId="1E7A06D7" w14:textId="77777777" w:rsidR="008C2FA3" w:rsidRPr="00CA4E72" w:rsidRDefault="008C2FA3" w:rsidP="000817C4">
            <w:pPr>
              <w:jc w:val="center"/>
              <w:rPr>
                <w:rFonts w:eastAsia="Times New Roman" w:cs="Times New Roman"/>
                <w:color w:val="000000" w:themeColor="text1"/>
                <w:szCs w:val="24"/>
                <w:lang w:eastAsia="cs-CZ"/>
              </w:rPr>
            </w:pPr>
            <w:r w:rsidRPr="00CA4E72">
              <w:rPr>
                <w:rFonts w:eastAsia="Times New Roman" w:cs="Times New Roman"/>
                <w:color w:val="000000" w:themeColor="text1"/>
                <w:szCs w:val="24"/>
                <w:lang w:eastAsia="cs-CZ"/>
              </w:rPr>
              <w:t>a</w:t>
            </w:r>
          </w:p>
        </w:tc>
        <w:tc>
          <w:tcPr>
            <w:tcW w:w="1361" w:type="dxa"/>
            <w:tcBorders>
              <w:top w:val="single" w:sz="4" w:space="0" w:color="7F7F7F" w:themeColor="text1" w:themeTint="80"/>
            </w:tcBorders>
            <w:shd w:val="clear" w:color="auto" w:fill="auto"/>
          </w:tcPr>
          <w:p w14:paraId="4A65323B" w14:textId="77777777" w:rsidR="008C2FA3" w:rsidRPr="00CA4E72" w:rsidRDefault="008C2FA3" w:rsidP="000817C4">
            <w:pPr>
              <w:jc w:val="center"/>
              <w:rPr>
                <w:rFonts w:eastAsia="Times New Roman" w:cs="Times New Roman"/>
                <w:color w:val="000000" w:themeColor="text1"/>
                <w:szCs w:val="24"/>
                <w:lang w:eastAsia="cs-CZ"/>
              </w:rPr>
            </w:pPr>
            <w:r w:rsidRPr="00CA4E72">
              <w:rPr>
                <w:rFonts w:eastAsia="Times New Roman" w:cs="Times New Roman"/>
                <w:color w:val="000000" w:themeColor="text1"/>
                <w:szCs w:val="24"/>
                <w:lang w:eastAsia="cs-CZ"/>
              </w:rPr>
              <w:t>1</w:t>
            </w:r>
          </w:p>
        </w:tc>
        <w:tc>
          <w:tcPr>
            <w:tcW w:w="1260" w:type="dxa"/>
            <w:tcBorders>
              <w:top w:val="single" w:sz="4" w:space="0" w:color="7F7F7F" w:themeColor="text1" w:themeTint="80"/>
            </w:tcBorders>
            <w:shd w:val="clear" w:color="auto" w:fill="auto"/>
          </w:tcPr>
          <w:p w14:paraId="2744F041" w14:textId="77777777" w:rsidR="008C2FA3" w:rsidRPr="00CA4E72" w:rsidRDefault="008C2FA3" w:rsidP="000817C4">
            <w:pPr>
              <w:jc w:val="center"/>
              <w:rPr>
                <w:rFonts w:eastAsia="Times New Roman" w:cs="Times New Roman"/>
                <w:color w:val="000000" w:themeColor="text1"/>
                <w:szCs w:val="24"/>
                <w:lang w:eastAsia="cs-CZ"/>
              </w:rPr>
            </w:pPr>
            <w:r w:rsidRPr="00CA4E72">
              <w:rPr>
                <w:rFonts w:eastAsia="Times New Roman" w:cs="Times New Roman"/>
                <w:color w:val="000000" w:themeColor="text1"/>
                <w:szCs w:val="24"/>
                <w:lang w:eastAsia="cs-CZ"/>
              </w:rPr>
              <w:t>2</w:t>
            </w:r>
          </w:p>
        </w:tc>
        <w:tc>
          <w:tcPr>
            <w:tcW w:w="1304" w:type="dxa"/>
            <w:tcBorders>
              <w:top w:val="single" w:sz="4" w:space="0" w:color="7F7F7F" w:themeColor="text1" w:themeTint="80"/>
            </w:tcBorders>
            <w:shd w:val="clear" w:color="auto" w:fill="auto"/>
          </w:tcPr>
          <w:p w14:paraId="1AC1B9E5" w14:textId="77777777" w:rsidR="008C2FA3" w:rsidRPr="00CA4E72" w:rsidRDefault="008C2FA3" w:rsidP="000817C4">
            <w:pPr>
              <w:jc w:val="center"/>
              <w:rPr>
                <w:rFonts w:eastAsia="Times New Roman" w:cs="Times New Roman"/>
                <w:color w:val="000000" w:themeColor="text1"/>
                <w:szCs w:val="24"/>
                <w:lang w:eastAsia="cs-CZ"/>
              </w:rPr>
            </w:pPr>
            <w:r w:rsidRPr="00CA4E72">
              <w:rPr>
                <w:rFonts w:eastAsia="Times New Roman" w:cs="Times New Roman"/>
                <w:color w:val="000000" w:themeColor="text1"/>
                <w:szCs w:val="24"/>
                <w:lang w:eastAsia="cs-CZ"/>
              </w:rPr>
              <w:t>3</w:t>
            </w:r>
          </w:p>
        </w:tc>
        <w:tc>
          <w:tcPr>
            <w:tcW w:w="997" w:type="dxa"/>
            <w:tcBorders>
              <w:top w:val="single" w:sz="4" w:space="0" w:color="7F7F7F" w:themeColor="text1" w:themeTint="80"/>
            </w:tcBorders>
            <w:shd w:val="clear" w:color="auto" w:fill="auto"/>
          </w:tcPr>
          <w:p w14:paraId="15053639" w14:textId="77777777" w:rsidR="008C2FA3" w:rsidRPr="00CA4E72" w:rsidRDefault="008C2FA3" w:rsidP="000817C4">
            <w:pPr>
              <w:jc w:val="center"/>
              <w:rPr>
                <w:rFonts w:eastAsia="Times New Roman" w:cs="Times New Roman"/>
                <w:color w:val="000000" w:themeColor="text1"/>
                <w:szCs w:val="24"/>
                <w:lang w:eastAsia="cs-CZ"/>
              </w:rPr>
            </w:pPr>
            <w:r w:rsidRPr="00CA4E72">
              <w:rPr>
                <w:rFonts w:eastAsia="Times New Roman" w:cs="Times New Roman"/>
                <w:color w:val="000000" w:themeColor="text1"/>
                <w:szCs w:val="24"/>
                <w:lang w:eastAsia="cs-CZ"/>
              </w:rPr>
              <w:t>4</w:t>
            </w:r>
          </w:p>
        </w:tc>
      </w:tr>
      <w:tr w:rsidR="002177D3" w:rsidRPr="00D070B8" w14:paraId="6BD89AF8" w14:textId="77777777" w:rsidTr="000817C4">
        <w:trPr>
          <w:trHeight w:val="334"/>
        </w:trPr>
        <w:tc>
          <w:tcPr>
            <w:tcW w:w="4140" w:type="dxa"/>
            <w:shd w:val="clear" w:color="auto" w:fill="auto"/>
          </w:tcPr>
          <w:p w14:paraId="3F700C2A" w14:textId="604C1941" w:rsidR="002177D3" w:rsidRPr="00CA4E72" w:rsidRDefault="002177D3" w:rsidP="002177D3">
            <w:pPr>
              <w:spacing w:before="40"/>
              <w:jc w:val="left"/>
              <w:rPr>
                <w:rFonts w:eastAsia="Times New Roman" w:cs="Times New Roman"/>
                <w:b/>
                <w:color w:val="000000" w:themeColor="text1"/>
                <w:lang w:eastAsia="cs-CZ"/>
              </w:rPr>
            </w:pPr>
            <w:r w:rsidRPr="00CA4E72">
              <w:rPr>
                <w:rFonts w:eastAsia="Times New Roman" w:cs="Times New Roman"/>
                <w:b/>
                <w:color w:val="000000" w:themeColor="text1"/>
                <w:lang w:eastAsia="cs-CZ"/>
              </w:rPr>
              <w:t xml:space="preserve">Ostatní příspěvkové a podobné organizace </w:t>
            </w:r>
            <w:r w:rsidRPr="00CA4E72">
              <w:rPr>
                <w:rFonts w:eastAsia="Times New Roman" w:cs="Times New Roman"/>
                <w:color w:val="000000" w:themeColor="text1"/>
                <w:lang w:eastAsia="cs-CZ"/>
              </w:rPr>
              <w:t>v tom:</w:t>
            </w:r>
          </w:p>
        </w:tc>
        <w:tc>
          <w:tcPr>
            <w:tcW w:w="1361" w:type="dxa"/>
            <w:shd w:val="clear" w:color="auto" w:fill="auto"/>
            <w:vAlign w:val="center"/>
          </w:tcPr>
          <w:p w14:paraId="488F8A9D" w14:textId="10C7CE03" w:rsidR="002177D3" w:rsidRPr="00CA4E72" w:rsidRDefault="002177D3" w:rsidP="002177D3">
            <w:pPr>
              <w:jc w:val="right"/>
              <w:rPr>
                <w:rFonts w:eastAsia="Times New Roman" w:cs="Times New Roman"/>
                <w:b/>
                <w:color w:val="FF0000"/>
                <w:lang w:eastAsia="cs-CZ"/>
              </w:rPr>
            </w:pPr>
            <w:r w:rsidRPr="00CA4E72">
              <w:rPr>
                <w:rFonts w:eastAsia="Times New Roman" w:cs="Times New Roman"/>
                <w:b/>
                <w:lang w:eastAsia="cs-CZ"/>
              </w:rPr>
              <w:t>132 667</w:t>
            </w:r>
          </w:p>
        </w:tc>
        <w:tc>
          <w:tcPr>
            <w:tcW w:w="1260" w:type="dxa"/>
            <w:shd w:val="clear" w:color="auto" w:fill="auto"/>
            <w:vAlign w:val="center"/>
          </w:tcPr>
          <w:p w14:paraId="45C57D54" w14:textId="44111D85" w:rsidR="002177D3" w:rsidRPr="00CA4E72" w:rsidRDefault="002177D3" w:rsidP="002177D3">
            <w:pPr>
              <w:jc w:val="right"/>
              <w:rPr>
                <w:rFonts w:eastAsia="Times New Roman" w:cs="Times New Roman"/>
                <w:b/>
                <w:color w:val="FF0000"/>
                <w:lang w:eastAsia="cs-CZ"/>
              </w:rPr>
            </w:pPr>
            <w:r w:rsidRPr="00CA4E72">
              <w:rPr>
                <w:rFonts w:eastAsia="Times New Roman" w:cs="Times New Roman"/>
                <w:b/>
                <w:lang w:eastAsia="cs-CZ"/>
              </w:rPr>
              <w:t>104 301</w:t>
            </w:r>
          </w:p>
        </w:tc>
        <w:tc>
          <w:tcPr>
            <w:tcW w:w="1304" w:type="dxa"/>
            <w:shd w:val="clear" w:color="auto" w:fill="auto"/>
            <w:vAlign w:val="center"/>
          </w:tcPr>
          <w:p w14:paraId="4465E69E" w14:textId="0C27EA53" w:rsidR="002177D3" w:rsidRPr="00CA4E72" w:rsidRDefault="002177D3" w:rsidP="002177D3">
            <w:pPr>
              <w:jc w:val="right"/>
              <w:rPr>
                <w:rFonts w:eastAsia="Times New Roman" w:cs="Times New Roman"/>
                <w:b/>
                <w:color w:val="FF0000"/>
                <w:lang w:eastAsia="cs-CZ"/>
              </w:rPr>
            </w:pPr>
            <w:r w:rsidRPr="00CA4E72">
              <w:rPr>
                <w:rFonts w:eastAsia="Times New Roman" w:cs="Times New Roman"/>
                <w:b/>
                <w:lang w:eastAsia="cs-CZ"/>
              </w:rPr>
              <w:t>126 412</w:t>
            </w:r>
          </w:p>
        </w:tc>
        <w:tc>
          <w:tcPr>
            <w:tcW w:w="997" w:type="dxa"/>
            <w:shd w:val="clear" w:color="auto" w:fill="auto"/>
            <w:vAlign w:val="center"/>
          </w:tcPr>
          <w:p w14:paraId="144D12D8" w14:textId="4951CEFC" w:rsidR="002177D3" w:rsidRPr="00CA4E72" w:rsidRDefault="002177D3" w:rsidP="002177D3">
            <w:pPr>
              <w:jc w:val="right"/>
              <w:rPr>
                <w:rFonts w:eastAsia="Times New Roman" w:cs="Times New Roman"/>
                <w:b/>
                <w:color w:val="FF0000"/>
                <w:lang w:eastAsia="cs-CZ"/>
              </w:rPr>
            </w:pPr>
            <w:r w:rsidRPr="00CA4E72">
              <w:rPr>
                <w:rFonts w:eastAsia="Times New Roman" w:cs="Times New Roman"/>
                <w:b/>
                <w:lang w:eastAsia="cs-CZ"/>
              </w:rPr>
              <w:t>121,20</w:t>
            </w:r>
          </w:p>
        </w:tc>
      </w:tr>
      <w:tr w:rsidR="00066C1A" w:rsidRPr="00D070B8" w14:paraId="59484871" w14:textId="77777777" w:rsidTr="000817C4">
        <w:trPr>
          <w:trHeight w:val="334"/>
        </w:trPr>
        <w:tc>
          <w:tcPr>
            <w:tcW w:w="4140" w:type="dxa"/>
            <w:shd w:val="clear" w:color="auto" w:fill="auto"/>
          </w:tcPr>
          <w:p w14:paraId="6FBE0644" w14:textId="65EE5C80" w:rsidR="00066C1A" w:rsidRPr="00CA4E72" w:rsidRDefault="00066C1A" w:rsidP="00066C1A">
            <w:pPr>
              <w:spacing w:before="40"/>
              <w:rPr>
                <w:rFonts w:eastAsia="Times New Roman" w:cs="Times New Roman"/>
                <w:b/>
                <w:color w:val="000000" w:themeColor="text1"/>
                <w:lang w:eastAsia="cs-CZ"/>
              </w:rPr>
            </w:pPr>
            <w:r w:rsidRPr="00CA4E72">
              <w:rPr>
                <w:rFonts w:eastAsia="Times New Roman" w:cs="Times New Roman"/>
                <w:b/>
                <w:color w:val="000000" w:themeColor="text1"/>
                <w:lang w:eastAsia="cs-CZ"/>
              </w:rPr>
              <w:t xml:space="preserve">Vysoké školy </w:t>
            </w:r>
          </w:p>
        </w:tc>
        <w:tc>
          <w:tcPr>
            <w:tcW w:w="1361" w:type="dxa"/>
            <w:shd w:val="clear" w:color="auto" w:fill="auto"/>
            <w:vAlign w:val="center"/>
          </w:tcPr>
          <w:p w14:paraId="68034760" w14:textId="47BD409A" w:rsidR="00066C1A" w:rsidRPr="00CA4E72" w:rsidRDefault="00CA4E72" w:rsidP="00066C1A">
            <w:pPr>
              <w:jc w:val="right"/>
              <w:rPr>
                <w:rFonts w:eastAsia="Times New Roman" w:cs="Times New Roman"/>
                <w:b/>
                <w:color w:val="FF0000"/>
                <w:lang w:eastAsia="cs-CZ"/>
              </w:rPr>
            </w:pPr>
            <w:r w:rsidRPr="00CA4E72">
              <w:rPr>
                <w:rFonts w:eastAsia="Times New Roman" w:cs="Times New Roman"/>
                <w:b/>
                <w:lang w:eastAsia="cs-CZ"/>
              </w:rPr>
              <w:t>0</w:t>
            </w:r>
          </w:p>
        </w:tc>
        <w:tc>
          <w:tcPr>
            <w:tcW w:w="1260" w:type="dxa"/>
            <w:shd w:val="clear" w:color="auto" w:fill="auto"/>
            <w:vAlign w:val="center"/>
          </w:tcPr>
          <w:p w14:paraId="60D624A2" w14:textId="4EFB94B2" w:rsidR="00066C1A" w:rsidRPr="00CA4E72" w:rsidRDefault="00066C1A" w:rsidP="00066C1A">
            <w:pPr>
              <w:jc w:val="right"/>
              <w:rPr>
                <w:rFonts w:eastAsia="Times New Roman" w:cs="Times New Roman"/>
                <w:b/>
                <w:color w:val="FF0000"/>
                <w:lang w:eastAsia="cs-CZ"/>
              </w:rPr>
            </w:pPr>
            <w:r w:rsidRPr="00CA4E72">
              <w:rPr>
                <w:rFonts w:eastAsia="Times New Roman" w:cs="Times New Roman"/>
                <w:b/>
                <w:lang w:eastAsia="cs-CZ"/>
              </w:rPr>
              <w:t>0</w:t>
            </w:r>
          </w:p>
        </w:tc>
        <w:tc>
          <w:tcPr>
            <w:tcW w:w="1304" w:type="dxa"/>
            <w:shd w:val="clear" w:color="auto" w:fill="auto"/>
            <w:vAlign w:val="center"/>
          </w:tcPr>
          <w:p w14:paraId="1248573C" w14:textId="24843F1E" w:rsidR="00066C1A" w:rsidRPr="00CA4E72" w:rsidRDefault="00066C1A" w:rsidP="00066C1A">
            <w:pPr>
              <w:jc w:val="right"/>
              <w:rPr>
                <w:rFonts w:eastAsia="Times New Roman" w:cs="Times New Roman"/>
                <w:b/>
                <w:color w:val="FF0000"/>
                <w:lang w:eastAsia="cs-CZ"/>
              </w:rPr>
            </w:pPr>
            <w:r w:rsidRPr="00CA4E72">
              <w:rPr>
                <w:rFonts w:eastAsia="Times New Roman" w:cs="Times New Roman"/>
                <w:b/>
                <w:lang w:eastAsia="cs-CZ"/>
              </w:rPr>
              <w:t>0</w:t>
            </w:r>
          </w:p>
        </w:tc>
        <w:tc>
          <w:tcPr>
            <w:tcW w:w="997" w:type="dxa"/>
            <w:shd w:val="clear" w:color="auto" w:fill="auto"/>
            <w:vAlign w:val="center"/>
          </w:tcPr>
          <w:p w14:paraId="7C47605A" w14:textId="00761C32" w:rsidR="00066C1A" w:rsidRPr="00CA4E72" w:rsidRDefault="00066C1A" w:rsidP="00066C1A">
            <w:pPr>
              <w:jc w:val="right"/>
              <w:rPr>
                <w:rFonts w:eastAsia="Times New Roman" w:cs="Times New Roman"/>
                <w:b/>
                <w:color w:val="FF0000"/>
                <w:lang w:eastAsia="cs-CZ"/>
              </w:rPr>
            </w:pPr>
            <w:r w:rsidRPr="00CA4E72">
              <w:rPr>
                <w:rFonts w:eastAsia="Times New Roman" w:cs="Times New Roman"/>
                <w:b/>
                <w:lang w:eastAsia="cs-CZ"/>
              </w:rPr>
              <w:t>x</w:t>
            </w:r>
          </w:p>
        </w:tc>
      </w:tr>
      <w:tr w:rsidR="00A76A47" w:rsidRPr="00D070B8" w14:paraId="0A88965B" w14:textId="77777777" w:rsidTr="000817C4">
        <w:trPr>
          <w:trHeight w:val="334"/>
        </w:trPr>
        <w:tc>
          <w:tcPr>
            <w:tcW w:w="4140" w:type="dxa"/>
            <w:shd w:val="clear" w:color="auto" w:fill="auto"/>
          </w:tcPr>
          <w:p w14:paraId="450FF8AF" w14:textId="2475BF00" w:rsidR="00A76A47" w:rsidRPr="00A76A47" w:rsidRDefault="00A76A47" w:rsidP="00A76A47">
            <w:pPr>
              <w:spacing w:before="40"/>
              <w:jc w:val="left"/>
              <w:rPr>
                <w:rFonts w:eastAsia="Times New Roman" w:cs="Times New Roman"/>
                <w:b/>
                <w:color w:val="000000" w:themeColor="text1"/>
                <w:lang w:eastAsia="cs-CZ"/>
              </w:rPr>
            </w:pPr>
            <w:r w:rsidRPr="00A76A47">
              <w:rPr>
                <w:rFonts w:eastAsia="Times New Roman" w:cs="Times New Roman"/>
                <w:b/>
                <w:color w:val="000000" w:themeColor="text1"/>
                <w:lang w:eastAsia="cs-CZ"/>
              </w:rPr>
              <w:t xml:space="preserve">Veřejné výzkumné organizace </w:t>
            </w:r>
            <w:r w:rsidRPr="00A76A47">
              <w:rPr>
                <w:rFonts w:eastAsia="Times New Roman" w:cs="Times New Roman"/>
                <w:color w:val="000000" w:themeColor="text1"/>
                <w:lang w:eastAsia="cs-CZ"/>
              </w:rPr>
              <w:t>v tom:</w:t>
            </w:r>
          </w:p>
        </w:tc>
        <w:tc>
          <w:tcPr>
            <w:tcW w:w="1361" w:type="dxa"/>
            <w:shd w:val="clear" w:color="auto" w:fill="auto"/>
            <w:vAlign w:val="center"/>
          </w:tcPr>
          <w:p w14:paraId="10C41F0E" w14:textId="2FF68CF4" w:rsidR="00A76A47" w:rsidRPr="00A76A47" w:rsidRDefault="00A76A47" w:rsidP="00A76A47">
            <w:pPr>
              <w:jc w:val="right"/>
              <w:rPr>
                <w:rFonts w:eastAsia="Times New Roman" w:cs="Times New Roman"/>
                <w:b/>
                <w:color w:val="FF0000"/>
                <w:lang w:eastAsia="cs-CZ"/>
              </w:rPr>
            </w:pPr>
            <w:r w:rsidRPr="00A76A47">
              <w:rPr>
                <w:rFonts w:eastAsia="Times New Roman" w:cs="Times New Roman"/>
                <w:b/>
                <w:lang w:eastAsia="cs-CZ"/>
              </w:rPr>
              <w:t>132 667</w:t>
            </w:r>
          </w:p>
        </w:tc>
        <w:tc>
          <w:tcPr>
            <w:tcW w:w="1260" w:type="dxa"/>
            <w:shd w:val="clear" w:color="auto" w:fill="auto"/>
            <w:vAlign w:val="center"/>
          </w:tcPr>
          <w:p w14:paraId="4EE80885" w14:textId="7334B48F" w:rsidR="00A76A47" w:rsidRPr="00D070B8" w:rsidRDefault="00A76A47" w:rsidP="00A76A47">
            <w:pPr>
              <w:jc w:val="right"/>
              <w:rPr>
                <w:rFonts w:eastAsia="Times New Roman" w:cs="Times New Roman"/>
                <w:b/>
                <w:color w:val="FF0000"/>
                <w:highlight w:val="yellow"/>
                <w:lang w:eastAsia="cs-CZ"/>
              </w:rPr>
            </w:pPr>
            <w:r w:rsidRPr="00716D2F">
              <w:rPr>
                <w:rFonts w:eastAsia="Times New Roman" w:cs="Times New Roman"/>
                <w:b/>
                <w:lang w:eastAsia="cs-CZ"/>
              </w:rPr>
              <w:t>102 426</w:t>
            </w:r>
          </w:p>
        </w:tc>
        <w:tc>
          <w:tcPr>
            <w:tcW w:w="1304" w:type="dxa"/>
            <w:shd w:val="clear" w:color="auto" w:fill="auto"/>
            <w:vAlign w:val="center"/>
          </w:tcPr>
          <w:p w14:paraId="369BA524" w14:textId="3D02AA58" w:rsidR="00A76A47" w:rsidRPr="00D070B8" w:rsidRDefault="00A76A47" w:rsidP="00A76A47">
            <w:pPr>
              <w:jc w:val="right"/>
              <w:rPr>
                <w:rFonts w:eastAsia="Times New Roman" w:cs="Times New Roman"/>
                <w:b/>
                <w:color w:val="FF0000"/>
                <w:highlight w:val="yellow"/>
                <w:lang w:eastAsia="cs-CZ"/>
              </w:rPr>
            </w:pPr>
            <w:r>
              <w:rPr>
                <w:rFonts w:eastAsia="Times New Roman" w:cs="Times New Roman"/>
                <w:b/>
                <w:lang w:eastAsia="cs-CZ"/>
              </w:rPr>
              <w:t>126 412</w:t>
            </w:r>
          </w:p>
        </w:tc>
        <w:tc>
          <w:tcPr>
            <w:tcW w:w="997" w:type="dxa"/>
            <w:shd w:val="clear" w:color="auto" w:fill="auto"/>
            <w:vAlign w:val="center"/>
          </w:tcPr>
          <w:p w14:paraId="0C1B3338" w14:textId="1F042FF3" w:rsidR="00A76A47" w:rsidRPr="00D070B8" w:rsidRDefault="00BF7440" w:rsidP="00A76A47">
            <w:pPr>
              <w:jc w:val="right"/>
              <w:rPr>
                <w:rFonts w:eastAsia="Times New Roman" w:cs="Times New Roman"/>
                <w:b/>
                <w:color w:val="FF0000"/>
                <w:highlight w:val="yellow"/>
                <w:lang w:eastAsia="cs-CZ"/>
              </w:rPr>
            </w:pPr>
            <w:r>
              <w:rPr>
                <w:rFonts w:eastAsia="Times New Roman" w:cs="Times New Roman"/>
                <w:b/>
                <w:lang w:eastAsia="cs-CZ"/>
              </w:rPr>
              <w:t>123,42</w:t>
            </w:r>
          </w:p>
        </w:tc>
      </w:tr>
      <w:tr w:rsidR="00A76A47" w:rsidRPr="00D070B8" w14:paraId="493CAE52" w14:textId="77777777" w:rsidTr="000817C4">
        <w:tc>
          <w:tcPr>
            <w:tcW w:w="4140" w:type="dxa"/>
            <w:shd w:val="clear" w:color="auto" w:fill="auto"/>
          </w:tcPr>
          <w:p w14:paraId="7A2A3355" w14:textId="0BB41BB3" w:rsidR="00A76A47" w:rsidRPr="00A76A47" w:rsidRDefault="00A76A47" w:rsidP="00A76A47">
            <w:pPr>
              <w:spacing w:before="40"/>
              <w:rPr>
                <w:rFonts w:eastAsia="Times New Roman" w:cs="Times New Roman"/>
                <w:color w:val="000000" w:themeColor="text1"/>
                <w:lang w:eastAsia="cs-CZ"/>
              </w:rPr>
            </w:pPr>
            <w:r w:rsidRPr="00A76A47">
              <w:rPr>
                <w:rFonts w:eastAsia="Times New Roman" w:cs="Times New Roman"/>
                <w:color w:val="000000" w:themeColor="text1"/>
                <w:lang w:eastAsia="cs-CZ"/>
              </w:rPr>
              <w:t xml:space="preserve">Výdaje na výzkum, vývoj a inovace </w:t>
            </w:r>
          </w:p>
          <w:p w14:paraId="63F38C1C" w14:textId="5F5A1827" w:rsidR="00A76A47" w:rsidRPr="00A76A47" w:rsidRDefault="00A76A47" w:rsidP="00A76A47">
            <w:pPr>
              <w:rPr>
                <w:rFonts w:eastAsia="Times New Roman" w:cs="Times New Roman"/>
                <w:color w:val="000000" w:themeColor="text1"/>
                <w:lang w:eastAsia="cs-CZ"/>
              </w:rPr>
            </w:pPr>
            <w:r w:rsidRPr="00A76A47">
              <w:rPr>
                <w:rFonts w:eastAsia="Times New Roman" w:cs="Times New Roman"/>
                <w:color w:val="000000" w:themeColor="text1"/>
                <w:lang w:eastAsia="cs-CZ"/>
              </w:rPr>
              <w:t>v tom:</w:t>
            </w:r>
          </w:p>
        </w:tc>
        <w:tc>
          <w:tcPr>
            <w:tcW w:w="1361" w:type="dxa"/>
            <w:shd w:val="clear" w:color="auto" w:fill="auto"/>
            <w:vAlign w:val="center"/>
          </w:tcPr>
          <w:p w14:paraId="1152FECB" w14:textId="1538558F"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89 069</w:t>
            </w:r>
          </w:p>
        </w:tc>
        <w:tc>
          <w:tcPr>
            <w:tcW w:w="1260" w:type="dxa"/>
            <w:shd w:val="clear" w:color="auto" w:fill="auto"/>
            <w:vAlign w:val="center"/>
          </w:tcPr>
          <w:p w14:paraId="38056573" w14:textId="33E33012" w:rsidR="00A76A47" w:rsidRPr="00D070B8" w:rsidRDefault="00A76A47" w:rsidP="00A76A47">
            <w:pPr>
              <w:jc w:val="right"/>
              <w:rPr>
                <w:rFonts w:eastAsia="Times New Roman" w:cs="Times New Roman"/>
                <w:color w:val="FF0000"/>
                <w:highlight w:val="yellow"/>
                <w:lang w:eastAsia="cs-CZ"/>
              </w:rPr>
            </w:pPr>
            <w:r w:rsidRPr="00611A47">
              <w:rPr>
                <w:rFonts w:eastAsia="Times New Roman" w:cs="Times New Roman"/>
                <w:lang w:eastAsia="cs-CZ"/>
              </w:rPr>
              <w:t>57 426</w:t>
            </w:r>
          </w:p>
        </w:tc>
        <w:tc>
          <w:tcPr>
            <w:tcW w:w="1304" w:type="dxa"/>
            <w:shd w:val="clear" w:color="auto" w:fill="auto"/>
            <w:vAlign w:val="center"/>
          </w:tcPr>
          <w:p w14:paraId="4211ACFE" w14:textId="04A21AB3"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81 412</w:t>
            </w:r>
          </w:p>
        </w:tc>
        <w:tc>
          <w:tcPr>
            <w:tcW w:w="997" w:type="dxa"/>
            <w:shd w:val="clear" w:color="auto" w:fill="auto"/>
            <w:vAlign w:val="center"/>
          </w:tcPr>
          <w:p w14:paraId="3B26594D" w14:textId="0F48027A"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141</w:t>
            </w:r>
            <w:r w:rsidRPr="00470FD3">
              <w:rPr>
                <w:rFonts w:eastAsia="Times New Roman" w:cs="Times New Roman"/>
                <w:lang w:eastAsia="cs-CZ"/>
              </w:rPr>
              <w:t>,</w:t>
            </w:r>
            <w:r>
              <w:rPr>
                <w:rFonts w:eastAsia="Times New Roman" w:cs="Times New Roman"/>
                <w:lang w:eastAsia="cs-CZ"/>
              </w:rPr>
              <w:t>77</w:t>
            </w:r>
          </w:p>
        </w:tc>
      </w:tr>
      <w:tr w:rsidR="00A76A47" w:rsidRPr="00D070B8" w14:paraId="1DA3DECF" w14:textId="77777777" w:rsidTr="000817C4">
        <w:tc>
          <w:tcPr>
            <w:tcW w:w="4140" w:type="dxa"/>
            <w:shd w:val="clear" w:color="auto" w:fill="auto"/>
          </w:tcPr>
          <w:p w14:paraId="37F86757" w14:textId="4335AADE" w:rsidR="00A76A47" w:rsidRPr="00A76A47" w:rsidRDefault="00A76A47" w:rsidP="00A76A47">
            <w:pPr>
              <w:rPr>
                <w:rFonts w:eastAsia="Times New Roman" w:cs="Times New Roman"/>
                <w:color w:val="000000" w:themeColor="text1"/>
                <w:lang w:eastAsia="cs-CZ"/>
              </w:rPr>
            </w:pPr>
            <w:r w:rsidRPr="00A76A47">
              <w:rPr>
                <w:rFonts w:eastAsia="Times New Roman" w:cs="Times New Roman"/>
                <w:color w:val="000000" w:themeColor="text1"/>
                <w:lang w:eastAsia="cs-CZ"/>
              </w:rPr>
              <w:t>institucionální podpora</w:t>
            </w:r>
          </w:p>
        </w:tc>
        <w:tc>
          <w:tcPr>
            <w:tcW w:w="1361" w:type="dxa"/>
            <w:shd w:val="clear" w:color="auto" w:fill="auto"/>
            <w:vAlign w:val="center"/>
          </w:tcPr>
          <w:p w14:paraId="4FA14F7E" w14:textId="33D7DA1F"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89 069</w:t>
            </w:r>
          </w:p>
        </w:tc>
        <w:tc>
          <w:tcPr>
            <w:tcW w:w="1260" w:type="dxa"/>
            <w:shd w:val="clear" w:color="auto" w:fill="auto"/>
            <w:vAlign w:val="center"/>
          </w:tcPr>
          <w:p w14:paraId="7A737B46" w14:textId="3E0B7721" w:rsidR="00A76A47" w:rsidRPr="00D070B8" w:rsidRDefault="00A76A47" w:rsidP="00A76A47">
            <w:pPr>
              <w:jc w:val="right"/>
              <w:rPr>
                <w:rFonts w:eastAsia="Times New Roman" w:cs="Times New Roman"/>
                <w:color w:val="FF0000"/>
                <w:highlight w:val="yellow"/>
                <w:lang w:eastAsia="cs-CZ"/>
              </w:rPr>
            </w:pPr>
            <w:r w:rsidRPr="00611A47">
              <w:rPr>
                <w:rFonts w:eastAsia="Times New Roman" w:cs="Times New Roman"/>
                <w:lang w:eastAsia="cs-CZ"/>
              </w:rPr>
              <w:t>57 426</w:t>
            </w:r>
          </w:p>
        </w:tc>
        <w:tc>
          <w:tcPr>
            <w:tcW w:w="1304" w:type="dxa"/>
            <w:shd w:val="clear" w:color="auto" w:fill="auto"/>
            <w:vAlign w:val="center"/>
          </w:tcPr>
          <w:p w14:paraId="3B4D18DA" w14:textId="0A5ED32D" w:rsidR="00A76A47" w:rsidRPr="00D070B8" w:rsidRDefault="00A76A47" w:rsidP="00A76A47">
            <w:pPr>
              <w:jc w:val="right"/>
              <w:rPr>
                <w:rFonts w:eastAsia="Times New Roman" w:cs="Times New Roman"/>
                <w:color w:val="FF0000"/>
                <w:highlight w:val="yellow"/>
                <w:lang w:eastAsia="cs-CZ"/>
              </w:rPr>
            </w:pPr>
            <w:r w:rsidRPr="00B205EF">
              <w:rPr>
                <w:rFonts w:eastAsia="Times New Roman" w:cs="Times New Roman"/>
                <w:lang w:eastAsia="cs-CZ"/>
              </w:rPr>
              <w:t>81 412</w:t>
            </w:r>
          </w:p>
        </w:tc>
        <w:tc>
          <w:tcPr>
            <w:tcW w:w="997" w:type="dxa"/>
            <w:shd w:val="clear" w:color="auto" w:fill="auto"/>
            <w:vAlign w:val="center"/>
          </w:tcPr>
          <w:p w14:paraId="17BF36BE" w14:textId="6759E707"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141</w:t>
            </w:r>
            <w:r w:rsidRPr="00470FD3">
              <w:rPr>
                <w:rFonts w:eastAsia="Times New Roman" w:cs="Times New Roman"/>
                <w:lang w:eastAsia="cs-CZ"/>
              </w:rPr>
              <w:t>,</w:t>
            </w:r>
            <w:r>
              <w:rPr>
                <w:rFonts w:eastAsia="Times New Roman" w:cs="Times New Roman"/>
                <w:lang w:eastAsia="cs-CZ"/>
              </w:rPr>
              <w:t>7</w:t>
            </w:r>
            <w:r w:rsidRPr="00470FD3">
              <w:rPr>
                <w:rFonts w:eastAsia="Times New Roman" w:cs="Times New Roman"/>
                <w:lang w:eastAsia="cs-CZ"/>
              </w:rPr>
              <w:t>7</w:t>
            </w:r>
          </w:p>
        </w:tc>
      </w:tr>
      <w:tr w:rsidR="00A76A47" w:rsidRPr="00D070B8" w14:paraId="24D1389B" w14:textId="77777777" w:rsidTr="000817C4">
        <w:tc>
          <w:tcPr>
            <w:tcW w:w="4140" w:type="dxa"/>
            <w:shd w:val="clear" w:color="auto" w:fill="auto"/>
          </w:tcPr>
          <w:p w14:paraId="32A75F20" w14:textId="725AA895" w:rsidR="00A76A47" w:rsidRPr="00A76A47" w:rsidRDefault="00A76A47" w:rsidP="00A76A47">
            <w:pPr>
              <w:rPr>
                <w:rFonts w:eastAsia="Times New Roman" w:cs="Times New Roman"/>
                <w:color w:val="000000" w:themeColor="text1"/>
                <w:lang w:eastAsia="cs-CZ"/>
              </w:rPr>
            </w:pPr>
            <w:r w:rsidRPr="00A76A47">
              <w:rPr>
                <w:rFonts w:eastAsia="Times New Roman" w:cs="Times New Roman"/>
                <w:color w:val="000000" w:themeColor="text1"/>
                <w:lang w:eastAsia="cs-CZ"/>
              </w:rPr>
              <w:t>účelová podpora</w:t>
            </w:r>
          </w:p>
        </w:tc>
        <w:tc>
          <w:tcPr>
            <w:tcW w:w="1361" w:type="dxa"/>
            <w:shd w:val="clear" w:color="auto" w:fill="auto"/>
            <w:vAlign w:val="center"/>
          </w:tcPr>
          <w:p w14:paraId="59F923BE" w14:textId="62AEB1BF"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0</w:t>
            </w:r>
          </w:p>
        </w:tc>
        <w:tc>
          <w:tcPr>
            <w:tcW w:w="1260" w:type="dxa"/>
            <w:shd w:val="clear" w:color="auto" w:fill="auto"/>
            <w:vAlign w:val="center"/>
          </w:tcPr>
          <w:p w14:paraId="45DD170D" w14:textId="28144127"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1304" w:type="dxa"/>
            <w:shd w:val="clear" w:color="auto" w:fill="auto"/>
            <w:vAlign w:val="center"/>
          </w:tcPr>
          <w:p w14:paraId="4DCA1E32" w14:textId="1F08B55A"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997" w:type="dxa"/>
            <w:shd w:val="clear" w:color="auto" w:fill="auto"/>
            <w:vAlign w:val="center"/>
          </w:tcPr>
          <w:p w14:paraId="5DF54126" w14:textId="32133E45"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x</w:t>
            </w:r>
          </w:p>
        </w:tc>
      </w:tr>
      <w:tr w:rsidR="00A76A47" w:rsidRPr="00D070B8" w14:paraId="49C6A5CF" w14:textId="77777777" w:rsidTr="000817C4">
        <w:tc>
          <w:tcPr>
            <w:tcW w:w="4140" w:type="dxa"/>
            <w:shd w:val="clear" w:color="auto" w:fill="auto"/>
          </w:tcPr>
          <w:p w14:paraId="2AD980DB" w14:textId="431574E1" w:rsidR="00A76A47" w:rsidRPr="00A76A47" w:rsidRDefault="00A76A47" w:rsidP="00A76A47">
            <w:pPr>
              <w:rPr>
                <w:rFonts w:eastAsia="Times New Roman" w:cs="Times New Roman"/>
                <w:color w:val="000000" w:themeColor="text1"/>
                <w:lang w:eastAsia="cs-CZ"/>
              </w:rPr>
            </w:pPr>
            <w:r w:rsidRPr="00A76A47">
              <w:rPr>
                <w:rFonts w:eastAsia="Times New Roman" w:cs="Times New Roman"/>
                <w:color w:val="000000" w:themeColor="text1"/>
                <w:lang w:eastAsia="cs-CZ"/>
              </w:rPr>
              <w:t>Účelová neinvestiční dotace na další činnost</w:t>
            </w:r>
          </w:p>
        </w:tc>
        <w:tc>
          <w:tcPr>
            <w:tcW w:w="1361" w:type="dxa"/>
            <w:shd w:val="clear" w:color="auto" w:fill="auto"/>
            <w:vAlign w:val="center"/>
          </w:tcPr>
          <w:p w14:paraId="7531130B" w14:textId="2C7DE9DE"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43 598</w:t>
            </w:r>
          </w:p>
        </w:tc>
        <w:tc>
          <w:tcPr>
            <w:tcW w:w="1260" w:type="dxa"/>
            <w:shd w:val="clear" w:color="auto" w:fill="auto"/>
            <w:vAlign w:val="center"/>
          </w:tcPr>
          <w:p w14:paraId="76B483C1" w14:textId="0BF67DF3"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45</w:t>
            </w:r>
            <w:r w:rsidRPr="00470FD3">
              <w:rPr>
                <w:rFonts w:eastAsia="Times New Roman" w:cs="Times New Roman"/>
                <w:lang w:eastAsia="cs-CZ"/>
              </w:rPr>
              <w:t xml:space="preserve"> 000</w:t>
            </w:r>
          </w:p>
        </w:tc>
        <w:tc>
          <w:tcPr>
            <w:tcW w:w="1304" w:type="dxa"/>
            <w:shd w:val="clear" w:color="auto" w:fill="auto"/>
            <w:vAlign w:val="center"/>
          </w:tcPr>
          <w:p w14:paraId="062F7F93" w14:textId="6ADDCC3A"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45 000</w:t>
            </w:r>
          </w:p>
        </w:tc>
        <w:tc>
          <w:tcPr>
            <w:tcW w:w="997" w:type="dxa"/>
            <w:shd w:val="clear" w:color="auto" w:fill="auto"/>
            <w:vAlign w:val="center"/>
          </w:tcPr>
          <w:p w14:paraId="673DD2A3" w14:textId="04B816EC"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100</w:t>
            </w:r>
            <w:r w:rsidRPr="00470FD3">
              <w:rPr>
                <w:rFonts w:eastAsia="Times New Roman" w:cs="Times New Roman"/>
                <w:lang w:eastAsia="cs-CZ"/>
              </w:rPr>
              <w:t>,00</w:t>
            </w:r>
          </w:p>
        </w:tc>
      </w:tr>
      <w:tr w:rsidR="00A76A47" w:rsidRPr="00D070B8" w14:paraId="4ECA05E8" w14:textId="77777777" w:rsidTr="000817C4">
        <w:tc>
          <w:tcPr>
            <w:tcW w:w="4140" w:type="dxa"/>
            <w:shd w:val="clear" w:color="auto" w:fill="auto"/>
          </w:tcPr>
          <w:p w14:paraId="7B2B1A22" w14:textId="146F6AF7" w:rsidR="00A76A47" w:rsidRPr="00A76A47" w:rsidRDefault="00A76A47" w:rsidP="00A76A47">
            <w:pPr>
              <w:rPr>
                <w:rFonts w:eastAsia="Times New Roman" w:cs="Times New Roman"/>
                <w:color w:val="000000" w:themeColor="text1"/>
                <w:lang w:eastAsia="cs-CZ"/>
              </w:rPr>
            </w:pPr>
            <w:r w:rsidRPr="00A76A47">
              <w:rPr>
                <w:color w:val="000000" w:themeColor="text1"/>
              </w:rPr>
              <w:t>z toho: výdaje na progr. spolufin. z rozpočtu EU</w:t>
            </w:r>
          </w:p>
        </w:tc>
        <w:tc>
          <w:tcPr>
            <w:tcW w:w="1361" w:type="dxa"/>
            <w:shd w:val="clear" w:color="auto" w:fill="auto"/>
            <w:vAlign w:val="center"/>
          </w:tcPr>
          <w:p w14:paraId="3F968130" w14:textId="273CA0BF"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0</w:t>
            </w:r>
          </w:p>
        </w:tc>
        <w:tc>
          <w:tcPr>
            <w:tcW w:w="1260" w:type="dxa"/>
            <w:shd w:val="clear" w:color="auto" w:fill="auto"/>
            <w:vAlign w:val="center"/>
          </w:tcPr>
          <w:p w14:paraId="0BE6EB94" w14:textId="0CB472D9"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1304" w:type="dxa"/>
            <w:shd w:val="clear" w:color="auto" w:fill="auto"/>
            <w:vAlign w:val="center"/>
          </w:tcPr>
          <w:p w14:paraId="34E837C7" w14:textId="71235D11"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997" w:type="dxa"/>
            <w:shd w:val="clear" w:color="auto" w:fill="auto"/>
            <w:vAlign w:val="center"/>
          </w:tcPr>
          <w:p w14:paraId="4BB08ACF" w14:textId="0F920300"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x</w:t>
            </w:r>
          </w:p>
        </w:tc>
      </w:tr>
      <w:tr w:rsidR="00A76A47" w:rsidRPr="00D070B8" w14:paraId="5B3A4DCB" w14:textId="77777777" w:rsidTr="000817C4">
        <w:tc>
          <w:tcPr>
            <w:tcW w:w="4140" w:type="dxa"/>
            <w:shd w:val="clear" w:color="auto" w:fill="auto"/>
          </w:tcPr>
          <w:p w14:paraId="28C9851C" w14:textId="051EFE17" w:rsidR="00A76A47" w:rsidRPr="00A76A47" w:rsidRDefault="00A76A47" w:rsidP="00A76A47">
            <w:pPr>
              <w:rPr>
                <w:rFonts w:eastAsia="Times New Roman" w:cs="Times New Roman"/>
                <w:color w:val="000000" w:themeColor="text1"/>
                <w:lang w:eastAsia="cs-CZ"/>
              </w:rPr>
            </w:pPr>
            <w:r w:rsidRPr="00A76A47">
              <w:rPr>
                <w:color w:val="000000" w:themeColor="text1"/>
              </w:rPr>
              <w:t>v tom: ze SR</w:t>
            </w:r>
          </w:p>
        </w:tc>
        <w:tc>
          <w:tcPr>
            <w:tcW w:w="1361" w:type="dxa"/>
            <w:shd w:val="clear" w:color="auto" w:fill="auto"/>
            <w:vAlign w:val="center"/>
          </w:tcPr>
          <w:p w14:paraId="560446D5" w14:textId="13438657"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0</w:t>
            </w:r>
          </w:p>
        </w:tc>
        <w:tc>
          <w:tcPr>
            <w:tcW w:w="1260" w:type="dxa"/>
            <w:shd w:val="clear" w:color="auto" w:fill="auto"/>
            <w:vAlign w:val="center"/>
          </w:tcPr>
          <w:p w14:paraId="7D1E340A" w14:textId="3CC82F81"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1304" w:type="dxa"/>
            <w:shd w:val="clear" w:color="auto" w:fill="auto"/>
            <w:vAlign w:val="center"/>
          </w:tcPr>
          <w:p w14:paraId="0ABF5B99" w14:textId="502DB7D7"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997" w:type="dxa"/>
            <w:shd w:val="clear" w:color="auto" w:fill="auto"/>
            <w:vAlign w:val="center"/>
          </w:tcPr>
          <w:p w14:paraId="6A29A8B6" w14:textId="689FEB60"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x</w:t>
            </w:r>
          </w:p>
        </w:tc>
      </w:tr>
      <w:tr w:rsidR="00A76A47" w:rsidRPr="00D070B8" w14:paraId="258C3B05" w14:textId="77777777" w:rsidTr="000817C4">
        <w:tc>
          <w:tcPr>
            <w:tcW w:w="4140" w:type="dxa"/>
            <w:shd w:val="clear" w:color="auto" w:fill="auto"/>
          </w:tcPr>
          <w:p w14:paraId="09755812" w14:textId="3B0227B6" w:rsidR="00A76A47" w:rsidRPr="00A76A47" w:rsidRDefault="00A76A47" w:rsidP="00A76A47">
            <w:pPr>
              <w:jc w:val="left"/>
              <w:rPr>
                <w:rFonts w:eastAsia="Times New Roman" w:cs="Times New Roman"/>
                <w:color w:val="000000" w:themeColor="text1"/>
                <w:lang w:eastAsia="cs-CZ"/>
              </w:rPr>
            </w:pPr>
            <w:r w:rsidRPr="00A76A47">
              <w:rPr>
                <w:color w:val="000000" w:themeColor="text1"/>
              </w:rPr>
              <w:tab/>
              <w:t>z rozpočtu EU</w:t>
            </w:r>
          </w:p>
        </w:tc>
        <w:tc>
          <w:tcPr>
            <w:tcW w:w="1361" w:type="dxa"/>
            <w:shd w:val="clear" w:color="auto" w:fill="auto"/>
            <w:vAlign w:val="center"/>
          </w:tcPr>
          <w:p w14:paraId="75C06222" w14:textId="0ECC1610"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0</w:t>
            </w:r>
          </w:p>
        </w:tc>
        <w:tc>
          <w:tcPr>
            <w:tcW w:w="1260" w:type="dxa"/>
            <w:shd w:val="clear" w:color="auto" w:fill="auto"/>
            <w:vAlign w:val="center"/>
          </w:tcPr>
          <w:p w14:paraId="7081AA02" w14:textId="6312B48D"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1304" w:type="dxa"/>
            <w:shd w:val="clear" w:color="auto" w:fill="auto"/>
            <w:vAlign w:val="center"/>
          </w:tcPr>
          <w:p w14:paraId="39641214" w14:textId="6944D790" w:rsidR="00A76A47" w:rsidRPr="00D070B8" w:rsidRDefault="00A76A47" w:rsidP="00A76A47">
            <w:pPr>
              <w:jc w:val="right"/>
              <w:rPr>
                <w:rFonts w:eastAsia="Times New Roman" w:cs="Times New Roman"/>
                <w:color w:val="FF0000"/>
                <w:highlight w:val="yellow"/>
                <w:lang w:eastAsia="cs-CZ"/>
              </w:rPr>
            </w:pPr>
            <w:r w:rsidRPr="00470FD3">
              <w:rPr>
                <w:rFonts w:eastAsia="Times New Roman" w:cs="Times New Roman"/>
                <w:lang w:eastAsia="cs-CZ"/>
              </w:rPr>
              <w:t>0</w:t>
            </w:r>
          </w:p>
        </w:tc>
        <w:tc>
          <w:tcPr>
            <w:tcW w:w="997" w:type="dxa"/>
            <w:shd w:val="clear" w:color="auto" w:fill="auto"/>
            <w:vAlign w:val="center"/>
          </w:tcPr>
          <w:p w14:paraId="4F164CC7" w14:textId="7B592DA8"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x</w:t>
            </w:r>
          </w:p>
        </w:tc>
      </w:tr>
      <w:tr w:rsidR="00A76A47" w:rsidRPr="00D070B8" w14:paraId="2DE5A260" w14:textId="77777777" w:rsidTr="000817C4">
        <w:tc>
          <w:tcPr>
            <w:tcW w:w="4140" w:type="dxa"/>
            <w:shd w:val="clear" w:color="auto" w:fill="auto"/>
          </w:tcPr>
          <w:p w14:paraId="0FC108A9" w14:textId="1D31E26E" w:rsidR="00A76A47" w:rsidRPr="00A76A47" w:rsidRDefault="00A76A47" w:rsidP="00A76A47">
            <w:pPr>
              <w:rPr>
                <w:rFonts w:eastAsia="Times New Roman" w:cs="Times New Roman"/>
                <w:b/>
                <w:color w:val="000000" w:themeColor="text1"/>
                <w:lang w:eastAsia="cs-CZ"/>
              </w:rPr>
            </w:pPr>
            <w:r w:rsidRPr="00A76A47">
              <w:rPr>
                <w:rFonts w:eastAsia="Times New Roman" w:cs="Times New Roman"/>
                <w:b/>
                <w:color w:val="000000" w:themeColor="text1"/>
                <w:lang w:eastAsia="cs-CZ"/>
              </w:rPr>
              <w:t xml:space="preserve">Cizí příspěvkové organizace </w:t>
            </w:r>
            <w:r w:rsidRPr="00A76A47">
              <w:rPr>
                <w:rFonts w:eastAsia="Times New Roman" w:cs="Times New Roman"/>
                <w:color w:val="000000" w:themeColor="text1"/>
                <w:lang w:eastAsia="cs-CZ"/>
              </w:rPr>
              <w:t>z toho:</w:t>
            </w:r>
          </w:p>
        </w:tc>
        <w:tc>
          <w:tcPr>
            <w:tcW w:w="1361" w:type="dxa"/>
            <w:shd w:val="clear" w:color="auto" w:fill="auto"/>
            <w:vAlign w:val="center"/>
          </w:tcPr>
          <w:p w14:paraId="7B75E6B3" w14:textId="63FF47A1" w:rsidR="00A76A47" w:rsidRPr="00A76A47" w:rsidRDefault="00A76A47" w:rsidP="00A76A47">
            <w:pPr>
              <w:jc w:val="right"/>
              <w:rPr>
                <w:rFonts w:eastAsia="Times New Roman" w:cs="Times New Roman"/>
                <w:b/>
                <w:color w:val="FF0000"/>
                <w:lang w:eastAsia="cs-CZ"/>
              </w:rPr>
            </w:pPr>
            <w:r w:rsidRPr="00A76A47">
              <w:rPr>
                <w:rFonts w:eastAsia="Times New Roman" w:cs="Times New Roman"/>
                <w:b/>
                <w:lang w:eastAsia="cs-CZ"/>
              </w:rPr>
              <w:t>0</w:t>
            </w:r>
          </w:p>
        </w:tc>
        <w:tc>
          <w:tcPr>
            <w:tcW w:w="1260" w:type="dxa"/>
            <w:shd w:val="clear" w:color="auto" w:fill="auto"/>
            <w:vAlign w:val="center"/>
          </w:tcPr>
          <w:p w14:paraId="752060C7" w14:textId="6BA5B4D8" w:rsidR="00A76A47" w:rsidRPr="00D070B8" w:rsidRDefault="00A76A47" w:rsidP="00A76A47">
            <w:pPr>
              <w:jc w:val="right"/>
              <w:rPr>
                <w:rFonts w:eastAsia="Times New Roman" w:cs="Times New Roman"/>
                <w:b/>
                <w:color w:val="FF0000"/>
                <w:highlight w:val="yellow"/>
                <w:lang w:eastAsia="cs-CZ"/>
              </w:rPr>
            </w:pPr>
            <w:r>
              <w:rPr>
                <w:rFonts w:eastAsia="Times New Roman" w:cs="Times New Roman"/>
                <w:b/>
                <w:lang w:eastAsia="cs-CZ"/>
              </w:rPr>
              <w:t>1 875</w:t>
            </w:r>
          </w:p>
        </w:tc>
        <w:tc>
          <w:tcPr>
            <w:tcW w:w="1304" w:type="dxa"/>
            <w:shd w:val="clear" w:color="auto" w:fill="auto"/>
            <w:vAlign w:val="center"/>
          </w:tcPr>
          <w:p w14:paraId="762DA6F4" w14:textId="5C71BF5E" w:rsidR="00A76A47" w:rsidRPr="00D070B8" w:rsidRDefault="00A76A47" w:rsidP="00A76A47">
            <w:pPr>
              <w:jc w:val="right"/>
              <w:rPr>
                <w:rFonts w:eastAsia="Times New Roman" w:cs="Times New Roman"/>
                <w:b/>
                <w:color w:val="FF0000"/>
                <w:highlight w:val="yellow"/>
                <w:lang w:eastAsia="cs-CZ"/>
              </w:rPr>
            </w:pPr>
            <w:r>
              <w:rPr>
                <w:rFonts w:eastAsia="Times New Roman" w:cs="Times New Roman"/>
                <w:b/>
                <w:lang w:eastAsia="cs-CZ"/>
              </w:rPr>
              <w:t>0</w:t>
            </w:r>
          </w:p>
        </w:tc>
        <w:tc>
          <w:tcPr>
            <w:tcW w:w="997" w:type="dxa"/>
            <w:shd w:val="clear" w:color="auto" w:fill="auto"/>
            <w:vAlign w:val="center"/>
          </w:tcPr>
          <w:p w14:paraId="506AD7CD" w14:textId="3C9D3354" w:rsidR="00A76A47" w:rsidRPr="00D070B8" w:rsidRDefault="00A76A47" w:rsidP="00A76A47">
            <w:pPr>
              <w:jc w:val="right"/>
              <w:rPr>
                <w:rFonts w:eastAsia="Times New Roman" w:cs="Times New Roman"/>
                <w:b/>
                <w:color w:val="FF0000"/>
                <w:highlight w:val="yellow"/>
                <w:lang w:eastAsia="cs-CZ"/>
              </w:rPr>
            </w:pPr>
            <w:r>
              <w:rPr>
                <w:rFonts w:eastAsia="Times New Roman" w:cs="Times New Roman"/>
                <w:b/>
                <w:lang w:eastAsia="cs-CZ"/>
              </w:rPr>
              <w:t>0,00</w:t>
            </w:r>
          </w:p>
        </w:tc>
      </w:tr>
      <w:tr w:rsidR="00A76A47" w:rsidRPr="00D070B8" w14:paraId="6BAF62F9" w14:textId="77777777" w:rsidTr="000817C4">
        <w:tc>
          <w:tcPr>
            <w:tcW w:w="4140" w:type="dxa"/>
            <w:shd w:val="clear" w:color="auto" w:fill="auto"/>
          </w:tcPr>
          <w:p w14:paraId="27527632" w14:textId="7F990F7A" w:rsidR="00A76A47" w:rsidRPr="00A76A47" w:rsidRDefault="00A76A47" w:rsidP="00A76A47">
            <w:pPr>
              <w:rPr>
                <w:rFonts w:eastAsia="Times New Roman" w:cs="Times New Roman"/>
                <w:color w:val="000000" w:themeColor="text1"/>
                <w:lang w:eastAsia="cs-CZ"/>
              </w:rPr>
            </w:pPr>
            <w:r w:rsidRPr="00A76A47">
              <w:t xml:space="preserve">EU SST Partnership – hvězdárna a planetárium Teplice </w:t>
            </w:r>
          </w:p>
        </w:tc>
        <w:tc>
          <w:tcPr>
            <w:tcW w:w="1361" w:type="dxa"/>
            <w:shd w:val="clear" w:color="auto" w:fill="auto"/>
            <w:vAlign w:val="center"/>
          </w:tcPr>
          <w:p w14:paraId="218D3542" w14:textId="0322C76E" w:rsidR="00A76A47" w:rsidRPr="00A76A47" w:rsidRDefault="00A76A47" w:rsidP="00A76A47">
            <w:pPr>
              <w:jc w:val="right"/>
              <w:rPr>
                <w:rFonts w:eastAsia="Times New Roman" w:cs="Times New Roman"/>
                <w:color w:val="FF0000"/>
                <w:lang w:eastAsia="cs-CZ"/>
              </w:rPr>
            </w:pPr>
            <w:r w:rsidRPr="00A76A47">
              <w:rPr>
                <w:rFonts w:eastAsia="Times New Roman" w:cs="Times New Roman"/>
                <w:lang w:eastAsia="cs-CZ"/>
              </w:rPr>
              <w:t>0</w:t>
            </w:r>
          </w:p>
        </w:tc>
        <w:tc>
          <w:tcPr>
            <w:tcW w:w="1260" w:type="dxa"/>
            <w:shd w:val="clear" w:color="auto" w:fill="auto"/>
            <w:vAlign w:val="center"/>
          </w:tcPr>
          <w:p w14:paraId="4140D754" w14:textId="66F36076" w:rsidR="00A76A47" w:rsidRPr="00D070B8" w:rsidRDefault="00A76A47" w:rsidP="00A76A47">
            <w:pPr>
              <w:jc w:val="right"/>
              <w:rPr>
                <w:rFonts w:eastAsia="Times New Roman" w:cs="Times New Roman"/>
                <w:color w:val="FF0000"/>
                <w:highlight w:val="yellow"/>
                <w:lang w:eastAsia="cs-CZ"/>
              </w:rPr>
            </w:pPr>
            <w:r w:rsidRPr="00E26F91">
              <w:rPr>
                <w:rFonts w:eastAsia="Times New Roman" w:cs="Times New Roman"/>
                <w:color w:val="000000" w:themeColor="text1"/>
                <w:lang w:eastAsia="cs-CZ"/>
              </w:rPr>
              <w:t>1 875</w:t>
            </w:r>
          </w:p>
        </w:tc>
        <w:tc>
          <w:tcPr>
            <w:tcW w:w="1304" w:type="dxa"/>
            <w:shd w:val="clear" w:color="auto" w:fill="auto"/>
            <w:vAlign w:val="center"/>
          </w:tcPr>
          <w:p w14:paraId="6F918DC0" w14:textId="24736ABE" w:rsidR="00A76A47" w:rsidRPr="00D070B8" w:rsidRDefault="00A76A47" w:rsidP="00A76A47">
            <w:pPr>
              <w:jc w:val="right"/>
              <w:rPr>
                <w:rFonts w:eastAsia="Times New Roman" w:cs="Times New Roman"/>
                <w:color w:val="FF0000"/>
                <w:highlight w:val="yellow"/>
                <w:lang w:eastAsia="cs-CZ"/>
              </w:rPr>
            </w:pPr>
            <w:r>
              <w:rPr>
                <w:rFonts w:eastAsia="Times New Roman" w:cs="Times New Roman"/>
                <w:color w:val="000000" w:themeColor="text1"/>
                <w:lang w:eastAsia="cs-CZ"/>
              </w:rPr>
              <w:t>0</w:t>
            </w:r>
          </w:p>
        </w:tc>
        <w:tc>
          <w:tcPr>
            <w:tcW w:w="997" w:type="dxa"/>
            <w:shd w:val="clear" w:color="auto" w:fill="auto"/>
            <w:vAlign w:val="center"/>
          </w:tcPr>
          <w:p w14:paraId="3DF7EF98" w14:textId="7C75B4E9"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0,00</w:t>
            </w:r>
          </w:p>
        </w:tc>
      </w:tr>
      <w:tr w:rsidR="00A76A47" w:rsidRPr="00D070B8" w14:paraId="313A950B" w14:textId="77777777" w:rsidTr="000817C4">
        <w:tc>
          <w:tcPr>
            <w:tcW w:w="4140" w:type="dxa"/>
            <w:shd w:val="clear" w:color="auto" w:fill="auto"/>
          </w:tcPr>
          <w:p w14:paraId="48B1664B" w14:textId="2340E388" w:rsidR="00A76A47" w:rsidRPr="00A76A47" w:rsidRDefault="00A76A47" w:rsidP="00A76A47">
            <w:pPr>
              <w:rPr>
                <w:rFonts w:eastAsia="Times New Roman" w:cs="Times New Roman"/>
                <w:color w:val="000000" w:themeColor="text1"/>
                <w:lang w:eastAsia="cs-CZ"/>
              </w:rPr>
            </w:pPr>
            <w:r w:rsidRPr="00A76A47">
              <w:t>z toho: výdaje na progr</w:t>
            </w:r>
            <w:r w:rsidR="00A605CD">
              <w:t>.</w:t>
            </w:r>
            <w:r w:rsidRPr="00A76A47">
              <w:t xml:space="preserve"> spolufin. z rozpočtu EU</w:t>
            </w:r>
          </w:p>
        </w:tc>
        <w:tc>
          <w:tcPr>
            <w:tcW w:w="1361" w:type="dxa"/>
            <w:shd w:val="clear" w:color="auto" w:fill="auto"/>
            <w:vAlign w:val="center"/>
          </w:tcPr>
          <w:p w14:paraId="58AE3498" w14:textId="090709AC" w:rsidR="00A76A47" w:rsidRPr="00A76A47" w:rsidRDefault="00A76A47" w:rsidP="00A76A47">
            <w:pPr>
              <w:jc w:val="right"/>
              <w:rPr>
                <w:rFonts w:eastAsia="Times New Roman" w:cs="Times New Roman"/>
                <w:lang w:eastAsia="cs-CZ"/>
              </w:rPr>
            </w:pPr>
            <w:r w:rsidRPr="00A76A47">
              <w:rPr>
                <w:rFonts w:eastAsia="Times New Roman" w:cs="Times New Roman"/>
                <w:lang w:eastAsia="cs-CZ"/>
              </w:rPr>
              <w:t>0</w:t>
            </w:r>
          </w:p>
        </w:tc>
        <w:tc>
          <w:tcPr>
            <w:tcW w:w="1260" w:type="dxa"/>
            <w:shd w:val="clear" w:color="auto" w:fill="auto"/>
            <w:vAlign w:val="center"/>
          </w:tcPr>
          <w:p w14:paraId="2E2493E5" w14:textId="2D5104D9" w:rsidR="00A76A47" w:rsidRPr="00D070B8" w:rsidRDefault="00A76A47" w:rsidP="00A76A47">
            <w:pPr>
              <w:jc w:val="right"/>
              <w:rPr>
                <w:rFonts w:eastAsia="Times New Roman" w:cs="Times New Roman"/>
                <w:highlight w:val="yellow"/>
                <w:lang w:eastAsia="cs-CZ"/>
              </w:rPr>
            </w:pPr>
            <w:r w:rsidRPr="00E26F91">
              <w:rPr>
                <w:rFonts w:eastAsia="Times New Roman" w:cs="Times New Roman"/>
                <w:color w:val="000000" w:themeColor="text1"/>
                <w:lang w:eastAsia="cs-CZ"/>
              </w:rPr>
              <w:t>1 875</w:t>
            </w:r>
          </w:p>
        </w:tc>
        <w:tc>
          <w:tcPr>
            <w:tcW w:w="1304" w:type="dxa"/>
            <w:shd w:val="clear" w:color="auto" w:fill="auto"/>
            <w:vAlign w:val="center"/>
          </w:tcPr>
          <w:p w14:paraId="4C4A8884" w14:textId="13490EA6"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0</w:t>
            </w:r>
            <w:r w:rsidRPr="00470FD3">
              <w:rPr>
                <w:rFonts w:eastAsia="Times New Roman" w:cs="Times New Roman"/>
                <w:lang w:eastAsia="cs-CZ"/>
              </w:rPr>
              <w:t xml:space="preserve"> </w:t>
            </w:r>
          </w:p>
        </w:tc>
        <w:tc>
          <w:tcPr>
            <w:tcW w:w="997" w:type="dxa"/>
            <w:shd w:val="clear" w:color="auto" w:fill="auto"/>
            <w:vAlign w:val="center"/>
          </w:tcPr>
          <w:p w14:paraId="6263FF00" w14:textId="69683F99"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0,00</w:t>
            </w:r>
          </w:p>
        </w:tc>
      </w:tr>
      <w:tr w:rsidR="00A76A47" w:rsidRPr="00D070B8" w14:paraId="561857FE" w14:textId="77777777" w:rsidTr="000817C4">
        <w:tc>
          <w:tcPr>
            <w:tcW w:w="4140" w:type="dxa"/>
            <w:shd w:val="clear" w:color="auto" w:fill="auto"/>
          </w:tcPr>
          <w:p w14:paraId="567C1986" w14:textId="23EEBC1F" w:rsidR="00A76A47" w:rsidRPr="00A76A47" w:rsidRDefault="00A76A47" w:rsidP="00A76A47">
            <w:pPr>
              <w:rPr>
                <w:rFonts w:eastAsia="Times New Roman" w:cs="Times New Roman"/>
                <w:color w:val="000000" w:themeColor="text1"/>
                <w:lang w:eastAsia="cs-CZ"/>
              </w:rPr>
            </w:pPr>
            <w:r w:rsidRPr="00A76A47">
              <w:t>v tom: ze SR</w:t>
            </w:r>
          </w:p>
        </w:tc>
        <w:tc>
          <w:tcPr>
            <w:tcW w:w="1361" w:type="dxa"/>
            <w:shd w:val="clear" w:color="auto" w:fill="auto"/>
            <w:vAlign w:val="center"/>
          </w:tcPr>
          <w:p w14:paraId="71EC010B" w14:textId="678A666C" w:rsidR="00A76A47" w:rsidRPr="00A76A47" w:rsidRDefault="00A76A47" w:rsidP="00A76A47">
            <w:pPr>
              <w:jc w:val="right"/>
              <w:rPr>
                <w:rFonts w:eastAsia="Times New Roman" w:cs="Times New Roman"/>
                <w:lang w:eastAsia="cs-CZ"/>
              </w:rPr>
            </w:pPr>
            <w:r w:rsidRPr="00A76A47">
              <w:rPr>
                <w:rFonts w:eastAsia="Times New Roman" w:cs="Times New Roman"/>
                <w:lang w:eastAsia="cs-CZ"/>
              </w:rPr>
              <w:t>0</w:t>
            </w:r>
          </w:p>
        </w:tc>
        <w:tc>
          <w:tcPr>
            <w:tcW w:w="1260" w:type="dxa"/>
            <w:shd w:val="clear" w:color="auto" w:fill="auto"/>
            <w:vAlign w:val="center"/>
          </w:tcPr>
          <w:p w14:paraId="05F0FB43" w14:textId="59232BF7" w:rsidR="00A76A47" w:rsidRPr="00D070B8" w:rsidRDefault="00A76A47" w:rsidP="00A76A47">
            <w:pPr>
              <w:jc w:val="right"/>
              <w:rPr>
                <w:rFonts w:eastAsia="Times New Roman" w:cs="Times New Roman"/>
                <w:highlight w:val="yellow"/>
                <w:lang w:eastAsia="cs-CZ"/>
              </w:rPr>
            </w:pPr>
            <w:r>
              <w:rPr>
                <w:rFonts w:eastAsia="Times New Roman" w:cs="Times New Roman"/>
                <w:lang w:eastAsia="cs-CZ"/>
              </w:rPr>
              <w:t>0</w:t>
            </w:r>
          </w:p>
        </w:tc>
        <w:tc>
          <w:tcPr>
            <w:tcW w:w="1304" w:type="dxa"/>
            <w:shd w:val="clear" w:color="auto" w:fill="auto"/>
            <w:vAlign w:val="center"/>
          </w:tcPr>
          <w:p w14:paraId="08E3DAFD" w14:textId="6F8B8F1E"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0</w:t>
            </w:r>
          </w:p>
        </w:tc>
        <w:tc>
          <w:tcPr>
            <w:tcW w:w="997" w:type="dxa"/>
            <w:shd w:val="clear" w:color="auto" w:fill="auto"/>
            <w:vAlign w:val="center"/>
          </w:tcPr>
          <w:p w14:paraId="2854BE61" w14:textId="544D0525"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x</w:t>
            </w:r>
          </w:p>
        </w:tc>
      </w:tr>
      <w:tr w:rsidR="00A76A47" w:rsidRPr="00D070B8" w14:paraId="10A7D835" w14:textId="77777777" w:rsidTr="000817C4">
        <w:tc>
          <w:tcPr>
            <w:tcW w:w="4140" w:type="dxa"/>
            <w:shd w:val="clear" w:color="auto" w:fill="auto"/>
          </w:tcPr>
          <w:p w14:paraId="2DCE74EE" w14:textId="7AFE7814" w:rsidR="00A76A47" w:rsidRPr="00A76A47" w:rsidRDefault="00A76A47" w:rsidP="00A76A47">
            <w:pPr>
              <w:rPr>
                <w:rFonts w:eastAsia="Times New Roman" w:cs="Times New Roman"/>
                <w:color w:val="000000" w:themeColor="text1"/>
                <w:lang w:eastAsia="cs-CZ"/>
              </w:rPr>
            </w:pPr>
            <w:r w:rsidRPr="00A76A47">
              <w:lastRenderedPageBreak/>
              <w:tab/>
              <w:t>z rozpočtu EU</w:t>
            </w:r>
          </w:p>
        </w:tc>
        <w:tc>
          <w:tcPr>
            <w:tcW w:w="1361" w:type="dxa"/>
            <w:shd w:val="clear" w:color="auto" w:fill="auto"/>
            <w:vAlign w:val="center"/>
          </w:tcPr>
          <w:p w14:paraId="64689557" w14:textId="741F17A0" w:rsidR="00A76A47" w:rsidRPr="00A76A47" w:rsidRDefault="00A76A47" w:rsidP="00A76A47">
            <w:pPr>
              <w:jc w:val="right"/>
              <w:rPr>
                <w:rFonts w:eastAsia="Times New Roman" w:cs="Times New Roman"/>
                <w:lang w:eastAsia="cs-CZ"/>
              </w:rPr>
            </w:pPr>
            <w:r w:rsidRPr="00A76A47">
              <w:rPr>
                <w:rFonts w:eastAsia="Times New Roman" w:cs="Times New Roman"/>
                <w:lang w:eastAsia="cs-CZ"/>
              </w:rPr>
              <w:t>0</w:t>
            </w:r>
          </w:p>
        </w:tc>
        <w:tc>
          <w:tcPr>
            <w:tcW w:w="1260" w:type="dxa"/>
            <w:shd w:val="clear" w:color="auto" w:fill="auto"/>
            <w:vAlign w:val="center"/>
          </w:tcPr>
          <w:p w14:paraId="1B36245E" w14:textId="3EF6DE9B" w:rsidR="00A76A47" w:rsidRPr="00D070B8" w:rsidRDefault="00A76A47" w:rsidP="00A76A47">
            <w:pPr>
              <w:jc w:val="right"/>
              <w:rPr>
                <w:rFonts w:eastAsia="Times New Roman" w:cs="Times New Roman"/>
                <w:highlight w:val="yellow"/>
                <w:lang w:eastAsia="cs-CZ"/>
              </w:rPr>
            </w:pPr>
            <w:r w:rsidRPr="00E26F91">
              <w:rPr>
                <w:rFonts w:eastAsia="Times New Roman" w:cs="Times New Roman"/>
                <w:color w:val="000000" w:themeColor="text1"/>
                <w:lang w:eastAsia="cs-CZ"/>
              </w:rPr>
              <w:t>1 875</w:t>
            </w:r>
          </w:p>
        </w:tc>
        <w:tc>
          <w:tcPr>
            <w:tcW w:w="1304" w:type="dxa"/>
            <w:shd w:val="clear" w:color="auto" w:fill="auto"/>
            <w:vAlign w:val="center"/>
          </w:tcPr>
          <w:p w14:paraId="071DE3FF" w14:textId="22A15ADB"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0</w:t>
            </w:r>
          </w:p>
        </w:tc>
        <w:tc>
          <w:tcPr>
            <w:tcW w:w="997" w:type="dxa"/>
            <w:shd w:val="clear" w:color="auto" w:fill="auto"/>
            <w:vAlign w:val="center"/>
          </w:tcPr>
          <w:p w14:paraId="20C069CE" w14:textId="6EB3480F" w:rsidR="00A76A47" w:rsidRPr="00D070B8" w:rsidRDefault="00A76A47" w:rsidP="00A76A47">
            <w:pPr>
              <w:jc w:val="right"/>
              <w:rPr>
                <w:rFonts w:eastAsia="Times New Roman" w:cs="Times New Roman"/>
                <w:color w:val="FF0000"/>
                <w:highlight w:val="yellow"/>
                <w:lang w:eastAsia="cs-CZ"/>
              </w:rPr>
            </w:pPr>
            <w:r>
              <w:rPr>
                <w:rFonts w:eastAsia="Times New Roman" w:cs="Times New Roman"/>
                <w:lang w:eastAsia="cs-CZ"/>
              </w:rPr>
              <w:t>0,00</w:t>
            </w:r>
          </w:p>
        </w:tc>
      </w:tr>
    </w:tbl>
    <w:p w14:paraId="78C2BCA4" w14:textId="679024BA" w:rsidR="00F52116" w:rsidRPr="00410D3A" w:rsidRDefault="00F52116" w:rsidP="00F52116">
      <w:pPr>
        <w:pStyle w:val="Styl1"/>
      </w:pPr>
      <w:r w:rsidRPr="00410D3A">
        <w:t>Na rok 202</w:t>
      </w:r>
      <w:r w:rsidR="00410D3A" w:rsidRPr="00410D3A">
        <w:t>5</w:t>
      </w:r>
      <w:r w:rsidRPr="00410D3A">
        <w:t xml:space="preserve"> je pro veřejnou výzkumnou instituci Centrum dopravního výzkumu navržen neinvestiční transfer ve výši </w:t>
      </w:r>
      <w:r w:rsidR="00410D3A" w:rsidRPr="00410D3A">
        <w:t xml:space="preserve">81 412 </w:t>
      </w:r>
      <w:r w:rsidRPr="00410D3A">
        <w:t xml:space="preserve">tis. Kč na realizaci projektů v oblasti výzkumu a vývoje </w:t>
      </w:r>
      <w:r w:rsidRPr="00410D3A">
        <w:br/>
        <w:t xml:space="preserve">– institucionální podpora. Institucionální neinvestiční prostředky jsou určeny na podporu rozvoje nových vědeckovýzkumných činností nebo jejich rozšíření. Dále budou prostředky použity zejména na spolufinancování VaVaI projektů, na rozvojové aktivity a sběr dat. </w:t>
      </w:r>
    </w:p>
    <w:p w14:paraId="61CBE33A" w14:textId="182BF75B" w:rsidR="00F52116" w:rsidRPr="00D070B8" w:rsidRDefault="00410D3A" w:rsidP="00F52116">
      <w:pPr>
        <w:pStyle w:val="Styl1"/>
        <w:rPr>
          <w:color w:val="FF0000"/>
          <w:highlight w:val="yellow"/>
        </w:rPr>
      </w:pPr>
      <w:r w:rsidRPr="00470FD3">
        <w:t>V porovnání s rokem 202</w:t>
      </w:r>
      <w:r>
        <w:t>4</w:t>
      </w:r>
      <w:r w:rsidRPr="00470FD3">
        <w:t xml:space="preserve"> došlo ke </w:t>
      </w:r>
      <w:r>
        <w:t>zvýšení</w:t>
      </w:r>
      <w:r w:rsidRPr="00470FD3">
        <w:t xml:space="preserve"> neinvestičních prostředků pro Centrum dopravního výzkumu v rámci výzkumu a vývoje o </w:t>
      </w:r>
      <w:r>
        <w:t>23 986</w:t>
      </w:r>
      <w:r w:rsidRPr="00470FD3">
        <w:t xml:space="preserve"> tis. Kč</w:t>
      </w:r>
      <w:r>
        <w:t>. Navýšení je provedeno na vrub investičních prostředků pro Centrum dopravního výzkumu</w:t>
      </w:r>
      <w:r w:rsidR="00F52116" w:rsidRPr="00410D3A">
        <w:t>.</w:t>
      </w:r>
      <w:r w:rsidR="00F52116" w:rsidRPr="00D070B8">
        <w:rPr>
          <w:highlight w:val="yellow"/>
        </w:rPr>
        <w:t xml:space="preserve"> </w:t>
      </w:r>
    </w:p>
    <w:p w14:paraId="65D90774" w14:textId="6AAC1B9E" w:rsidR="00F52116" w:rsidRPr="00A605CD" w:rsidRDefault="00F52116" w:rsidP="00F52116">
      <w:pPr>
        <w:pStyle w:val="Styl1"/>
      </w:pPr>
      <w:r w:rsidRPr="00A605CD">
        <w:t>Pro rok 202</w:t>
      </w:r>
      <w:r w:rsidR="00A605CD" w:rsidRPr="00A605CD">
        <w:t>5</w:t>
      </w:r>
      <w:r w:rsidRPr="00A605CD">
        <w:t xml:space="preserve"> jsou v rámci neinvestičních transferů veřejným výzkumným institucím navrženy pro Centrum dopravního výzkumu také výdaje na další činnost podle § 22 odst. 2 písm. e) zákona 341/2005 Sb., o veřejných výzkumných institucích, ve znění pozdějších předpisů. Prostředky budou formou neinvestiční dotace použity na podporu rozvoje činnosti CDV, a to ve výši 45 000 tis. Kč. Prostředky nespadají do oblasti průřezových ukazatelů </w:t>
      </w:r>
      <w:r w:rsidRPr="00A605CD">
        <w:br/>
        <w:t xml:space="preserve">na výzkum, vývoj a inovace (VaVaI). Finanční prostředky jsou navrženy </w:t>
      </w:r>
      <w:r w:rsidR="00A605CD" w:rsidRPr="00A605CD">
        <w:t>ve stejné výši jako v roce 2024</w:t>
      </w:r>
      <w:r w:rsidRPr="00A605CD">
        <w:t xml:space="preserve">.  </w:t>
      </w:r>
    </w:p>
    <w:p w14:paraId="6CC8EFB9" w14:textId="2D041CB7" w:rsidR="00804AEF" w:rsidRPr="00D070B8" w:rsidRDefault="00804AEF" w:rsidP="008C2FA3">
      <w:pPr>
        <w:pStyle w:val="Styl1"/>
        <w:rPr>
          <w:color w:val="000000" w:themeColor="text1"/>
          <w:highlight w:val="yellow"/>
        </w:rPr>
      </w:pPr>
      <w:r w:rsidRPr="00A605CD">
        <w:rPr>
          <w:color w:val="000000" w:themeColor="text1"/>
        </w:rPr>
        <w:t xml:space="preserve">Finanční prostředky pro vysoké školy nejsou pro rok </w:t>
      </w:r>
      <w:r w:rsidR="00F52116" w:rsidRPr="00A605CD">
        <w:rPr>
          <w:color w:val="000000" w:themeColor="text1"/>
        </w:rPr>
        <w:t>202</w:t>
      </w:r>
      <w:r w:rsidR="00A605CD" w:rsidRPr="00A605CD">
        <w:rPr>
          <w:color w:val="000000" w:themeColor="text1"/>
        </w:rPr>
        <w:t>5</w:t>
      </w:r>
      <w:r w:rsidR="00F52116" w:rsidRPr="00A605CD">
        <w:rPr>
          <w:color w:val="000000" w:themeColor="text1"/>
        </w:rPr>
        <w:t xml:space="preserve"> </w:t>
      </w:r>
      <w:r w:rsidRPr="00A605CD">
        <w:rPr>
          <w:color w:val="000000" w:themeColor="text1"/>
        </w:rPr>
        <w:t>rozpočtovány.</w:t>
      </w:r>
    </w:p>
    <w:p w14:paraId="4AA02944" w14:textId="77777777" w:rsidR="00F52116" w:rsidRPr="00490EC2" w:rsidRDefault="00F52116" w:rsidP="00F52116">
      <w:pPr>
        <w:pStyle w:val="Styl1"/>
        <w:rPr>
          <w:b/>
          <w:color w:val="000000" w:themeColor="text1"/>
          <w:u w:val="single"/>
        </w:rPr>
      </w:pPr>
      <w:r w:rsidRPr="00490EC2">
        <w:rPr>
          <w:b/>
          <w:color w:val="000000" w:themeColor="text1"/>
          <w:u w:val="single"/>
        </w:rPr>
        <w:t xml:space="preserve">Neinvestiční příspěvky cizím příspěvkovým organizacím </w:t>
      </w:r>
    </w:p>
    <w:p w14:paraId="0401787E" w14:textId="57CC9097" w:rsidR="00F52116" w:rsidRPr="00D070B8" w:rsidRDefault="00490EC2" w:rsidP="008C2FA3">
      <w:pPr>
        <w:pStyle w:val="Styl1"/>
        <w:rPr>
          <w:color w:val="000000" w:themeColor="text1"/>
          <w:highlight w:val="yellow"/>
        </w:rPr>
      </w:pPr>
      <w:r w:rsidRPr="00CF417D">
        <w:rPr>
          <w:color w:val="000000" w:themeColor="text1"/>
        </w:rPr>
        <w:t xml:space="preserve">Finanční prostředky pro </w:t>
      </w:r>
      <w:r>
        <w:rPr>
          <w:color w:val="000000" w:themeColor="text1"/>
        </w:rPr>
        <w:t>cizí příspěvkové organizace</w:t>
      </w:r>
      <w:r w:rsidRPr="00CF417D">
        <w:rPr>
          <w:color w:val="000000" w:themeColor="text1"/>
        </w:rPr>
        <w:t xml:space="preserve"> nejsou pro rok 202</w:t>
      </w:r>
      <w:r>
        <w:rPr>
          <w:color w:val="000000" w:themeColor="text1"/>
        </w:rPr>
        <w:t>5</w:t>
      </w:r>
      <w:r w:rsidRPr="00CF417D">
        <w:rPr>
          <w:color w:val="000000" w:themeColor="text1"/>
        </w:rPr>
        <w:t xml:space="preserve"> rozpočtovány.</w:t>
      </w:r>
    </w:p>
    <w:p w14:paraId="6CD5F91A" w14:textId="77777777" w:rsidR="00886FD2" w:rsidRPr="0094235A" w:rsidRDefault="00886FD2" w:rsidP="00886FD2">
      <w:pPr>
        <w:pStyle w:val="Nadpis3"/>
        <w:spacing w:before="360" w:after="240"/>
      </w:pPr>
      <w:bookmarkStart w:id="174" w:name="_Toc179964098"/>
      <w:r w:rsidRPr="0094235A">
        <w:t>Neinvestiční transfery podnikatelským subjektům</w:t>
      </w:r>
      <w:bookmarkEnd w:id="174"/>
      <w:r w:rsidRPr="0094235A">
        <w:t xml:space="preserve"> </w:t>
      </w:r>
    </w:p>
    <w:p w14:paraId="67C240DF" w14:textId="507C11FC" w:rsidR="00F23ED8" w:rsidRPr="0094235A" w:rsidRDefault="00F23ED8" w:rsidP="00F23ED8">
      <w:pPr>
        <w:pStyle w:val="Titulek"/>
        <w:rPr>
          <w:noProof/>
        </w:rPr>
      </w:pPr>
      <w:bookmarkStart w:id="175" w:name="_Toc489274102"/>
      <w:bookmarkStart w:id="176" w:name="_Toc368665064"/>
      <w:bookmarkEnd w:id="171"/>
      <w:r w:rsidRPr="0094235A">
        <w:t xml:space="preserve">Tabulka č. </w:t>
      </w:r>
      <w:r w:rsidR="00696CFC" w:rsidRPr="0094235A">
        <w:fldChar w:fldCharType="begin"/>
      </w:r>
      <w:r w:rsidR="00696CFC" w:rsidRPr="0094235A">
        <w:instrText xml:space="preserve"> SEQ Tabulka \* ARABIC </w:instrText>
      </w:r>
      <w:r w:rsidR="00696CFC" w:rsidRPr="0094235A">
        <w:fldChar w:fldCharType="separate"/>
      </w:r>
      <w:r w:rsidR="003B0B01" w:rsidRPr="0094235A">
        <w:rPr>
          <w:noProof/>
        </w:rPr>
        <w:t>25</w:t>
      </w:r>
      <w:r w:rsidR="00696CFC" w:rsidRPr="0094235A">
        <w:rPr>
          <w:noProof/>
        </w:rPr>
        <w:fldChar w:fldCharType="end"/>
      </w:r>
      <w:r w:rsidRPr="0094235A">
        <w:rPr>
          <w:noProof/>
        </w:rPr>
        <w:t xml:space="preserve"> Neinvestiční transfery podnikatelským subjektům (v tis. Kč)</w:t>
      </w:r>
    </w:p>
    <w:tbl>
      <w:tblPr>
        <w:tblStyle w:val="Svtltabulkasmkou1zvraznn5"/>
        <w:tblW w:w="5007"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58"/>
        <w:gridCol w:w="1303"/>
        <w:gridCol w:w="1186"/>
        <w:gridCol w:w="1135"/>
      </w:tblGrid>
      <w:tr w:rsidR="001D6F42" w:rsidRPr="0094235A" w14:paraId="7342A8B7" w14:textId="77777777" w:rsidTr="001D6F42">
        <w:tc>
          <w:tcPr>
            <w:tcW w:w="22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22EC0DF" w14:textId="77777777" w:rsidR="001D6F42" w:rsidRPr="0094235A" w:rsidRDefault="001D6F42" w:rsidP="001E02BC">
            <w:pPr>
              <w:jc w:val="center"/>
              <w:rPr>
                <w:rFonts w:eastAsia="Times New Roman" w:cs="Times New Roman"/>
                <w:b/>
                <w:color w:val="FF0000"/>
                <w:szCs w:val="24"/>
                <w:lang w:eastAsia="cs-CZ"/>
              </w:rPr>
            </w:pPr>
            <w:bookmarkStart w:id="177" w:name="_Toc368665063"/>
            <w:bookmarkStart w:id="178" w:name="_Toc463338097"/>
            <w:bookmarkStart w:id="179" w:name="_Toc15293392"/>
            <w:r w:rsidRPr="0094235A">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6AA1D22" w14:textId="7777777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Skutečnost</w:t>
            </w:r>
          </w:p>
          <w:p w14:paraId="472C470A" w14:textId="6E1F4522"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202</w:t>
            </w:r>
            <w:r w:rsidR="0094235A" w:rsidRPr="0094235A">
              <w:rPr>
                <w:rFonts w:eastAsia="Times New Roman" w:cs="Times New Roman"/>
                <w:b/>
                <w:szCs w:val="24"/>
                <w:lang w:eastAsia="cs-CZ"/>
              </w:rPr>
              <w:t>3</w:t>
            </w:r>
          </w:p>
        </w:tc>
        <w:tc>
          <w:tcPr>
            <w:tcW w:w="7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8AE327D" w14:textId="7777777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Schválený</w:t>
            </w:r>
          </w:p>
          <w:p w14:paraId="1DD38F73" w14:textId="7777777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rozpočet</w:t>
            </w:r>
          </w:p>
          <w:p w14:paraId="5832DE6E" w14:textId="2795006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202</w:t>
            </w:r>
            <w:r w:rsidR="0094235A" w:rsidRPr="0094235A">
              <w:rPr>
                <w:rFonts w:eastAsia="Times New Roman" w:cs="Times New Roman"/>
                <w:b/>
                <w:szCs w:val="24"/>
                <w:lang w:eastAsia="cs-CZ"/>
              </w:rPr>
              <w:t>4</w:t>
            </w:r>
          </w:p>
        </w:tc>
        <w:tc>
          <w:tcPr>
            <w:tcW w:w="6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8C0FE2" w14:textId="7777777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Návrh</w:t>
            </w:r>
          </w:p>
          <w:p w14:paraId="424A167C" w14:textId="7777777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rozpočtu</w:t>
            </w:r>
          </w:p>
          <w:p w14:paraId="2F4D7488" w14:textId="3B8C6205"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202</w:t>
            </w:r>
            <w:r w:rsidR="0094235A" w:rsidRPr="0094235A">
              <w:rPr>
                <w:rFonts w:eastAsia="Times New Roman" w:cs="Times New Roman"/>
                <w:b/>
                <w:szCs w:val="24"/>
                <w:lang w:eastAsia="cs-CZ"/>
              </w:rPr>
              <w:t>5</w:t>
            </w:r>
          </w:p>
        </w:tc>
        <w:tc>
          <w:tcPr>
            <w:tcW w:w="62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97C44F2" w14:textId="7777777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Index</w:t>
            </w:r>
          </w:p>
          <w:p w14:paraId="3F6DD2F4" w14:textId="17FC5997" w:rsidR="001D6F42" w:rsidRPr="0094235A" w:rsidRDefault="001D6F42" w:rsidP="001E02BC">
            <w:pPr>
              <w:jc w:val="center"/>
              <w:rPr>
                <w:rFonts w:eastAsia="Times New Roman" w:cs="Times New Roman"/>
                <w:b/>
                <w:szCs w:val="24"/>
                <w:lang w:eastAsia="cs-CZ"/>
              </w:rPr>
            </w:pPr>
            <w:r w:rsidRPr="0094235A">
              <w:rPr>
                <w:rFonts w:eastAsia="Times New Roman" w:cs="Times New Roman"/>
                <w:b/>
                <w:szCs w:val="24"/>
                <w:lang w:eastAsia="cs-CZ"/>
              </w:rPr>
              <w:t>202</w:t>
            </w:r>
            <w:r w:rsidR="0094235A" w:rsidRPr="0094235A">
              <w:rPr>
                <w:rFonts w:eastAsia="Times New Roman" w:cs="Times New Roman"/>
                <w:b/>
                <w:szCs w:val="24"/>
                <w:lang w:eastAsia="cs-CZ"/>
              </w:rPr>
              <w:t>5</w:t>
            </w:r>
            <w:r w:rsidRPr="0094235A">
              <w:rPr>
                <w:rFonts w:eastAsia="Times New Roman" w:cs="Times New Roman"/>
                <w:b/>
                <w:szCs w:val="24"/>
                <w:lang w:eastAsia="cs-CZ"/>
              </w:rPr>
              <w:t>/</w:t>
            </w:r>
            <w:r w:rsidRPr="0094235A">
              <w:rPr>
                <w:rFonts w:eastAsia="Times New Roman" w:cs="Times New Roman"/>
                <w:b/>
                <w:szCs w:val="24"/>
                <w:lang w:eastAsia="cs-CZ"/>
              </w:rPr>
              <w:br/>
              <w:t>202</w:t>
            </w:r>
            <w:r w:rsidR="0094235A" w:rsidRPr="0094235A">
              <w:rPr>
                <w:rFonts w:eastAsia="Times New Roman" w:cs="Times New Roman"/>
                <w:b/>
                <w:szCs w:val="24"/>
                <w:lang w:eastAsia="cs-CZ"/>
              </w:rPr>
              <w:t>4</w:t>
            </w:r>
            <w:r w:rsidRPr="0094235A">
              <w:rPr>
                <w:rFonts w:eastAsia="Times New Roman" w:cs="Times New Roman"/>
                <w:b/>
                <w:szCs w:val="24"/>
                <w:lang w:eastAsia="cs-CZ"/>
              </w:rPr>
              <w:t xml:space="preserve"> </w:t>
            </w:r>
            <w:r w:rsidRPr="0094235A">
              <w:rPr>
                <w:rFonts w:eastAsia="Times New Roman" w:cs="Times New Roman"/>
                <w:b/>
                <w:szCs w:val="24"/>
                <w:lang w:eastAsia="cs-CZ"/>
              </w:rPr>
              <w:br/>
              <w:t>(v %)</w:t>
            </w:r>
          </w:p>
        </w:tc>
      </w:tr>
      <w:tr w:rsidR="001D6F42" w:rsidRPr="0094235A" w14:paraId="763B0FAC" w14:textId="77777777" w:rsidTr="001D6F42">
        <w:tc>
          <w:tcPr>
            <w:tcW w:w="2252" w:type="pct"/>
            <w:tcBorders>
              <w:top w:val="single" w:sz="4" w:space="0" w:color="7F7F7F" w:themeColor="text1" w:themeTint="80"/>
              <w:bottom w:val="single" w:sz="8" w:space="0" w:color="7F7F7F" w:themeColor="text1" w:themeTint="80"/>
            </w:tcBorders>
            <w:shd w:val="clear" w:color="auto" w:fill="auto"/>
          </w:tcPr>
          <w:p w14:paraId="5F4F58A8" w14:textId="77777777" w:rsidR="001D6F42" w:rsidRPr="0094235A" w:rsidRDefault="001D6F42" w:rsidP="001E02BC">
            <w:pPr>
              <w:jc w:val="center"/>
              <w:rPr>
                <w:rFonts w:eastAsia="Times New Roman" w:cs="Times New Roman"/>
                <w:szCs w:val="24"/>
                <w:lang w:eastAsia="cs-CZ"/>
              </w:rPr>
            </w:pPr>
            <w:r w:rsidRPr="0094235A">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14:paraId="02091FB1" w14:textId="77777777" w:rsidR="001D6F42" w:rsidRPr="0094235A" w:rsidRDefault="001D6F42" w:rsidP="001E02BC">
            <w:pPr>
              <w:jc w:val="center"/>
              <w:rPr>
                <w:rFonts w:eastAsia="Times New Roman" w:cs="Times New Roman"/>
                <w:szCs w:val="24"/>
                <w:lang w:eastAsia="cs-CZ"/>
              </w:rPr>
            </w:pPr>
            <w:r w:rsidRPr="0094235A">
              <w:rPr>
                <w:rFonts w:eastAsia="Times New Roman" w:cs="Times New Roman"/>
                <w:szCs w:val="24"/>
                <w:lang w:eastAsia="cs-CZ"/>
              </w:rPr>
              <w:t>1</w:t>
            </w:r>
          </w:p>
        </w:tc>
        <w:tc>
          <w:tcPr>
            <w:tcW w:w="719" w:type="pct"/>
            <w:tcBorders>
              <w:top w:val="single" w:sz="4" w:space="0" w:color="7F7F7F" w:themeColor="text1" w:themeTint="80"/>
              <w:bottom w:val="single" w:sz="8" w:space="0" w:color="7F7F7F" w:themeColor="text1" w:themeTint="80"/>
            </w:tcBorders>
            <w:shd w:val="clear" w:color="auto" w:fill="auto"/>
          </w:tcPr>
          <w:p w14:paraId="33118A0A" w14:textId="77777777" w:rsidR="001D6F42" w:rsidRPr="0094235A" w:rsidRDefault="001D6F42" w:rsidP="001E02BC">
            <w:pPr>
              <w:jc w:val="center"/>
              <w:rPr>
                <w:rFonts w:eastAsia="Times New Roman" w:cs="Times New Roman"/>
                <w:szCs w:val="24"/>
                <w:lang w:eastAsia="cs-CZ"/>
              </w:rPr>
            </w:pPr>
            <w:r w:rsidRPr="0094235A">
              <w:rPr>
                <w:rFonts w:eastAsia="Times New Roman" w:cs="Times New Roman"/>
                <w:szCs w:val="24"/>
                <w:lang w:eastAsia="cs-CZ"/>
              </w:rPr>
              <w:t>2</w:t>
            </w:r>
          </w:p>
        </w:tc>
        <w:tc>
          <w:tcPr>
            <w:tcW w:w="654" w:type="pct"/>
            <w:tcBorders>
              <w:top w:val="single" w:sz="4" w:space="0" w:color="7F7F7F" w:themeColor="text1" w:themeTint="80"/>
              <w:bottom w:val="single" w:sz="8" w:space="0" w:color="7F7F7F" w:themeColor="text1" w:themeTint="80"/>
            </w:tcBorders>
            <w:shd w:val="clear" w:color="auto" w:fill="auto"/>
          </w:tcPr>
          <w:p w14:paraId="42E97914" w14:textId="77777777" w:rsidR="001D6F42" w:rsidRPr="0094235A" w:rsidRDefault="001D6F42" w:rsidP="001E02BC">
            <w:pPr>
              <w:jc w:val="center"/>
              <w:rPr>
                <w:rFonts w:eastAsia="Times New Roman" w:cs="Times New Roman"/>
                <w:szCs w:val="24"/>
                <w:lang w:eastAsia="cs-CZ"/>
              </w:rPr>
            </w:pPr>
            <w:r w:rsidRPr="0094235A">
              <w:rPr>
                <w:rFonts w:eastAsia="Times New Roman" w:cs="Times New Roman"/>
                <w:szCs w:val="24"/>
                <w:lang w:eastAsia="cs-CZ"/>
              </w:rPr>
              <w:t>3</w:t>
            </w:r>
          </w:p>
        </w:tc>
        <w:tc>
          <w:tcPr>
            <w:tcW w:w="626" w:type="pct"/>
            <w:tcBorders>
              <w:top w:val="single" w:sz="4" w:space="0" w:color="7F7F7F" w:themeColor="text1" w:themeTint="80"/>
              <w:bottom w:val="single" w:sz="8" w:space="0" w:color="7F7F7F" w:themeColor="text1" w:themeTint="80"/>
            </w:tcBorders>
            <w:shd w:val="clear" w:color="auto" w:fill="auto"/>
          </w:tcPr>
          <w:p w14:paraId="11D6BDC6" w14:textId="77777777" w:rsidR="001D6F42" w:rsidRPr="0094235A" w:rsidRDefault="001D6F42" w:rsidP="001E02BC">
            <w:pPr>
              <w:jc w:val="center"/>
              <w:rPr>
                <w:rFonts w:eastAsia="Times New Roman" w:cs="Times New Roman"/>
                <w:szCs w:val="24"/>
                <w:lang w:eastAsia="cs-CZ"/>
              </w:rPr>
            </w:pPr>
            <w:r w:rsidRPr="0094235A">
              <w:rPr>
                <w:rFonts w:eastAsia="Times New Roman" w:cs="Times New Roman"/>
                <w:szCs w:val="24"/>
                <w:lang w:eastAsia="cs-CZ"/>
              </w:rPr>
              <w:t>4</w:t>
            </w:r>
          </w:p>
        </w:tc>
      </w:tr>
      <w:tr w:rsidR="0094235A" w:rsidRPr="0094235A" w14:paraId="15F100C2" w14:textId="77777777" w:rsidTr="006D05B2">
        <w:trPr>
          <w:trHeight w:val="447"/>
        </w:trPr>
        <w:tc>
          <w:tcPr>
            <w:tcW w:w="2252" w:type="pct"/>
            <w:tcBorders>
              <w:top w:val="single" w:sz="8" w:space="0" w:color="7F7F7F" w:themeColor="text1" w:themeTint="80"/>
              <w:bottom w:val="single" w:sz="8" w:space="0" w:color="7F7F7F" w:themeColor="text1" w:themeTint="80"/>
            </w:tcBorders>
            <w:shd w:val="clear" w:color="auto" w:fill="auto"/>
            <w:vAlign w:val="center"/>
          </w:tcPr>
          <w:p w14:paraId="52D522E8" w14:textId="77777777" w:rsidR="0094235A" w:rsidRPr="0094235A" w:rsidRDefault="0094235A" w:rsidP="0094235A">
            <w:pPr>
              <w:jc w:val="left"/>
              <w:rPr>
                <w:rFonts w:eastAsia="Times New Roman" w:cs="Times New Roman"/>
                <w:b/>
                <w:bCs/>
                <w:iCs/>
                <w:lang w:eastAsia="cs-CZ"/>
              </w:rPr>
            </w:pPr>
            <w:r w:rsidRPr="0094235A">
              <w:rPr>
                <w:rFonts w:eastAsia="Times New Roman" w:cs="Times New Roman"/>
                <w:b/>
                <w:bCs/>
                <w:iCs/>
                <w:lang w:eastAsia="cs-CZ"/>
              </w:rPr>
              <w:t xml:space="preserve">Neinvestiční transfery podnikatelským subj. celkem </w:t>
            </w:r>
            <w:r w:rsidRPr="0094235A">
              <w:rPr>
                <w:rFonts w:eastAsia="Times New Roman" w:cs="Times New Roman"/>
                <w:bCs/>
                <w:iCs/>
                <w:lang w:eastAsia="cs-CZ"/>
              </w:rPr>
              <w:t>v tom:</w:t>
            </w:r>
          </w:p>
        </w:tc>
        <w:tc>
          <w:tcPr>
            <w:tcW w:w="749" w:type="pct"/>
            <w:tcBorders>
              <w:top w:val="single" w:sz="5" w:space="0" w:color="7F7F7F" w:themeColor="text1" w:themeTint="80"/>
              <w:bottom w:val="single" w:sz="5" w:space="0" w:color="7F7F7F" w:themeColor="text1" w:themeTint="80"/>
            </w:tcBorders>
            <w:shd w:val="clear" w:color="auto" w:fill="auto"/>
            <w:vAlign w:val="center"/>
          </w:tcPr>
          <w:p w14:paraId="55A90E00" w14:textId="367CAB71" w:rsidR="0094235A" w:rsidRPr="0094235A" w:rsidRDefault="0094235A" w:rsidP="0094235A">
            <w:pPr>
              <w:spacing w:after="120"/>
              <w:jc w:val="right"/>
              <w:rPr>
                <w:rFonts w:eastAsia="Times New Roman" w:cs="Times New Roman"/>
                <w:b/>
                <w:bCs/>
                <w:iCs/>
                <w:lang w:eastAsia="cs-CZ"/>
              </w:rPr>
            </w:pPr>
            <w:r w:rsidRPr="0094235A">
              <w:rPr>
                <w:rFonts w:eastAsia="Times New Roman" w:cs="Times New Roman"/>
                <w:b/>
                <w:bCs/>
                <w:iCs/>
                <w:lang w:eastAsia="cs-CZ"/>
              </w:rPr>
              <w:t>6 465 853</w:t>
            </w:r>
          </w:p>
        </w:tc>
        <w:tc>
          <w:tcPr>
            <w:tcW w:w="719" w:type="pct"/>
            <w:tcBorders>
              <w:top w:val="single" w:sz="5" w:space="0" w:color="7F7F7F" w:themeColor="text1" w:themeTint="80"/>
              <w:bottom w:val="single" w:sz="5" w:space="0" w:color="7F7F7F" w:themeColor="text1" w:themeTint="80"/>
            </w:tcBorders>
            <w:shd w:val="clear" w:color="auto" w:fill="auto"/>
            <w:vAlign w:val="center"/>
          </w:tcPr>
          <w:p w14:paraId="518AE92B" w14:textId="43B30499" w:rsidR="0094235A" w:rsidRPr="0094235A" w:rsidRDefault="0094235A" w:rsidP="0094235A">
            <w:pPr>
              <w:spacing w:after="120"/>
              <w:jc w:val="right"/>
              <w:rPr>
                <w:rFonts w:eastAsia="Times New Roman" w:cs="Times New Roman"/>
                <w:b/>
                <w:bCs/>
                <w:iCs/>
                <w:lang w:eastAsia="cs-CZ"/>
              </w:rPr>
            </w:pPr>
            <w:r w:rsidRPr="0094235A">
              <w:rPr>
                <w:rFonts w:eastAsia="Times New Roman" w:cs="Times New Roman"/>
                <w:b/>
                <w:bCs/>
                <w:iCs/>
                <w:lang w:eastAsia="cs-CZ"/>
              </w:rPr>
              <w:t>8 428 728</w:t>
            </w:r>
          </w:p>
        </w:tc>
        <w:tc>
          <w:tcPr>
            <w:tcW w:w="654" w:type="pct"/>
            <w:tcBorders>
              <w:top w:val="single" w:sz="5" w:space="0" w:color="7F7F7F" w:themeColor="text1" w:themeTint="80"/>
              <w:bottom w:val="single" w:sz="5" w:space="0" w:color="7F7F7F" w:themeColor="text1" w:themeTint="80"/>
            </w:tcBorders>
            <w:shd w:val="clear" w:color="auto" w:fill="auto"/>
            <w:vAlign w:val="center"/>
          </w:tcPr>
          <w:p w14:paraId="59200849" w14:textId="16DD30BE" w:rsidR="0094235A" w:rsidRPr="0094235A" w:rsidRDefault="0094235A" w:rsidP="0094235A">
            <w:pPr>
              <w:spacing w:after="120"/>
              <w:jc w:val="right"/>
              <w:rPr>
                <w:rFonts w:eastAsia="Times New Roman" w:cs="Times New Roman"/>
                <w:b/>
                <w:bCs/>
                <w:iCs/>
                <w:lang w:eastAsia="cs-CZ"/>
              </w:rPr>
            </w:pPr>
            <w:r w:rsidRPr="0094235A">
              <w:rPr>
                <w:rFonts w:eastAsia="Times New Roman" w:cs="Times New Roman"/>
                <w:b/>
                <w:bCs/>
                <w:iCs/>
                <w:lang w:eastAsia="cs-CZ"/>
              </w:rPr>
              <w:t>6 665 688</w:t>
            </w:r>
          </w:p>
        </w:tc>
        <w:tc>
          <w:tcPr>
            <w:tcW w:w="626" w:type="pct"/>
            <w:tcBorders>
              <w:top w:val="single" w:sz="5" w:space="0" w:color="7F7F7F" w:themeColor="text1" w:themeTint="80"/>
              <w:bottom w:val="single" w:sz="5" w:space="0" w:color="7F7F7F" w:themeColor="text1" w:themeTint="80"/>
            </w:tcBorders>
            <w:shd w:val="clear" w:color="auto" w:fill="auto"/>
            <w:vAlign w:val="center"/>
          </w:tcPr>
          <w:p w14:paraId="3CEAC76A" w14:textId="264A4594" w:rsidR="0094235A" w:rsidRPr="0094235A" w:rsidRDefault="0094235A" w:rsidP="0094235A">
            <w:pPr>
              <w:spacing w:after="120"/>
              <w:jc w:val="right"/>
              <w:rPr>
                <w:rFonts w:eastAsia="Times New Roman" w:cs="Times New Roman"/>
                <w:b/>
                <w:bCs/>
                <w:iCs/>
                <w:color w:val="FF0000"/>
                <w:lang w:eastAsia="cs-CZ"/>
              </w:rPr>
            </w:pPr>
            <w:r w:rsidRPr="0094235A">
              <w:rPr>
                <w:rFonts w:eastAsia="Times New Roman" w:cs="Times New Roman"/>
                <w:b/>
                <w:bCs/>
                <w:iCs/>
                <w:lang w:eastAsia="cs-CZ"/>
              </w:rPr>
              <w:t>79,08</w:t>
            </w:r>
          </w:p>
        </w:tc>
      </w:tr>
      <w:tr w:rsidR="0094235A" w:rsidRPr="0094235A" w14:paraId="14700259" w14:textId="77777777" w:rsidTr="006D05B2">
        <w:tc>
          <w:tcPr>
            <w:tcW w:w="2252" w:type="pct"/>
            <w:tcBorders>
              <w:top w:val="single" w:sz="8" w:space="0" w:color="7F7F7F" w:themeColor="text1" w:themeTint="80"/>
            </w:tcBorders>
            <w:shd w:val="clear" w:color="auto" w:fill="auto"/>
          </w:tcPr>
          <w:p w14:paraId="59B6BE62" w14:textId="77777777" w:rsidR="0094235A" w:rsidRPr="0094235A" w:rsidRDefault="0094235A" w:rsidP="0094235A">
            <w:pPr>
              <w:ind w:left="32" w:hanging="180"/>
              <w:jc w:val="left"/>
              <w:rPr>
                <w:rFonts w:eastAsia="Times New Roman" w:cs="Times New Roman"/>
                <w:bCs/>
                <w:iCs/>
                <w:lang w:eastAsia="cs-CZ"/>
              </w:rPr>
            </w:pPr>
            <w:r w:rsidRPr="0094235A">
              <w:rPr>
                <w:rFonts w:eastAsia="Times New Roman" w:cs="Times New Roman"/>
                <w:bCs/>
                <w:iCs/>
                <w:lang w:eastAsia="cs-CZ"/>
              </w:rPr>
              <w:t xml:space="preserve">   úhrada ztráty ze závazku veřejné služby ve veřejné drážní osobní dopravě</w:t>
            </w:r>
          </w:p>
        </w:tc>
        <w:tc>
          <w:tcPr>
            <w:tcW w:w="749" w:type="pct"/>
            <w:tcBorders>
              <w:top w:val="single" w:sz="5" w:space="0" w:color="7F7F7F" w:themeColor="text1" w:themeTint="80"/>
            </w:tcBorders>
            <w:shd w:val="clear" w:color="auto" w:fill="auto"/>
            <w:vAlign w:val="center"/>
          </w:tcPr>
          <w:p w14:paraId="52B2A060" w14:textId="07574472"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6 170 278</w:t>
            </w:r>
          </w:p>
        </w:tc>
        <w:tc>
          <w:tcPr>
            <w:tcW w:w="719" w:type="pct"/>
            <w:tcBorders>
              <w:top w:val="single" w:sz="5" w:space="0" w:color="7F7F7F" w:themeColor="text1" w:themeTint="80"/>
            </w:tcBorders>
            <w:shd w:val="clear" w:color="auto" w:fill="auto"/>
            <w:vAlign w:val="center"/>
          </w:tcPr>
          <w:p w14:paraId="29BF567F" w14:textId="4D212BBC"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8 289 521</w:t>
            </w:r>
          </w:p>
        </w:tc>
        <w:tc>
          <w:tcPr>
            <w:tcW w:w="654" w:type="pct"/>
            <w:tcBorders>
              <w:top w:val="single" w:sz="5" w:space="0" w:color="7F7F7F" w:themeColor="text1" w:themeTint="80"/>
            </w:tcBorders>
            <w:shd w:val="clear" w:color="auto" w:fill="auto"/>
            <w:vAlign w:val="center"/>
          </w:tcPr>
          <w:p w14:paraId="2C6614E3" w14:textId="2EC6F6FC"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6 551 451</w:t>
            </w:r>
          </w:p>
        </w:tc>
        <w:tc>
          <w:tcPr>
            <w:tcW w:w="626" w:type="pct"/>
            <w:tcBorders>
              <w:top w:val="single" w:sz="5" w:space="0" w:color="7F7F7F" w:themeColor="text1" w:themeTint="80"/>
            </w:tcBorders>
            <w:shd w:val="clear" w:color="auto" w:fill="auto"/>
            <w:vAlign w:val="center"/>
          </w:tcPr>
          <w:p w14:paraId="633C1EA1" w14:textId="27377B6C" w:rsidR="0094235A" w:rsidRPr="0094235A" w:rsidRDefault="0094235A" w:rsidP="0094235A">
            <w:pPr>
              <w:jc w:val="right"/>
              <w:rPr>
                <w:rFonts w:eastAsia="Times New Roman" w:cs="Times New Roman"/>
                <w:bCs/>
                <w:iCs/>
                <w:color w:val="FF0000"/>
                <w:lang w:eastAsia="cs-CZ"/>
              </w:rPr>
            </w:pPr>
            <w:r w:rsidRPr="0094235A">
              <w:rPr>
                <w:rFonts w:eastAsia="Times New Roman" w:cs="Times New Roman"/>
                <w:bCs/>
                <w:iCs/>
                <w:lang w:eastAsia="cs-CZ"/>
              </w:rPr>
              <w:t>79,03</w:t>
            </w:r>
          </w:p>
        </w:tc>
      </w:tr>
      <w:tr w:rsidR="0094235A" w:rsidRPr="0094235A" w14:paraId="5374F692" w14:textId="77777777" w:rsidTr="006D05B2">
        <w:trPr>
          <w:trHeight w:val="547"/>
        </w:trPr>
        <w:tc>
          <w:tcPr>
            <w:tcW w:w="2252" w:type="pct"/>
            <w:shd w:val="clear" w:color="auto" w:fill="auto"/>
            <w:vAlign w:val="center"/>
          </w:tcPr>
          <w:p w14:paraId="2816CD7A" w14:textId="77777777" w:rsidR="0094235A" w:rsidRPr="0094235A" w:rsidRDefault="0094235A" w:rsidP="0094235A">
            <w:pPr>
              <w:ind w:left="32" w:hanging="180"/>
              <w:jc w:val="left"/>
              <w:rPr>
                <w:rFonts w:eastAsia="Times New Roman" w:cs="Times New Roman"/>
                <w:bCs/>
                <w:iCs/>
                <w:lang w:eastAsia="cs-CZ"/>
              </w:rPr>
            </w:pPr>
            <w:r w:rsidRPr="0094235A">
              <w:rPr>
                <w:rFonts w:eastAsia="Times New Roman" w:cs="Times New Roman"/>
                <w:bCs/>
                <w:iCs/>
                <w:lang w:eastAsia="cs-CZ"/>
              </w:rPr>
              <w:t xml:space="preserve">   ROCET</w:t>
            </w:r>
          </w:p>
        </w:tc>
        <w:tc>
          <w:tcPr>
            <w:tcW w:w="749" w:type="pct"/>
            <w:shd w:val="clear" w:color="auto" w:fill="auto"/>
            <w:vAlign w:val="center"/>
          </w:tcPr>
          <w:p w14:paraId="0DD57D31" w14:textId="4919E508"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92 545</w:t>
            </w:r>
          </w:p>
        </w:tc>
        <w:tc>
          <w:tcPr>
            <w:tcW w:w="719" w:type="pct"/>
            <w:shd w:val="clear" w:color="auto" w:fill="auto"/>
            <w:vAlign w:val="center"/>
          </w:tcPr>
          <w:p w14:paraId="5230794C" w14:textId="639CB81E"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0</w:t>
            </w:r>
          </w:p>
        </w:tc>
        <w:tc>
          <w:tcPr>
            <w:tcW w:w="654" w:type="pct"/>
            <w:shd w:val="clear" w:color="auto" w:fill="auto"/>
            <w:vAlign w:val="center"/>
          </w:tcPr>
          <w:p w14:paraId="28AA30CD" w14:textId="379566D6" w:rsidR="0094235A" w:rsidRPr="0094235A" w:rsidRDefault="0094235A" w:rsidP="0094235A">
            <w:pPr>
              <w:jc w:val="right"/>
              <w:rPr>
                <w:rFonts w:eastAsia="Times New Roman" w:cs="Times New Roman"/>
                <w:bCs/>
                <w:iCs/>
                <w:color w:val="FF0000"/>
                <w:lang w:eastAsia="cs-CZ"/>
              </w:rPr>
            </w:pPr>
            <w:r w:rsidRPr="0094235A">
              <w:rPr>
                <w:rFonts w:eastAsia="Times New Roman" w:cs="Times New Roman"/>
                <w:bCs/>
                <w:iCs/>
                <w:lang w:eastAsia="cs-CZ"/>
              </w:rPr>
              <w:t>0</w:t>
            </w:r>
          </w:p>
        </w:tc>
        <w:tc>
          <w:tcPr>
            <w:tcW w:w="626" w:type="pct"/>
            <w:shd w:val="clear" w:color="auto" w:fill="auto"/>
            <w:vAlign w:val="center"/>
          </w:tcPr>
          <w:p w14:paraId="241EFA4C" w14:textId="303697B3" w:rsidR="0094235A" w:rsidRPr="0094235A" w:rsidRDefault="0094235A" w:rsidP="0094235A">
            <w:pPr>
              <w:jc w:val="right"/>
              <w:rPr>
                <w:rFonts w:eastAsia="Times New Roman" w:cs="Times New Roman"/>
                <w:bCs/>
                <w:iCs/>
                <w:color w:val="FF0000"/>
                <w:lang w:eastAsia="cs-CZ"/>
              </w:rPr>
            </w:pPr>
            <w:r w:rsidRPr="0094235A">
              <w:rPr>
                <w:rFonts w:eastAsia="Times New Roman" w:cs="Times New Roman"/>
                <w:bCs/>
                <w:iCs/>
                <w:lang w:eastAsia="cs-CZ"/>
              </w:rPr>
              <w:t>x</w:t>
            </w:r>
          </w:p>
        </w:tc>
      </w:tr>
      <w:tr w:rsidR="0094235A" w:rsidRPr="0094235A" w14:paraId="7AA4C731" w14:textId="77777777" w:rsidTr="006D05B2">
        <w:tc>
          <w:tcPr>
            <w:tcW w:w="2252" w:type="pct"/>
            <w:shd w:val="clear" w:color="auto" w:fill="auto"/>
          </w:tcPr>
          <w:p w14:paraId="49242B63" w14:textId="77777777" w:rsidR="0094235A" w:rsidRPr="0094235A" w:rsidRDefault="0094235A" w:rsidP="0094235A">
            <w:pPr>
              <w:ind w:left="32" w:hanging="180"/>
              <w:rPr>
                <w:rFonts w:eastAsia="Times New Roman" w:cs="Times New Roman"/>
                <w:bCs/>
                <w:iCs/>
                <w:lang w:eastAsia="cs-CZ"/>
              </w:rPr>
            </w:pPr>
            <w:r w:rsidRPr="0094235A">
              <w:rPr>
                <w:rFonts w:eastAsia="Times New Roman" w:cs="Times New Roman"/>
                <w:bCs/>
                <w:iCs/>
                <w:lang w:eastAsia="cs-CZ"/>
              </w:rPr>
              <w:t xml:space="preserve">   úhrada poplatků vybíraných za LPS poskyt. ve vzdušném prostoru ČR</w:t>
            </w:r>
          </w:p>
        </w:tc>
        <w:tc>
          <w:tcPr>
            <w:tcW w:w="749" w:type="pct"/>
            <w:shd w:val="clear" w:color="auto" w:fill="auto"/>
            <w:vAlign w:val="center"/>
          </w:tcPr>
          <w:p w14:paraId="0BA14178" w14:textId="2A18C81F"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178 850</w:t>
            </w:r>
          </w:p>
        </w:tc>
        <w:tc>
          <w:tcPr>
            <w:tcW w:w="719" w:type="pct"/>
            <w:shd w:val="clear" w:color="auto" w:fill="auto"/>
            <w:vAlign w:val="center"/>
          </w:tcPr>
          <w:p w14:paraId="44595D87" w14:textId="15DF561C"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139 207</w:t>
            </w:r>
          </w:p>
        </w:tc>
        <w:tc>
          <w:tcPr>
            <w:tcW w:w="654" w:type="pct"/>
            <w:shd w:val="clear" w:color="auto" w:fill="auto"/>
            <w:vAlign w:val="center"/>
          </w:tcPr>
          <w:p w14:paraId="3365E214" w14:textId="2C1C5D99" w:rsidR="0094235A" w:rsidRPr="0094235A" w:rsidRDefault="0094235A" w:rsidP="0094235A">
            <w:pPr>
              <w:jc w:val="right"/>
              <w:rPr>
                <w:rFonts w:eastAsia="Times New Roman" w:cs="Times New Roman"/>
                <w:bCs/>
                <w:iCs/>
                <w:color w:val="FF0000"/>
                <w:lang w:eastAsia="cs-CZ"/>
              </w:rPr>
            </w:pPr>
            <w:r w:rsidRPr="0094235A">
              <w:rPr>
                <w:rFonts w:eastAsia="Times New Roman" w:cs="Times New Roman"/>
                <w:bCs/>
                <w:iCs/>
                <w:lang w:eastAsia="cs-CZ"/>
              </w:rPr>
              <w:t>114 237</w:t>
            </w:r>
          </w:p>
        </w:tc>
        <w:tc>
          <w:tcPr>
            <w:tcW w:w="626" w:type="pct"/>
            <w:shd w:val="clear" w:color="auto" w:fill="auto"/>
            <w:vAlign w:val="center"/>
          </w:tcPr>
          <w:p w14:paraId="669EF187" w14:textId="39E82FB0" w:rsidR="0094235A" w:rsidRPr="0094235A" w:rsidRDefault="0094235A" w:rsidP="0094235A">
            <w:pPr>
              <w:jc w:val="right"/>
              <w:rPr>
                <w:rFonts w:eastAsia="Times New Roman" w:cs="Times New Roman"/>
                <w:bCs/>
                <w:iCs/>
                <w:color w:val="FF0000"/>
                <w:lang w:eastAsia="cs-CZ"/>
              </w:rPr>
            </w:pPr>
            <w:r w:rsidRPr="0094235A">
              <w:rPr>
                <w:rFonts w:eastAsia="Times New Roman" w:cs="Times New Roman"/>
                <w:bCs/>
                <w:iCs/>
                <w:lang w:eastAsia="cs-CZ"/>
              </w:rPr>
              <w:t>82,06</w:t>
            </w:r>
          </w:p>
        </w:tc>
      </w:tr>
      <w:tr w:rsidR="0094235A" w:rsidRPr="0094235A" w14:paraId="4E6FE383" w14:textId="77777777" w:rsidTr="006D05B2">
        <w:tc>
          <w:tcPr>
            <w:tcW w:w="2252" w:type="pct"/>
            <w:shd w:val="clear" w:color="auto" w:fill="auto"/>
          </w:tcPr>
          <w:p w14:paraId="7CA36E4D" w14:textId="77777777" w:rsidR="0094235A" w:rsidRPr="0094235A" w:rsidRDefault="0094235A" w:rsidP="0094235A">
            <w:pPr>
              <w:ind w:left="32" w:hanging="180"/>
              <w:rPr>
                <w:rFonts w:eastAsia="Times New Roman" w:cs="Times New Roman"/>
                <w:bCs/>
                <w:iCs/>
                <w:lang w:eastAsia="cs-CZ"/>
              </w:rPr>
            </w:pPr>
            <w:r w:rsidRPr="0094235A">
              <w:rPr>
                <w:rFonts w:eastAsia="Times New Roman" w:cs="Times New Roman"/>
                <w:bCs/>
                <w:iCs/>
                <w:lang w:eastAsia="cs-CZ"/>
              </w:rPr>
              <w:t xml:space="preserve">   podpora obnovy histor. železničních kolejových vozidel (127 66/127 67)</w:t>
            </w:r>
          </w:p>
        </w:tc>
        <w:tc>
          <w:tcPr>
            <w:tcW w:w="749" w:type="pct"/>
            <w:shd w:val="clear" w:color="auto" w:fill="auto"/>
            <w:vAlign w:val="center"/>
          </w:tcPr>
          <w:p w14:paraId="24CB68CD" w14:textId="4E8D7A5F"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4 146</w:t>
            </w:r>
          </w:p>
        </w:tc>
        <w:tc>
          <w:tcPr>
            <w:tcW w:w="719" w:type="pct"/>
            <w:shd w:val="clear" w:color="auto" w:fill="auto"/>
            <w:vAlign w:val="center"/>
          </w:tcPr>
          <w:p w14:paraId="2A803872" w14:textId="1F3F57AA"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0</w:t>
            </w:r>
          </w:p>
        </w:tc>
        <w:tc>
          <w:tcPr>
            <w:tcW w:w="654" w:type="pct"/>
            <w:shd w:val="clear" w:color="auto" w:fill="auto"/>
            <w:vAlign w:val="center"/>
          </w:tcPr>
          <w:p w14:paraId="14023B31" w14:textId="57F47354" w:rsidR="0094235A" w:rsidRPr="0094235A" w:rsidRDefault="0094235A" w:rsidP="0094235A">
            <w:pPr>
              <w:jc w:val="right"/>
              <w:rPr>
                <w:rFonts w:eastAsia="Times New Roman" w:cs="Times New Roman"/>
                <w:lang w:eastAsia="cs-CZ"/>
              </w:rPr>
            </w:pPr>
            <w:r w:rsidRPr="0094235A">
              <w:rPr>
                <w:rFonts w:eastAsia="Times New Roman" w:cs="Times New Roman"/>
                <w:bCs/>
                <w:iCs/>
                <w:lang w:eastAsia="cs-CZ"/>
              </w:rPr>
              <w:t>0</w:t>
            </w:r>
          </w:p>
        </w:tc>
        <w:tc>
          <w:tcPr>
            <w:tcW w:w="626" w:type="pct"/>
            <w:shd w:val="clear" w:color="auto" w:fill="auto"/>
            <w:vAlign w:val="center"/>
          </w:tcPr>
          <w:p w14:paraId="34A58F1C" w14:textId="11F80B44"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x</w:t>
            </w:r>
          </w:p>
        </w:tc>
      </w:tr>
      <w:tr w:rsidR="0094235A" w:rsidRPr="00D070B8" w14:paraId="41C4E6DA" w14:textId="77777777" w:rsidTr="006D05B2">
        <w:tc>
          <w:tcPr>
            <w:tcW w:w="2252" w:type="pct"/>
            <w:shd w:val="clear" w:color="auto" w:fill="auto"/>
          </w:tcPr>
          <w:p w14:paraId="3577F73A" w14:textId="77777777" w:rsidR="0094235A" w:rsidRPr="0094235A" w:rsidRDefault="0094235A" w:rsidP="0094235A">
            <w:pPr>
              <w:ind w:left="32" w:hanging="10"/>
              <w:rPr>
                <w:rFonts w:eastAsia="Times New Roman" w:cs="Times New Roman"/>
                <w:bCs/>
                <w:iCs/>
                <w:lang w:eastAsia="cs-CZ"/>
              </w:rPr>
            </w:pPr>
            <w:r w:rsidRPr="0094235A">
              <w:rPr>
                <w:rFonts w:eastAsia="Times New Roman" w:cs="Times New Roman"/>
                <w:bCs/>
                <w:iCs/>
                <w:lang w:eastAsia="cs-CZ"/>
              </w:rPr>
              <w:t>U Space – ŘLP (drony)</w:t>
            </w:r>
          </w:p>
        </w:tc>
        <w:tc>
          <w:tcPr>
            <w:tcW w:w="749" w:type="pct"/>
            <w:shd w:val="clear" w:color="auto" w:fill="auto"/>
            <w:vAlign w:val="center"/>
          </w:tcPr>
          <w:p w14:paraId="56542F5B" w14:textId="475BC18F"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20 000</w:t>
            </w:r>
          </w:p>
        </w:tc>
        <w:tc>
          <w:tcPr>
            <w:tcW w:w="719" w:type="pct"/>
            <w:shd w:val="clear" w:color="auto" w:fill="auto"/>
            <w:vAlign w:val="center"/>
          </w:tcPr>
          <w:p w14:paraId="76A9943E" w14:textId="4F407B9C"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0</w:t>
            </w:r>
          </w:p>
        </w:tc>
        <w:tc>
          <w:tcPr>
            <w:tcW w:w="654" w:type="pct"/>
            <w:shd w:val="clear" w:color="auto" w:fill="auto"/>
            <w:vAlign w:val="center"/>
          </w:tcPr>
          <w:p w14:paraId="62A8F4B9" w14:textId="6FD3E997" w:rsidR="0094235A" w:rsidRPr="0094235A" w:rsidRDefault="0094235A" w:rsidP="0094235A">
            <w:pPr>
              <w:jc w:val="right"/>
              <w:rPr>
                <w:rFonts w:eastAsia="Times New Roman" w:cs="Times New Roman"/>
                <w:lang w:eastAsia="cs-CZ"/>
              </w:rPr>
            </w:pPr>
            <w:r w:rsidRPr="0094235A">
              <w:rPr>
                <w:rFonts w:eastAsia="Times New Roman" w:cs="Times New Roman"/>
                <w:bCs/>
                <w:iCs/>
                <w:lang w:eastAsia="cs-CZ"/>
              </w:rPr>
              <w:t>0</w:t>
            </w:r>
          </w:p>
        </w:tc>
        <w:tc>
          <w:tcPr>
            <w:tcW w:w="626" w:type="pct"/>
            <w:shd w:val="clear" w:color="auto" w:fill="auto"/>
            <w:vAlign w:val="center"/>
          </w:tcPr>
          <w:p w14:paraId="06C1541F" w14:textId="54C12810" w:rsidR="0094235A" w:rsidRPr="0094235A" w:rsidRDefault="0094235A" w:rsidP="0094235A">
            <w:pPr>
              <w:jc w:val="right"/>
              <w:rPr>
                <w:rFonts w:eastAsia="Times New Roman" w:cs="Times New Roman"/>
                <w:bCs/>
                <w:iCs/>
                <w:lang w:eastAsia="cs-CZ"/>
              </w:rPr>
            </w:pPr>
            <w:r w:rsidRPr="0094235A">
              <w:rPr>
                <w:rFonts w:eastAsia="Times New Roman" w:cs="Times New Roman"/>
                <w:bCs/>
                <w:iCs/>
                <w:lang w:eastAsia="cs-CZ"/>
              </w:rPr>
              <w:t>x</w:t>
            </w:r>
          </w:p>
        </w:tc>
      </w:tr>
    </w:tbl>
    <w:p w14:paraId="0668BD11" w14:textId="77777777" w:rsidR="00386748" w:rsidRPr="00813852" w:rsidRDefault="00386748" w:rsidP="00386748">
      <w:pPr>
        <w:pStyle w:val="Nadpis4"/>
      </w:pPr>
      <w:r w:rsidRPr="00813852">
        <w:lastRenderedPageBreak/>
        <w:t>Úhrada ztráty ze závazku veřejné služby ve veřejné drážní osobní dopravě</w:t>
      </w:r>
    </w:p>
    <w:p w14:paraId="7B29EF64" w14:textId="77777777" w:rsidR="00386748" w:rsidRPr="00813852" w:rsidRDefault="00386748" w:rsidP="00386748">
      <w:pPr>
        <w:pStyle w:val="Styl1"/>
      </w:pPr>
      <w:r w:rsidRPr="00813852">
        <w:t xml:space="preserve">Zákon č. 194/2010 Sb., o veřejných službách v přepravě cestujících a o změně dalších zákonů, definuje dopravní obslužnost, kterou zajišťuje stát prostřednictvím Ministerstva dopravy. Z definice dopravní obslužnosti státu vyplývají výkony, které je nutno uplatňovat </w:t>
      </w:r>
      <w:r w:rsidRPr="00813852">
        <w:br/>
        <w:t xml:space="preserve">ze strany státu vůči dopravcům, kteří je budou zajišťovat. </w:t>
      </w:r>
    </w:p>
    <w:p w14:paraId="12D1D4B4" w14:textId="77777777" w:rsidR="00386748" w:rsidRPr="00813852" w:rsidRDefault="00386748" w:rsidP="00386748">
      <w:pPr>
        <w:pStyle w:val="Styl1"/>
      </w:pPr>
      <w:r w:rsidRPr="00813852">
        <w:t xml:space="preserve">V souvislosti s účinností nařízení Evropského parlamentu a Rady č. 1370/2007 ze dne </w:t>
      </w:r>
      <w:r w:rsidRPr="00813852">
        <w:br/>
        <w:t xml:space="preserve">23. října 2007 o službách v přepravě cestujících po železnici a silnici a o zrušení nařízení Rady (EHS) č. 1191/69 a č. 1107/70 od roku 2010 jsou u dopravců zajišťujících závazek veřejné služby v rámci kompenzací za tyto služby hrazeny i ztráty vznikající v důsledku slev jízdného stanovených státem nebo objednatelem. </w:t>
      </w:r>
    </w:p>
    <w:p w14:paraId="16D9BD28" w14:textId="2B03550D" w:rsidR="00386748" w:rsidRPr="0094235A" w:rsidRDefault="00813852" w:rsidP="00386748">
      <w:pPr>
        <w:pStyle w:val="Styl1"/>
        <w:rPr>
          <w:color w:val="FF0000"/>
        </w:rPr>
      </w:pPr>
      <w:r w:rsidRPr="003E19AB">
        <w:t xml:space="preserve">Výdaje na úhradu ztráty ze závazku veřejné služby ve veřejné drážní osobní dopravě jsou </w:t>
      </w:r>
      <w:r w:rsidRPr="003E19AB">
        <w:br/>
        <w:t>na rok 2025 rozpočtovány v částce 6 551 451 tis. Kč, tj. o 1 738 070 tis. Kč méně oproti schválenému rozpočtu roku 2024</w:t>
      </w:r>
      <w:r w:rsidRPr="00691C61">
        <w:t xml:space="preserve">. Celková potřeba na rok 2025 se předpokládá </w:t>
      </w:r>
      <w:r>
        <w:t xml:space="preserve">ve výši </w:t>
      </w:r>
      <w:r>
        <w:br/>
      </w:r>
      <w:r w:rsidRPr="00691C61">
        <w:t>8 000 462 tis. Kč. Zbylé prostředky ve výši 1 449 011 tis. Kč budou dokryty z nároků z nespotřebovaných výdajů minulých let</w:t>
      </w:r>
      <w:r w:rsidR="0094235A" w:rsidRPr="0094235A">
        <w:t>.</w:t>
      </w:r>
      <w:r w:rsidR="00386748" w:rsidRPr="0094235A">
        <w:t xml:space="preserve"> </w:t>
      </w:r>
    </w:p>
    <w:p w14:paraId="3A3A711D" w14:textId="77777777" w:rsidR="00386748" w:rsidRPr="00813852" w:rsidRDefault="00386748" w:rsidP="00386748">
      <w:pPr>
        <w:pStyle w:val="Nadpis4"/>
      </w:pPr>
      <w:r w:rsidRPr="00813852">
        <w:t xml:space="preserve">Úhrada poplatků vybíraných za LNS poskytované ve vzdušném prostoru ČR </w:t>
      </w:r>
    </w:p>
    <w:p w14:paraId="6F12273F" w14:textId="77C89485" w:rsidR="00386748" w:rsidRPr="00813852" w:rsidRDefault="00386748" w:rsidP="00386748">
      <w:pPr>
        <w:pStyle w:val="Styl1"/>
      </w:pPr>
      <w:r w:rsidRPr="00813852">
        <w:t xml:space="preserve">V souladu s usnesením vlády ze dne 2. </w:t>
      </w:r>
      <w:r w:rsidR="008C43E6">
        <w:t xml:space="preserve">listopadu </w:t>
      </w:r>
      <w:r w:rsidRPr="00813852">
        <w:t xml:space="preserve">2005 č. 1404, k úhradě poplatků vybíraných </w:t>
      </w:r>
      <w:r w:rsidRPr="00813852">
        <w:br/>
        <w:t xml:space="preserve">za letové provozní služby poskytované ve vzdušném prostoru České republiky a prováděcího nařízením Komise (EU) 2019/317 ze dne 11. února 2019, kterým se stanoví systém sledování výkonnosti a systém poplatků v jednotném evropském nebi a kterým se ruší prováděcí nařízení (EU) č. 390/2013 a (EU) č. 391/2013, stát od roku 2008 hradí státnímu podniku Řízení letového provozu ČR náklady související s poskytováním letových navigačních služeb letům </w:t>
      </w:r>
      <w:r w:rsidRPr="00813852">
        <w:br/>
        <w:t xml:space="preserve">ve vzdušném prostoru České republiky osvobozeným od zpoplatnění. </w:t>
      </w:r>
    </w:p>
    <w:p w14:paraId="5214DDA1" w14:textId="6887351A" w:rsidR="00813852" w:rsidRDefault="00813852" w:rsidP="00386748">
      <w:pPr>
        <w:pStyle w:val="Styl1"/>
      </w:pPr>
      <w:r w:rsidRPr="003E19AB">
        <w:t xml:space="preserve">Oproti schválenému rozpočtu na rok 2024 je úhrada poplatků za LNS rozpočtována pro </w:t>
      </w:r>
      <w:r w:rsidRPr="003E19AB">
        <w:br/>
        <w:t>rok 2025 v částce o 24 970 tis. Kč nižší, tj. 114 237 tis. Kč.</w:t>
      </w:r>
      <w:r w:rsidRPr="003E19AB">
        <w:rPr>
          <w:color w:val="FF0000"/>
        </w:rPr>
        <w:t xml:space="preserve"> </w:t>
      </w:r>
      <w:r w:rsidRPr="003E19AB">
        <w:t>Tato částka bude částečně kompenzovat očekávané náklady vynaložené ŘLP ČR, s. p., na poskytování letových navigačních služeb letům osvobozeným od poplatků v roce 2025, a to v souladu s prováděcím nařízením Komise (EU) 2019/317</w:t>
      </w:r>
      <w:r>
        <w:t>.</w:t>
      </w:r>
    </w:p>
    <w:p w14:paraId="7800FE74" w14:textId="369FC7B0" w:rsidR="00386748" w:rsidRPr="00813852" w:rsidRDefault="00386748" w:rsidP="00386748">
      <w:pPr>
        <w:pStyle w:val="Styl1"/>
      </w:pPr>
      <w:r w:rsidRPr="00813852">
        <w:t>Mezi lety, které jsou osvobozeny od úhrady poplatků za letové provozní služby poskytované ve vzdušném prostoru České republiky, patří ozbrojených sil smluvních států Severoatlantické smlouvy, Rakouska a Brazílie. Úhrady nákladů souvisejících s těmito lety se od roku 202</w:t>
      </w:r>
      <w:r w:rsidR="00813852" w:rsidRPr="00813852">
        <w:t>5</w:t>
      </w:r>
      <w:r w:rsidRPr="00813852">
        <w:t xml:space="preserve"> rozpočtují a vykazují samostatně</w:t>
      </w:r>
      <w:r w:rsidR="00813852" w:rsidRPr="00813852">
        <w:t xml:space="preserve"> jako tzv. obranné výdaje</w:t>
      </w:r>
      <w:r w:rsidRPr="00813852">
        <w:t>. Pro rok 202</w:t>
      </w:r>
      <w:r w:rsidR="00813852" w:rsidRPr="00813852">
        <w:t>5</w:t>
      </w:r>
      <w:r w:rsidRPr="00813852">
        <w:t xml:space="preserve"> se očekávají náklady na tyto lety ve výši</w:t>
      </w:r>
      <w:r w:rsidR="00813852" w:rsidRPr="00813852">
        <w:t xml:space="preserve"> 91 390</w:t>
      </w:r>
      <w:r w:rsidRPr="00813852">
        <w:t xml:space="preserve"> tis. Kč.</w:t>
      </w:r>
    </w:p>
    <w:p w14:paraId="4BFCA594" w14:textId="566CB4F4" w:rsidR="00386748" w:rsidRPr="00235D60" w:rsidRDefault="00386748" w:rsidP="00386748">
      <w:pPr>
        <w:keepNext/>
        <w:spacing w:before="240" w:after="240"/>
        <w:rPr>
          <w:rFonts w:eastAsia="Times New Roman" w:cs="Times New Roman"/>
          <w:b/>
          <w:sz w:val="20"/>
          <w:szCs w:val="20"/>
          <w:lang w:eastAsia="cs-CZ"/>
        </w:rPr>
      </w:pPr>
      <w:bookmarkStart w:id="180" w:name="_Toc109740487"/>
      <w:bookmarkStart w:id="181" w:name="_Toc141450980"/>
      <w:bookmarkStart w:id="182" w:name="_Toc179888382"/>
      <w:r w:rsidRPr="00235D60">
        <w:rPr>
          <w:rFonts w:eastAsia="Times New Roman" w:cs="Times New Roman"/>
          <w:b/>
          <w:sz w:val="20"/>
          <w:szCs w:val="20"/>
          <w:lang w:eastAsia="cs-CZ"/>
        </w:rPr>
        <w:lastRenderedPageBreak/>
        <w:t xml:space="preserve">Graf č. </w:t>
      </w:r>
      <w:r w:rsidRPr="00235D60">
        <w:rPr>
          <w:rFonts w:eastAsia="Times New Roman" w:cs="Times New Roman"/>
          <w:b/>
          <w:sz w:val="20"/>
          <w:szCs w:val="20"/>
          <w:lang w:eastAsia="cs-CZ"/>
        </w:rPr>
        <w:fldChar w:fldCharType="begin"/>
      </w:r>
      <w:r w:rsidRPr="00235D60">
        <w:rPr>
          <w:rFonts w:eastAsia="Times New Roman" w:cs="Times New Roman"/>
          <w:b/>
          <w:sz w:val="20"/>
          <w:szCs w:val="20"/>
          <w:lang w:eastAsia="cs-CZ"/>
        </w:rPr>
        <w:instrText xml:space="preserve"> SEQ Graf_č. \* ARABIC </w:instrText>
      </w:r>
      <w:r w:rsidRPr="00235D60">
        <w:rPr>
          <w:rFonts w:eastAsia="Times New Roman" w:cs="Times New Roman"/>
          <w:b/>
          <w:sz w:val="20"/>
          <w:szCs w:val="20"/>
          <w:lang w:eastAsia="cs-CZ"/>
        </w:rPr>
        <w:fldChar w:fldCharType="separate"/>
      </w:r>
      <w:r w:rsidR="003B0B01" w:rsidRPr="00235D60">
        <w:rPr>
          <w:rFonts w:eastAsia="Times New Roman" w:cs="Times New Roman"/>
          <w:b/>
          <w:noProof/>
          <w:sz w:val="20"/>
          <w:szCs w:val="20"/>
          <w:lang w:eastAsia="cs-CZ"/>
        </w:rPr>
        <w:t>6</w:t>
      </w:r>
      <w:r w:rsidRPr="00235D60">
        <w:rPr>
          <w:rFonts w:eastAsia="Times New Roman" w:cs="Times New Roman"/>
          <w:b/>
          <w:sz w:val="20"/>
          <w:szCs w:val="20"/>
          <w:lang w:eastAsia="cs-CZ"/>
        </w:rPr>
        <w:fldChar w:fldCharType="end"/>
      </w:r>
      <w:r w:rsidRPr="00235D60">
        <w:rPr>
          <w:rFonts w:eastAsia="Times New Roman" w:cs="Times New Roman"/>
          <w:b/>
          <w:sz w:val="20"/>
          <w:szCs w:val="20"/>
          <w:lang w:eastAsia="cs-CZ"/>
        </w:rPr>
        <w:t xml:space="preserve"> Neinvestiční transfery podnikatelským subjektům</w:t>
      </w:r>
      <w:bookmarkEnd w:id="180"/>
      <w:bookmarkEnd w:id="181"/>
      <w:bookmarkEnd w:id="182"/>
    </w:p>
    <w:p w14:paraId="3668F47C" w14:textId="77777777" w:rsidR="00386748" w:rsidRPr="00235D60" w:rsidRDefault="00386748" w:rsidP="00386748">
      <w:pPr>
        <w:tabs>
          <w:tab w:val="left" w:pos="4536"/>
        </w:tabs>
        <w:spacing w:after="80"/>
        <w:rPr>
          <w:rFonts w:eastAsia="Times New Roman" w:cs="Times New Roman"/>
          <w:noProof/>
          <w:color w:val="FF0000"/>
          <w:szCs w:val="24"/>
          <w:lang w:eastAsia="cs-CZ"/>
        </w:rPr>
      </w:pPr>
      <w:r w:rsidRPr="00235D60">
        <w:rPr>
          <w:rFonts w:eastAsia="Times New Roman" w:cs="Times New Roman"/>
          <w:noProof/>
          <w:color w:val="FF0000"/>
          <w:szCs w:val="24"/>
          <w:lang w:eastAsia="cs-CZ"/>
        </w:rPr>
        <w:drawing>
          <wp:inline distT="0" distB="0" distL="0" distR="0" wp14:anchorId="73780B17" wp14:editId="0B74482C">
            <wp:extent cx="5760720" cy="2924354"/>
            <wp:effectExtent l="0" t="0" r="11430" b="9525"/>
            <wp:docPr id="12" name="Graf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2AFD6E9" w14:textId="77777777" w:rsidR="000F459C" w:rsidRPr="00235D60" w:rsidRDefault="000F459C" w:rsidP="00386748">
      <w:pPr>
        <w:tabs>
          <w:tab w:val="left" w:pos="4536"/>
        </w:tabs>
        <w:spacing w:after="80"/>
        <w:rPr>
          <w:rFonts w:eastAsia="Times New Roman" w:cs="Times New Roman"/>
          <w:noProof/>
          <w:color w:val="FF0000"/>
          <w:szCs w:val="24"/>
          <w:lang w:eastAsia="cs-CZ"/>
        </w:rPr>
      </w:pPr>
    </w:p>
    <w:p w14:paraId="71FF76CD" w14:textId="77777777" w:rsidR="008A1F72" w:rsidRPr="00235D60" w:rsidRDefault="008A1F72" w:rsidP="007B2F4B">
      <w:pPr>
        <w:pStyle w:val="Nadpis3"/>
      </w:pPr>
      <w:bookmarkStart w:id="183" w:name="_Toc179964099"/>
      <w:bookmarkEnd w:id="177"/>
      <w:bookmarkEnd w:id="178"/>
      <w:bookmarkEnd w:id="179"/>
      <w:r w:rsidRPr="00235D60">
        <w:t>Neinvestiční transfery veřejným rozpočtům územní úrovně</w:t>
      </w:r>
      <w:bookmarkEnd w:id="175"/>
      <w:bookmarkEnd w:id="183"/>
    </w:p>
    <w:p w14:paraId="707D7E2C" w14:textId="028606F9" w:rsidR="00F23ED8" w:rsidRPr="00235D60" w:rsidRDefault="00F23ED8" w:rsidP="00F23ED8">
      <w:pPr>
        <w:pStyle w:val="Titulek"/>
        <w:rPr>
          <w:noProof/>
          <w:color w:val="FF0000"/>
        </w:rPr>
      </w:pPr>
      <w:bookmarkStart w:id="184" w:name="_Toc462314397"/>
      <w:bookmarkStart w:id="185" w:name="_Toc489274103"/>
      <w:bookmarkEnd w:id="176"/>
      <w:r w:rsidRPr="00235D60">
        <w:t xml:space="preserve">Tabulka č. </w:t>
      </w:r>
      <w:r w:rsidR="00696CFC" w:rsidRPr="00235D60">
        <w:fldChar w:fldCharType="begin"/>
      </w:r>
      <w:r w:rsidR="00696CFC" w:rsidRPr="00235D60">
        <w:instrText xml:space="preserve"> SEQ Tabulka \* ARABIC </w:instrText>
      </w:r>
      <w:r w:rsidR="00696CFC" w:rsidRPr="00235D60">
        <w:fldChar w:fldCharType="separate"/>
      </w:r>
      <w:r w:rsidR="003B0B01" w:rsidRPr="00235D60">
        <w:rPr>
          <w:noProof/>
        </w:rPr>
        <w:t>26</w:t>
      </w:r>
      <w:r w:rsidR="00696CFC" w:rsidRPr="00235D60">
        <w:rPr>
          <w:noProof/>
        </w:rPr>
        <w:fldChar w:fldCharType="end"/>
      </w:r>
      <w:r w:rsidRPr="00235D60">
        <w:rPr>
          <w:noProof/>
        </w:rPr>
        <w:t xml:space="preserve"> Neinvestiční transfery veřejným výzkumným institucím (v tis. Kč)</w:t>
      </w:r>
    </w:p>
    <w:tbl>
      <w:tblPr>
        <w:tblStyle w:val="Svtltabulkasmkou1zvraznn5"/>
        <w:tblW w:w="4987"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246"/>
        <w:gridCol w:w="1020"/>
      </w:tblGrid>
      <w:tr w:rsidR="00594674" w:rsidRPr="003F21CB" w14:paraId="53AA1BAC" w14:textId="77777777" w:rsidTr="00594674">
        <w:tc>
          <w:tcPr>
            <w:tcW w:w="22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5227A19" w14:textId="77777777" w:rsidR="00594674" w:rsidRPr="00235D60" w:rsidRDefault="00594674" w:rsidP="001E02BC">
            <w:pPr>
              <w:jc w:val="center"/>
              <w:rPr>
                <w:rFonts w:eastAsia="Times New Roman" w:cs="Times New Roman"/>
                <w:b/>
                <w:color w:val="000000" w:themeColor="text1"/>
                <w:szCs w:val="24"/>
                <w:lang w:eastAsia="cs-CZ"/>
              </w:rPr>
            </w:pPr>
            <w:bookmarkStart w:id="186" w:name="_Toc463338098"/>
            <w:bookmarkStart w:id="187" w:name="_Toc15293393"/>
            <w:r w:rsidRPr="00235D60">
              <w:rPr>
                <w:rFonts w:eastAsia="Times New Roman" w:cs="Times New Roman"/>
                <w:b/>
                <w:color w:val="000000" w:themeColor="text1"/>
                <w:szCs w:val="24"/>
                <w:lang w:eastAsia="cs-CZ"/>
              </w:rPr>
              <w:t>Ukazatel</w:t>
            </w:r>
          </w:p>
        </w:tc>
        <w:tc>
          <w:tcPr>
            <w:tcW w:w="7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6B2DB43" w14:textId="77777777"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Skutečnost</w:t>
            </w:r>
          </w:p>
          <w:p w14:paraId="06926C70" w14:textId="004D7F95"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202</w:t>
            </w:r>
            <w:r w:rsidR="003F21CB" w:rsidRPr="00235D60">
              <w:rPr>
                <w:rFonts w:eastAsia="Times New Roman" w:cs="Times New Roman"/>
                <w:b/>
                <w:szCs w:val="24"/>
                <w:lang w:eastAsia="cs-CZ"/>
              </w:rPr>
              <w:t>3</w:t>
            </w:r>
          </w:p>
        </w:tc>
        <w:tc>
          <w:tcPr>
            <w:tcW w:w="6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A56C906" w14:textId="77777777"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Schválený</w:t>
            </w:r>
          </w:p>
          <w:p w14:paraId="2E6AB7D5" w14:textId="77777777"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rozpočet</w:t>
            </w:r>
          </w:p>
          <w:p w14:paraId="4F1B3940" w14:textId="6099F5ED"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202</w:t>
            </w:r>
            <w:r w:rsidR="003F21CB" w:rsidRPr="00235D60">
              <w:rPr>
                <w:rFonts w:eastAsia="Times New Roman" w:cs="Times New Roman"/>
                <w:b/>
                <w:szCs w:val="24"/>
                <w:lang w:eastAsia="cs-CZ"/>
              </w:rPr>
              <w:t>4</w:t>
            </w:r>
          </w:p>
        </w:tc>
        <w:tc>
          <w:tcPr>
            <w:tcW w:w="69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70220B" w14:textId="77777777"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Návrh</w:t>
            </w:r>
          </w:p>
          <w:p w14:paraId="02D6D904" w14:textId="77777777"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rozpočtu</w:t>
            </w:r>
          </w:p>
          <w:p w14:paraId="075019D7" w14:textId="79865582"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202</w:t>
            </w:r>
            <w:r w:rsidR="003F21CB" w:rsidRPr="00235D60">
              <w:rPr>
                <w:rFonts w:eastAsia="Times New Roman" w:cs="Times New Roman"/>
                <w:b/>
                <w:szCs w:val="24"/>
                <w:lang w:eastAsia="cs-CZ"/>
              </w:rPr>
              <w:t>5</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6FC071B" w14:textId="77777777" w:rsidR="00594674" w:rsidRPr="00235D60"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Index</w:t>
            </w:r>
          </w:p>
          <w:p w14:paraId="2DA9518B" w14:textId="02E9BCC0" w:rsidR="00594674" w:rsidRPr="003F21CB" w:rsidRDefault="00594674" w:rsidP="001E02BC">
            <w:pPr>
              <w:jc w:val="center"/>
              <w:rPr>
                <w:rFonts w:eastAsia="Times New Roman" w:cs="Times New Roman"/>
                <w:b/>
                <w:szCs w:val="24"/>
                <w:lang w:eastAsia="cs-CZ"/>
              </w:rPr>
            </w:pPr>
            <w:r w:rsidRPr="00235D60">
              <w:rPr>
                <w:rFonts w:eastAsia="Times New Roman" w:cs="Times New Roman"/>
                <w:b/>
                <w:szCs w:val="24"/>
                <w:lang w:eastAsia="cs-CZ"/>
              </w:rPr>
              <w:t>202</w:t>
            </w:r>
            <w:r w:rsidR="003F21CB" w:rsidRPr="00235D60">
              <w:rPr>
                <w:rFonts w:eastAsia="Times New Roman" w:cs="Times New Roman"/>
                <w:b/>
                <w:szCs w:val="24"/>
                <w:lang w:eastAsia="cs-CZ"/>
              </w:rPr>
              <w:t>5</w:t>
            </w:r>
            <w:r w:rsidRPr="00235D60">
              <w:rPr>
                <w:rFonts w:eastAsia="Times New Roman" w:cs="Times New Roman"/>
                <w:b/>
                <w:szCs w:val="24"/>
                <w:lang w:eastAsia="cs-CZ"/>
              </w:rPr>
              <w:t>/</w:t>
            </w:r>
            <w:r w:rsidRPr="00235D60">
              <w:rPr>
                <w:rFonts w:eastAsia="Times New Roman" w:cs="Times New Roman"/>
                <w:b/>
                <w:szCs w:val="24"/>
                <w:lang w:eastAsia="cs-CZ"/>
              </w:rPr>
              <w:br/>
              <w:t>202</w:t>
            </w:r>
            <w:r w:rsidR="003F21CB" w:rsidRPr="00235D60">
              <w:rPr>
                <w:rFonts w:eastAsia="Times New Roman" w:cs="Times New Roman"/>
                <w:b/>
                <w:szCs w:val="24"/>
                <w:lang w:eastAsia="cs-CZ"/>
              </w:rPr>
              <w:t>4</w:t>
            </w:r>
            <w:r w:rsidRPr="00235D60">
              <w:rPr>
                <w:rFonts w:eastAsia="Times New Roman" w:cs="Times New Roman"/>
                <w:b/>
                <w:szCs w:val="24"/>
                <w:lang w:eastAsia="cs-CZ"/>
              </w:rPr>
              <w:t xml:space="preserve"> </w:t>
            </w:r>
            <w:r w:rsidRPr="00235D60">
              <w:rPr>
                <w:rFonts w:eastAsia="Times New Roman" w:cs="Times New Roman"/>
                <w:b/>
                <w:szCs w:val="24"/>
                <w:lang w:eastAsia="cs-CZ"/>
              </w:rPr>
              <w:br/>
              <w:t>(v %)</w:t>
            </w:r>
          </w:p>
        </w:tc>
      </w:tr>
      <w:tr w:rsidR="00594674" w:rsidRPr="003F21CB" w14:paraId="76816005" w14:textId="77777777" w:rsidTr="00594674">
        <w:tc>
          <w:tcPr>
            <w:tcW w:w="2293" w:type="pct"/>
            <w:tcBorders>
              <w:top w:val="single" w:sz="4" w:space="0" w:color="7F7F7F" w:themeColor="text1" w:themeTint="80"/>
              <w:bottom w:val="single" w:sz="8" w:space="0" w:color="7F7F7F" w:themeColor="text1" w:themeTint="80"/>
            </w:tcBorders>
            <w:shd w:val="clear" w:color="auto" w:fill="auto"/>
          </w:tcPr>
          <w:p w14:paraId="3FF47355" w14:textId="77777777" w:rsidR="00594674" w:rsidRPr="003F21CB" w:rsidRDefault="00594674" w:rsidP="001E02BC">
            <w:pPr>
              <w:jc w:val="center"/>
              <w:rPr>
                <w:rFonts w:eastAsia="Times New Roman" w:cs="Times New Roman"/>
                <w:color w:val="000000" w:themeColor="text1"/>
                <w:szCs w:val="24"/>
                <w:lang w:eastAsia="cs-CZ"/>
              </w:rPr>
            </w:pPr>
            <w:r w:rsidRPr="003F21CB">
              <w:rPr>
                <w:rFonts w:eastAsia="Times New Roman" w:cs="Times New Roman"/>
                <w:color w:val="000000" w:themeColor="text1"/>
                <w:szCs w:val="24"/>
                <w:lang w:eastAsia="cs-CZ"/>
              </w:rPr>
              <w:t>a</w:t>
            </w:r>
          </w:p>
        </w:tc>
        <w:tc>
          <w:tcPr>
            <w:tcW w:w="754" w:type="pct"/>
            <w:tcBorders>
              <w:top w:val="single" w:sz="4" w:space="0" w:color="7F7F7F" w:themeColor="text1" w:themeTint="80"/>
              <w:bottom w:val="single" w:sz="8" w:space="0" w:color="7F7F7F" w:themeColor="text1" w:themeTint="80"/>
            </w:tcBorders>
            <w:shd w:val="clear" w:color="auto" w:fill="auto"/>
          </w:tcPr>
          <w:p w14:paraId="1FF95DF2" w14:textId="77777777" w:rsidR="00594674" w:rsidRPr="003F21CB" w:rsidRDefault="00594674" w:rsidP="001E02BC">
            <w:pPr>
              <w:jc w:val="center"/>
              <w:rPr>
                <w:rFonts w:eastAsia="Times New Roman" w:cs="Times New Roman"/>
                <w:color w:val="000000" w:themeColor="text1"/>
                <w:szCs w:val="24"/>
                <w:lang w:eastAsia="cs-CZ"/>
              </w:rPr>
            </w:pPr>
            <w:r w:rsidRPr="003F21CB">
              <w:rPr>
                <w:rFonts w:eastAsia="Times New Roman" w:cs="Times New Roman"/>
                <w:color w:val="000000" w:themeColor="text1"/>
                <w:szCs w:val="24"/>
                <w:lang w:eastAsia="cs-CZ"/>
              </w:rPr>
              <w:t>1</w:t>
            </w:r>
          </w:p>
        </w:tc>
        <w:tc>
          <w:tcPr>
            <w:tcW w:w="698" w:type="pct"/>
            <w:tcBorders>
              <w:top w:val="single" w:sz="4" w:space="0" w:color="7F7F7F" w:themeColor="text1" w:themeTint="80"/>
              <w:bottom w:val="single" w:sz="8" w:space="0" w:color="7F7F7F" w:themeColor="text1" w:themeTint="80"/>
            </w:tcBorders>
            <w:shd w:val="clear" w:color="auto" w:fill="auto"/>
          </w:tcPr>
          <w:p w14:paraId="3C95CD21" w14:textId="77777777" w:rsidR="00594674" w:rsidRPr="003F21CB" w:rsidRDefault="00594674" w:rsidP="001E02BC">
            <w:pPr>
              <w:jc w:val="center"/>
              <w:rPr>
                <w:rFonts w:eastAsia="Times New Roman" w:cs="Times New Roman"/>
                <w:color w:val="000000" w:themeColor="text1"/>
                <w:szCs w:val="24"/>
                <w:lang w:eastAsia="cs-CZ"/>
              </w:rPr>
            </w:pPr>
            <w:r w:rsidRPr="003F21CB">
              <w:rPr>
                <w:rFonts w:eastAsia="Times New Roman" w:cs="Times New Roman"/>
                <w:color w:val="000000" w:themeColor="text1"/>
                <w:szCs w:val="24"/>
                <w:lang w:eastAsia="cs-CZ"/>
              </w:rPr>
              <w:t>2</w:t>
            </w:r>
          </w:p>
        </w:tc>
        <w:tc>
          <w:tcPr>
            <w:tcW w:w="690" w:type="pct"/>
            <w:tcBorders>
              <w:top w:val="single" w:sz="4" w:space="0" w:color="7F7F7F" w:themeColor="text1" w:themeTint="80"/>
              <w:bottom w:val="single" w:sz="8" w:space="0" w:color="7F7F7F" w:themeColor="text1" w:themeTint="80"/>
            </w:tcBorders>
            <w:shd w:val="clear" w:color="auto" w:fill="auto"/>
          </w:tcPr>
          <w:p w14:paraId="59EB3803" w14:textId="77777777" w:rsidR="00594674" w:rsidRPr="003F21CB" w:rsidRDefault="00594674" w:rsidP="001E02BC">
            <w:pPr>
              <w:jc w:val="center"/>
              <w:rPr>
                <w:rFonts w:eastAsia="Times New Roman" w:cs="Times New Roman"/>
                <w:color w:val="000000" w:themeColor="text1"/>
                <w:szCs w:val="24"/>
                <w:lang w:eastAsia="cs-CZ"/>
              </w:rPr>
            </w:pPr>
            <w:r w:rsidRPr="003F21CB">
              <w:rPr>
                <w:rFonts w:eastAsia="Times New Roman" w:cs="Times New Roman"/>
                <w:color w:val="000000" w:themeColor="text1"/>
                <w:szCs w:val="24"/>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14:paraId="2FD0C0CE" w14:textId="77777777" w:rsidR="00594674" w:rsidRPr="003F21CB" w:rsidRDefault="00594674" w:rsidP="001E02BC">
            <w:pPr>
              <w:jc w:val="center"/>
              <w:rPr>
                <w:rFonts w:eastAsia="Times New Roman" w:cs="Times New Roman"/>
                <w:color w:val="000000" w:themeColor="text1"/>
                <w:szCs w:val="24"/>
                <w:lang w:eastAsia="cs-CZ"/>
              </w:rPr>
            </w:pPr>
            <w:r w:rsidRPr="003F21CB">
              <w:rPr>
                <w:rFonts w:eastAsia="Times New Roman" w:cs="Times New Roman"/>
                <w:color w:val="000000" w:themeColor="text1"/>
                <w:szCs w:val="24"/>
                <w:lang w:eastAsia="cs-CZ"/>
              </w:rPr>
              <w:t>4</w:t>
            </w:r>
          </w:p>
        </w:tc>
      </w:tr>
      <w:tr w:rsidR="003F21CB" w:rsidRPr="003F21CB" w14:paraId="638D7DCD" w14:textId="77777777" w:rsidTr="00594674">
        <w:tc>
          <w:tcPr>
            <w:tcW w:w="2293" w:type="pct"/>
            <w:tcBorders>
              <w:top w:val="single" w:sz="8" w:space="0" w:color="7F7F7F" w:themeColor="text1" w:themeTint="80"/>
              <w:bottom w:val="single" w:sz="8" w:space="0" w:color="7F7F7F" w:themeColor="text1" w:themeTint="80"/>
            </w:tcBorders>
            <w:shd w:val="clear" w:color="auto" w:fill="auto"/>
          </w:tcPr>
          <w:p w14:paraId="5C4DA111" w14:textId="77777777" w:rsidR="003F21CB" w:rsidRPr="003F21CB" w:rsidRDefault="003F21CB" w:rsidP="003F21CB">
            <w:pPr>
              <w:rPr>
                <w:rFonts w:eastAsia="Times New Roman" w:cs="Times New Roman"/>
                <w:b/>
                <w:color w:val="000000" w:themeColor="text1"/>
                <w:lang w:eastAsia="cs-CZ"/>
              </w:rPr>
            </w:pPr>
            <w:r w:rsidRPr="003F21CB">
              <w:rPr>
                <w:rFonts w:eastAsia="Times New Roman" w:cs="Times New Roman"/>
                <w:b/>
                <w:color w:val="000000" w:themeColor="text1"/>
                <w:lang w:eastAsia="cs-CZ"/>
              </w:rPr>
              <w:t xml:space="preserve">Veřejné rozpočty územní úrovně </w:t>
            </w:r>
          </w:p>
          <w:p w14:paraId="2928EFC1" w14:textId="77777777" w:rsidR="003F21CB" w:rsidRPr="003F21CB" w:rsidRDefault="003F21CB" w:rsidP="003F21CB">
            <w:pPr>
              <w:rPr>
                <w:rFonts w:eastAsia="Times New Roman" w:cs="Times New Roman"/>
                <w:color w:val="000000" w:themeColor="text1"/>
                <w:lang w:eastAsia="cs-CZ"/>
              </w:rPr>
            </w:pPr>
            <w:r w:rsidRPr="003F21CB">
              <w:rPr>
                <w:rFonts w:eastAsia="Times New Roman" w:cs="Times New Roman"/>
                <w:b/>
                <w:color w:val="000000" w:themeColor="text1"/>
                <w:lang w:eastAsia="cs-CZ"/>
              </w:rPr>
              <w:t>v tom:</w:t>
            </w:r>
          </w:p>
        </w:tc>
        <w:tc>
          <w:tcPr>
            <w:tcW w:w="754" w:type="pct"/>
            <w:tcBorders>
              <w:top w:val="single" w:sz="8" w:space="0" w:color="7F7F7F" w:themeColor="text1" w:themeTint="80"/>
              <w:bottom w:val="single" w:sz="8" w:space="0" w:color="7F7F7F" w:themeColor="text1" w:themeTint="80"/>
            </w:tcBorders>
            <w:shd w:val="clear" w:color="auto" w:fill="auto"/>
            <w:vAlign w:val="center"/>
          </w:tcPr>
          <w:p w14:paraId="22828C24" w14:textId="3DDB0400" w:rsidR="003F21CB" w:rsidRPr="003F21CB" w:rsidRDefault="003F21CB" w:rsidP="003F21CB">
            <w:pPr>
              <w:jc w:val="right"/>
              <w:rPr>
                <w:rFonts w:eastAsia="Times New Roman" w:cs="Times New Roman"/>
                <w:b/>
                <w:lang w:eastAsia="cs-CZ"/>
              </w:rPr>
            </w:pPr>
            <w:r w:rsidRPr="003F21CB">
              <w:rPr>
                <w:rFonts w:eastAsia="Times New Roman" w:cs="Times New Roman"/>
                <w:b/>
                <w:lang w:eastAsia="cs-CZ"/>
              </w:rPr>
              <w:t xml:space="preserve">3 406 </w:t>
            </w:r>
            <w:r w:rsidR="00743267">
              <w:rPr>
                <w:rFonts w:eastAsia="Times New Roman" w:cs="Times New Roman"/>
                <w:b/>
                <w:lang w:eastAsia="cs-CZ"/>
              </w:rPr>
              <w:t>263</w:t>
            </w:r>
          </w:p>
        </w:tc>
        <w:tc>
          <w:tcPr>
            <w:tcW w:w="698" w:type="pct"/>
            <w:tcBorders>
              <w:top w:val="single" w:sz="8" w:space="0" w:color="7F7F7F" w:themeColor="text1" w:themeTint="80"/>
              <w:bottom w:val="single" w:sz="8" w:space="0" w:color="7F7F7F" w:themeColor="text1" w:themeTint="80"/>
            </w:tcBorders>
            <w:shd w:val="clear" w:color="auto" w:fill="auto"/>
            <w:vAlign w:val="center"/>
          </w:tcPr>
          <w:p w14:paraId="0547106E" w14:textId="1225AB69" w:rsidR="003F21CB" w:rsidRPr="003F21CB" w:rsidRDefault="003F21CB" w:rsidP="003F21CB">
            <w:pPr>
              <w:jc w:val="right"/>
              <w:rPr>
                <w:rFonts w:eastAsia="Times New Roman" w:cs="Times New Roman"/>
                <w:b/>
                <w:lang w:eastAsia="cs-CZ"/>
              </w:rPr>
            </w:pPr>
            <w:r w:rsidRPr="003F21CB">
              <w:rPr>
                <w:rFonts w:eastAsia="Times New Roman" w:cs="Times New Roman"/>
                <w:b/>
                <w:lang w:eastAsia="cs-CZ"/>
              </w:rPr>
              <w:t>4 109 877</w:t>
            </w:r>
          </w:p>
        </w:tc>
        <w:tc>
          <w:tcPr>
            <w:tcW w:w="690" w:type="pct"/>
            <w:tcBorders>
              <w:top w:val="single" w:sz="8" w:space="0" w:color="7F7F7F" w:themeColor="text1" w:themeTint="80"/>
              <w:bottom w:val="single" w:sz="8" w:space="0" w:color="7F7F7F" w:themeColor="text1" w:themeTint="80"/>
            </w:tcBorders>
            <w:shd w:val="clear" w:color="auto" w:fill="auto"/>
            <w:vAlign w:val="center"/>
          </w:tcPr>
          <w:p w14:paraId="124E0D27" w14:textId="5409B5CD" w:rsidR="003F21CB" w:rsidRPr="003F21CB" w:rsidRDefault="003F21CB" w:rsidP="003F21CB">
            <w:pPr>
              <w:jc w:val="right"/>
              <w:rPr>
                <w:rFonts w:eastAsia="Times New Roman" w:cs="Times New Roman"/>
                <w:b/>
                <w:lang w:eastAsia="cs-CZ"/>
              </w:rPr>
            </w:pPr>
            <w:r w:rsidRPr="003F21CB">
              <w:rPr>
                <w:rFonts w:eastAsia="Times New Roman" w:cs="Times New Roman"/>
                <w:b/>
                <w:lang w:eastAsia="cs-CZ"/>
              </w:rPr>
              <w:t>4 507 084</w:t>
            </w:r>
          </w:p>
        </w:tc>
        <w:tc>
          <w:tcPr>
            <w:tcW w:w="565" w:type="pct"/>
            <w:tcBorders>
              <w:top w:val="single" w:sz="8" w:space="0" w:color="7F7F7F" w:themeColor="text1" w:themeTint="80"/>
              <w:bottom w:val="single" w:sz="8" w:space="0" w:color="7F7F7F" w:themeColor="text1" w:themeTint="80"/>
            </w:tcBorders>
            <w:shd w:val="clear" w:color="auto" w:fill="auto"/>
            <w:vAlign w:val="center"/>
          </w:tcPr>
          <w:p w14:paraId="575B45B1" w14:textId="214967B6" w:rsidR="003F21CB" w:rsidRPr="003F21CB" w:rsidRDefault="003F21CB" w:rsidP="003F21CB">
            <w:pPr>
              <w:jc w:val="right"/>
              <w:rPr>
                <w:rFonts w:eastAsia="Times New Roman" w:cs="Times New Roman"/>
                <w:b/>
                <w:color w:val="FF0000"/>
                <w:lang w:eastAsia="cs-CZ"/>
              </w:rPr>
            </w:pPr>
            <w:r w:rsidRPr="003F21CB">
              <w:rPr>
                <w:rFonts w:eastAsia="Times New Roman" w:cs="Times New Roman"/>
                <w:b/>
                <w:color w:val="000000" w:themeColor="text1"/>
                <w:lang w:eastAsia="cs-CZ"/>
              </w:rPr>
              <w:t>109,66</w:t>
            </w:r>
          </w:p>
        </w:tc>
      </w:tr>
      <w:tr w:rsidR="003F21CB" w:rsidRPr="003F21CB" w14:paraId="08F72EDE" w14:textId="77777777" w:rsidTr="00594674">
        <w:tc>
          <w:tcPr>
            <w:tcW w:w="2293" w:type="pct"/>
            <w:tcBorders>
              <w:top w:val="single" w:sz="8" w:space="0" w:color="7F7F7F" w:themeColor="text1" w:themeTint="80"/>
            </w:tcBorders>
            <w:shd w:val="clear" w:color="auto" w:fill="auto"/>
          </w:tcPr>
          <w:p w14:paraId="46200DE5" w14:textId="77777777" w:rsidR="003F21CB" w:rsidRPr="003F21CB" w:rsidRDefault="003F21CB" w:rsidP="003F21CB">
            <w:pPr>
              <w:rPr>
                <w:rFonts w:eastAsia="Times New Roman" w:cs="Times New Roman"/>
                <w:color w:val="000000" w:themeColor="text1"/>
                <w:lang w:eastAsia="cs-CZ"/>
              </w:rPr>
            </w:pPr>
            <w:r w:rsidRPr="003F21CB">
              <w:rPr>
                <w:rFonts w:eastAsia="Times New Roman" w:cs="Times New Roman"/>
                <w:color w:val="000000" w:themeColor="text1"/>
                <w:lang w:eastAsia="cs-CZ"/>
              </w:rPr>
              <w:t xml:space="preserve">Obce  </w:t>
            </w:r>
          </w:p>
        </w:tc>
        <w:tc>
          <w:tcPr>
            <w:tcW w:w="754" w:type="pct"/>
            <w:tcBorders>
              <w:top w:val="single" w:sz="8" w:space="0" w:color="7F7F7F" w:themeColor="text1" w:themeTint="80"/>
            </w:tcBorders>
            <w:shd w:val="clear" w:color="auto" w:fill="auto"/>
            <w:vAlign w:val="center"/>
          </w:tcPr>
          <w:p w14:paraId="56C1DDA9" w14:textId="1995CFFB" w:rsidR="003F21CB" w:rsidRPr="003F21CB" w:rsidRDefault="003F21CB" w:rsidP="003F21CB">
            <w:pPr>
              <w:jc w:val="right"/>
              <w:rPr>
                <w:rFonts w:eastAsia="Times New Roman" w:cs="Times New Roman"/>
                <w:lang w:eastAsia="cs-CZ"/>
              </w:rPr>
            </w:pPr>
            <w:r w:rsidRPr="003F21CB">
              <w:rPr>
                <w:rFonts w:eastAsia="Times New Roman" w:cs="Times New Roman"/>
                <w:lang w:eastAsia="cs-CZ"/>
              </w:rPr>
              <w:t>292 758</w:t>
            </w:r>
          </w:p>
        </w:tc>
        <w:tc>
          <w:tcPr>
            <w:tcW w:w="698" w:type="pct"/>
            <w:tcBorders>
              <w:top w:val="single" w:sz="8" w:space="0" w:color="7F7F7F" w:themeColor="text1" w:themeTint="80"/>
            </w:tcBorders>
            <w:shd w:val="clear" w:color="auto" w:fill="auto"/>
            <w:vAlign w:val="center"/>
          </w:tcPr>
          <w:p w14:paraId="66618392" w14:textId="18018213" w:rsidR="003F21CB" w:rsidRPr="003F21CB" w:rsidRDefault="003F21CB" w:rsidP="003F21CB">
            <w:pPr>
              <w:jc w:val="right"/>
              <w:rPr>
                <w:rFonts w:eastAsia="Times New Roman" w:cs="Times New Roman"/>
                <w:lang w:eastAsia="cs-CZ"/>
              </w:rPr>
            </w:pPr>
            <w:r w:rsidRPr="003F21CB">
              <w:rPr>
                <w:rFonts w:eastAsia="Times New Roman" w:cs="Times New Roman"/>
                <w:lang w:eastAsia="cs-CZ"/>
              </w:rPr>
              <w:t>353 732</w:t>
            </w:r>
          </w:p>
        </w:tc>
        <w:tc>
          <w:tcPr>
            <w:tcW w:w="690" w:type="pct"/>
            <w:tcBorders>
              <w:top w:val="single" w:sz="8" w:space="0" w:color="7F7F7F" w:themeColor="text1" w:themeTint="80"/>
            </w:tcBorders>
            <w:shd w:val="clear" w:color="auto" w:fill="auto"/>
            <w:vAlign w:val="center"/>
          </w:tcPr>
          <w:p w14:paraId="46015673" w14:textId="34F9CEA8" w:rsidR="003F21CB" w:rsidRPr="003F21CB" w:rsidRDefault="003F21CB" w:rsidP="003F21CB">
            <w:pPr>
              <w:jc w:val="right"/>
              <w:rPr>
                <w:rFonts w:eastAsia="Times New Roman" w:cs="Times New Roman"/>
                <w:lang w:eastAsia="cs-CZ"/>
              </w:rPr>
            </w:pPr>
            <w:r w:rsidRPr="003F21CB">
              <w:rPr>
                <w:rFonts w:eastAsia="Times New Roman" w:cs="Times New Roman"/>
                <w:lang w:eastAsia="cs-CZ"/>
              </w:rPr>
              <w:t>385 555</w:t>
            </w:r>
          </w:p>
        </w:tc>
        <w:tc>
          <w:tcPr>
            <w:tcW w:w="565" w:type="pct"/>
            <w:tcBorders>
              <w:top w:val="single" w:sz="8" w:space="0" w:color="7F7F7F" w:themeColor="text1" w:themeTint="80"/>
            </w:tcBorders>
            <w:shd w:val="clear" w:color="auto" w:fill="auto"/>
            <w:vAlign w:val="center"/>
          </w:tcPr>
          <w:p w14:paraId="3C5E4E86" w14:textId="55267CA8" w:rsidR="003F21CB" w:rsidRPr="003F21CB" w:rsidRDefault="003F21CB" w:rsidP="003F21CB">
            <w:pPr>
              <w:jc w:val="right"/>
              <w:rPr>
                <w:rFonts w:eastAsia="Times New Roman" w:cs="Times New Roman"/>
                <w:color w:val="FF0000"/>
                <w:lang w:eastAsia="cs-CZ"/>
              </w:rPr>
            </w:pPr>
            <w:r w:rsidRPr="003F21CB">
              <w:rPr>
                <w:rFonts w:eastAsia="Times New Roman" w:cs="Times New Roman"/>
                <w:color w:val="000000" w:themeColor="text1"/>
                <w:lang w:eastAsia="cs-CZ"/>
              </w:rPr>
              <w:t>109,00</w:t>
            </w:r>
          </w:p>
        </w:tc>
      </w:tr>
      <w:tr w:rsidR="003F21CB" w:rsidRPr="00D070B8" w14:paraId="1650DC99" w14:textId="77777777" w:rsidTr="00594674">
        <w:tc>
          <w:tcPr>
            <w:tcW w:w="2293" w:type="pct"/>
            <w:shd w:val="clear" w:color="auto" w:fill="auto"/>
          </w:tcPr>
          <w:p w14:paraId="0DCDB95E" w14:textId="77777777" w:rsidR="003F21CB" w:rsidRPr="003F21CB" w:rsidRDefault="003F21CB" w:rsidP="003F21CB">
            <w:pPr>
              <w:rPr>
                <w:rFonts w:eastAsia="Times New Roman" w:cs="Times New Roman"/>
                <w:color w:val="000000" w:themeColor="text1"/>
                <w:lang w:eastAsia="cs-CZ"/>
              </w:rPr>
            </w:pPr>
            <w:r w:rsidRPr="003F21CB">
              <w:rPr>
                <w:rFonts w:eastAsia="Times New Roman" w:cs="Times New Roman"/>
                <w:color w:val="000000" w:themeColor="text1"/>
                <w:lang w:eastAsia="cs-CZ"/>
              </w:rPr>
              <w:t xml:space="preserve">Kraje </w:t>
            </w:r>
          </w:p>
        </w:tc>
        <w:tc>
          <w:tcPr>
            <w:tcW w:w="754" w:type="pct"/>
            <w:shd w:val="clear" w:color="auto" w:fill="auto"/>
            <w:vAlign w:val="center"/>
          </w:tcPr>
          <w:p w14:paraId="284CFFE6" w14:textId="1B020FDF" w:rsidR="003F21CB" w:rsidRPr="003F21CB" w:rsidRDefault="003F21CB" w:rsidP="003F21CB">
            <w:pPr>
              <w:jc w:val="right"/>
              <w:rPr>
                <w:rFonts w:eastAsia="Times New Roman" w:cs="Times New Roman"/>
                <w:lang w:eastAsia="cs-CZ"/>
              </w:rPr>
            </w:pPr>
            <w:r w:rsidRPr="003F21CB">
              <w:rPr>
                <w:rFonts w:eastAsia="Times New Roman" w:cs="Times New Roman"/>
                <w:lang w:eastAsia="cs-CZ"/>
              </w:rPr>
              <w:t xml:space="preserve">3 113 </w:t>
            </w:r>
            <w:r w:rsidR="00743267">
              <w:rPr>
                <w:rFonts w:eastAsia="Times New Roman" w:cs="Times New Roman"/>
                <w:lang w:eastAsia="cs-CZ"/>
              </w:rPr>
              <w:t>505</w:t>
            </w:r>
          </w:p>
        </w:tc>
        <w:tc>
          <w:tcPr>
            <w:tcW w:w="698" w:type="pct"/>
            <w:shd w:val="clear" w:color="auto" w:fill="auto"/>
            <w:vAlign w:val="center"/>
          </w:tcPr>
          <w:p w14:paraId="2D01EF9A" w14:textId="3165D1F5" w:rsidR="003F21CB" w:rsidRPr="003F21CB" w:rsidRDefault="003F21CB" w:rsidP="003F21CB">
            <w:pPr>
              <w:jc w:val="right"/>
              <w:rPr>
                <w:rFonts w:eastAsia="Times New Roman" w:cs="Times New Roman"/>
                <w:lang w:eastAsia="cs-CZ"/>
              </w:rPr>
            </w:pPr>
            <w:r w:rsidRPr="003F21CB">
              <w:rPr>
                <w:rFonts w:eastAsia="Times New Roman" w:cs="Times New Roman"/>
                <w:lang w:eastAsia="cs-CZ"/>
              </w:rPr>
              <w:t>3 756 145</w:t>
            </w:r>
          </w:p>
        </w:tc>
        <w:tc>
          <w:tcPr>
            <w:tcW w:w="690" w:type="pct"/>
            <w:shd w:val="clear" w:color="auto" w:fill="auto"/>
            <w:vAlign w:val="center"/>
          </w:tcPr>
          <w:p w14:paraId="3E51A0A4" w14:textId="38B03174" w:rsidR="003F21CB" w:rsidRPr="003F21CB" w:rsidRDefault="003F21CB" w:rsidP="003F21CB">
            <w:pPr>
              <w:jc w:val="right"/>
              <w:rPr>
                <w:rFonts w:eastAsia="Times New Roman" w:cs="Times New Roman"/>
                <w:lang w:eastAsia="cs-CZ"/>
              </w:rPr>
            </w:pPr>
            <w:r w:rsidRPr="003F21CB">
              <w:rPr>
                <w:rFonts w:eastAsia="Times New Roman" w:cs="Times New Roman"/>
                <w:lang w:eastAsia="cs-CZ"/>
              </w:rPr>
              <w:t>4 121 529</w:t>
            </w:r>
          </w:p>
        </w:tc>
        <w:tc>
          <w:tcPr>
            <w:tcW w:w="565" w:type="pct"/>
            <w:shd w:val="clear" w:color="auto" w:fill="auto"/>
            <w:vAlign w:val="center"/>
          </w:tcPr>
          <w:p w14:paraId="5C8C882C" w14:textId="18818AB4" w:rsidR="003F21CB" w:rsidRPr="003F21CB" w:rsidRDefault="003F21CB" w:rsidP="003F21CB">
            <w:pPr>
              <w:jc w:val="right"/>
              <w:rPr>
                <w:rFonts w:eastAsia="Times New Roman" w:cs="Times New Roman"/>
                <w:color w:val="FF0000"/>
                <w:lang w:eastAsia="cs-CZ"/>
              </w:rPr>
            </w:pPr>
            <w:r w:rsidRPr="003F21CB">
              <w:rPr>
                <w:rFonts w:eastAsia="Times New Roman" w:cs="Times New Roman"/>
                <w:color w:val="000000" w:themeColor="text1"/>
                <w:lang w:eastAsia="cs-CZ"/>
              </w:rPr>
              <w:t>109,73</w:t>
            </w:r>
          </w:p>
        </w:tc>
      </w:tr>
    </w:tbl>
    <w:p w14:paraId="45CCA2E0" w14:textId="77777777" w:rsidR="003F21CB" w:rsidRPr="00486F1A" w:rsidRDefault="003F21CB" w:rsidP="003F21CB">
      <w:pPr>
        <w:pStyle w:val="Nadpis4"/>
      </w:pPr>
      <w:r w:rsidRPr="00486F1A">
        <w:t>Úhrada ztráty ze závazku veřejné služby ve veřejné drážní osobní dopravě</w:t>
      </w:r>
    </w:p>
    <w:p w14:paraId="37D2AB2C" w14:textId="64F6A089" w:rsidR="003F21CB" w:rsidRDefault="003F21CB" w:rsidP="003F21CB">
      <w:pPr>
        <w:pStyle w:val="Styl1"/>
        <w:rPr>
          <w:color w:val="000000" w:themeColor="text1"/>
        </w:rPr>
      </w:pPr>
      <w:r w:rsidRPr="008A64BA">
        <w:rPr>
          <w:color w:val="000000" w:themeColor="text1"/>
        </w:rPr>
        <w:t>Dne 9. 3. 2016 vláda projednala a schválila usnesením č. 191 způsob financování regionální železniční dopravy po roce 2019. Zároveň uložila ministru dopravy připravit návrh právního zajištění spolufinancování regionální železniční dopravy. V návaznosti na tento úkol byl Ministerstvem dopravy předložen na schůzi vlády dne 20. července 2016 návrh Smlouvy o zajištění stabilního financování regionální železniční osobní dopravy, který byl schválen usnesením vlády č. 645/2016</w:t>
      </w:r>
      <w:r w:rsidR="008C43E6">
        <w:rPr>
          <w:color w:val="000000" w:themeColor="text1"/>
        </w:rPr>
        <w:t>.</w:t>
      </w:r>
    </w:p>
    <w:p w14:paraId="54DC3D47" w14:textId="77777777" w:rsidR="008271A0" w:rsidRDefault="003F21CB" w:rsidP="00532866">
      <w:pPr>
        <w:pStyle w:val="Styl1"/>
      </w:pPr>
      <w:r w:rsidRPr="006915EE">
        <w:t xml:space="preserve">Neinvestiční transfery krajům a obcím jsou pro rok 2025 rozpočtovány v částce </w:t>
      </w:r>
      <w:r w:rsidRPr="006915EE">
        <w:br/>
        <w:t>4 505 464 tis. Kč, tj. navýšení o 395 587 tis. Kč oproti schválenému rozpočtu na rok 2024. Navržená výše prostředků odpovídá výdajům dohodnutým ve Smlouvě o zajištění stabilního financování regionální železniční osobní dopravy</w:t>
      </w:r>
      <w:r w:rsidR="00532866" w:rsidRPr="003F21CB">
        <w:t>.</w:t>
      </w:r>
    </w:p>
    <w:p w14:paraId="2027ACEE" w14:textId="77777777" w:rsidR="008271A0" w:rsidRPr="00486F1A" w:rsidRDefault="008271A0" w:rsidP="008271A0">
      <w:pPr>
        <w:pStyle w:val="Nadpis4"/>
      </w:pPr>
      <w:r>
        <w:lastRenderedPageBreak/>
        <w:t>EU SST Partnership – hvězdárna a planetárium Teplice</w:t>
      </w:r>
    </w:p>
    <w:p w14:paraId="2D21DBA9" w14:textId="77777777" w:rsidR="008271A0" w:rsidRDefault="008271A0" w:rsidP="008271A0">
      <w:pPr>
        <w:pStyle w:val="Styl1"/>
        <w:rPr>
          <w:color w:val="000000" w:themeColor="text1"/>
        </w:rPr>
      </w:pPr>
      <w:r>
        <w:rPr>
          <w:color w:val="000000" w:themeColor="text1"/>
        </w:rPr>
        <w:t>Pro rok 2025 jsou navrženy finanční prostředky ve výši 1 620 tis. Kč, v tom prostředky EU 1 620 tis. Kč. Prostředky jsou určeny pro příspěvkovou organizaci Ústeckého kraje Observatoř a planetárium v Teplicích. EU SST je evropský operační rámec, který chrání kosmickou infrastrukturu EU, zejména družice zapojené do vesmírného programu EU, jejich členských států a dalších provozovatelů. Využívá síť pozemních senzorů schopných sledovat a monitorovat umělé vesmírné objekty spolu se zpracovatelskými kapacitami, jejichž cílem je poskytovat údaje, informace a služby o kosmických objektech na oběžné dráze Země.</w:t>
      </w:r>
    </w:p>
    <w:p w14:paraId="50869C8C" w14:textId="665DDA14" w:rsidR="00532866" w:rsidRPr="00D070B8" w:rsidRDefault="008271A0" w:rsidP="008271A0">
      <w:pPr>
        <w:pStyle w:val="Styl1"/>
        <w:rPr>
          <w:highlight w:val="yellow"/>
        </w:rPr>
      </w:pPr>
      <w:r>
        <w:rPr>
          <w:color w:val="000000" w:themeColor="text1"/>
        </w:rPr>
        <w:t>Prostředky budou poskytnuty konečnému příjemci prostřednictvím Ústeckého kraje.</w:t>
      </w:r>
      <w:r w:rsidR="00532866" w:rsidRPr="00D070B8">
        <w:rPr>
          <w:highlight w:val="yellow"/>
        </w:rPr>
        <w:t xml:space="preserve"> </w:t>
      </w:r>
    </w:p>
    <w:p w14:paraId="5730747C" w14:textId="6E2E6190" w:rsidR="00532866" w:rsidRPr="00D94860" w:rsidRDefault="00532866" w:rsidP="00532866">
      <w:pPr>
        <w:keepNext/>
        <w:spacing w:before="240" w:after="240"/>
        <w:rPr>
          <w:rFonts w:eastAsia="Times New Roman" w:cs="Times New Roman"/>
          <w:b/>
          <w:color w:val="000000" w:themeColor="text1"/>
          <w:sz w:val="20"/>
          <w:szCs w:val="20"/>
          <w:lang w:eastAsia="cs-CZ"/>
        </w:rPr>
      </w:pPr>
      <w:bookmarkStart w:id="188" w:name="_Toc109740488"/>
      <w:bookmarkStart w:id="189" w:name="_Toc141450981"/>
      <w:bookmarkStart w:id="190" w:name="_Toc179888383"/>
      <w:r w:rsidRPr="00365E95">
        <w:rPr>
          <w:rFonts w:eastAsia="Times New Roman" w:cs="Times New Roman"/>
          <w:b/>
          <w:color w:val="000000" w:themeColor="text1"/>
          <w:sz w:val="20"/>
          <w:szCs w:val="20"/>
          <w:lang w:eastAsia="cs-CZ"/>
        </w:rPr>
        <w:t xml:space="preserve">Graf č. </w:t>
      </w:r>
      <w:r w:rsidRPr="00365E95">
        <w:rPr>
          <w:rFonts w:eastAsia="Times New Roman" w:cs="Times New Roman"/>
          <w:b/>
          <w:color w:val="000000" w:themeColor="text1"/>
          <w:sz w:val="20"/>
          <w:szCs w:val="20"/>
          <w:lang w:eastAsia="cs-CZ"/>
        </w:rPr>
        <w:fldChar w:fldCharType="begin"/>
      </w:r>
      <w:r w:rsidRPr="00365E95">
        <w:rPr>
          <w:rFonts w:eastAsia="Times New Roman" w:cs="Times New Roman"/>
          <w:b/>
          <w:color w:val="000000" w:themeColor="text1"/>
          <w:sz w:val="20"/>
          <w:szCs w:val="20"/>
          <w:lang w:eastAsia="cs-CZ"/>
        </w:rPr>
        <w:instrText xml:space="preserve"> SEQ Graf_č. \* ARABIC </w:instrText>
      </w:r>
      <w:r w:rsidRPr="00365E95">
        <w:rPr>
          <w:rFonts w:eastAsia="Times New Roman" w:cs="Times New Roman"/>
          <w:b/>
          <w:color w:val="000000" w:themeColor="text1"/>
          <w:sz w:val="20"/>
          <w:szCs w:val="20"/>
          <w:lang w:eastAsia="cs-CZ"/>
        </w:rPr>
        <w:fldChar w:fldCharType="separate"/>
      </w:r>
      <w:r w:rsidR="003B0B01" w:rsidRPr="00365E95">
        <w:rPr>
          <w:rFonts w:eastAsia="Times New Roman" w:cs="Times New Roman"/>
          <w:b/>
          <w:noProof/>
          <w:color w:val="000000" w:themeColor="text1"/>
          <w:sz w:val="20"/>
          <w:szCs w:val="20"/>
          <w:lang w:eastAsia="cs-CZ"/>
        </w:rPr>
        <w:t>7</w:t>
      </w:r>
      <w:r w:rsidRPr="00365E95">
        <w:rPr>
          <w:rFonts w:eastAsia="Times New Roman" w:cs="Times New Roman"/>
          <w:b/>
          <w:color w:val="000000" w:themeColor="text1"/>
          <w:sz w:val="20"/>
          <w:szCs w:val="20"/>
          <w:lang w:eastAsia="cs-CZ"/>
        </w:rPr>
        <w:fldChar w:fldCharType="end"/>
      </w:r>
      <w:r w:rsidRPr="00365E95">
        <w:rPr>
          <w:rFonts w:eastAsia="Times New Roman" w:cs="Times New Roman"/>
          <w:b/>
          <w:color w:val="000000" w:themeColor="text1"/>
          <w:sz w:val="20"/>
          <w:szCs w:val="20"/>
          <w:lang w:eastAsia="cs-CZ"/>
        </w:rPr>
        <w:t xml:space="preserve"> Neinvestiční transfery veřejným rozpočtům územní úrovně (v tis. Kč)</w:t>
      </w:r>
      <w:bookmarkEnd w:id="188"/>
      <w:bookmarkEnd w:id="189"/>
      <w:bookmarkEnd w:id="190"/>
    </w:p>
    <w:p w14:paraId="78F199C7" w14:textId="77777777" w:rsidR="00532866" w:rsidRPr="007E2F61" w:rsidRDefault="00532866" w:rsidP="00532866">
      <w:pPr>
        <w:spacing w:after="80"/>
        <w:rPr>
          <w:rFonts w:eastAsia="Times New Roman" w:cs="Times New Roman"/>
          <w:noProof/>
          <w:color w:val="FF0000"/>
          <w:szCs w:val="24"/>
          <w:lang w:eastAsia="cs-CZ"/>
        </w:rPr>
      </w:pPr>
      <w:r w:rsidRPr="007E2F61">
        <w:rPr>
          <w:rFonts w:eastAsia="Times New Roman" w:cs="Times New Roman"/>
          <w:noProof/>
          <w:color w:val="FF0000"/>
          <w:szCs w:val="24"/>
          <w:lang w:eastAsia="cs-CZ"/>
        </w:rPr>
        <w:drawing>
          <wp:inline distT="0" distB="0" distL="0" distR="0" wp14:anchorId="67A5543D" wp14:editId="03C84EAA">
            <wp:extent cx="5676900" cy="2553419"/>
            <wp:effectExtent l="0" t="0" r="0" b="18415"/>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3394B0D" w14:textId="77777777" w:rsidR="0057450B" w:rsidRPr="00F50002" w:rsidRDefault="0057450B" w:rsidP="00F23ED8">
      <w:pPr>
        <w:pStyle w:val="Nadpis3"/>
        <w:rPr>
          <w:color w:val="FF0000"/>
        </w:rPr>
      </w:pPr>
      <w:bookmarkStart w:id="191" w:name="_Toc179964100"/>
      <w:bookmarkEnd w:id="186"/>
      <w:bookmarkEnd w:id="187"/>
      <w:r w:rsidRPr="00F50002">
        <w:t>Neinvestiční transfery neziskovým a podobným organizacím</w:t>
      </w:r>
      <w:bookmarkEnd w:id="184"/>
      <w:bookmarkEnd w:id="185"/>
      <w:bookmarkEnd w:id="191"/>
      <w:r w:rsidRPr="00F50002">
        <w:t xml:space="preserve"> </w:t>
      </w:r>
    </w:p>
    <w:p w14:paraId="4800E14D" w14:textId="654D417E" w:rsidR="00F252D5" w:rsidRPr="00F50002" w:rsidRDefault="00F252D5" w:rsidP="00A4652C">
      <w:pPr>
        <w:pStyle w:val="Titulek"/>
        <w:rPr>
          <w:noProof/>
        </w:rPr>
      </w:pPr>
      <w:r w:rsidRPr="00F50002">
        <w:t xml:space="preserve">Tabulka č. </w:t>
      </w:r>
      <w:r w:rsidRPr="00F50002">
        <w:rPr>
          <w:noProof/>
        </w:rPr>
        <w:fldChar w:fldCharType="begin"/>
      </w:r>
      <w:r w:rsidRPr="00F50002">
        <w:rPr>
          <w:noProof/>
        </w:rPr>
        <w:instrText xml:space="preserve"> SEQ Tabulka \* ARABIC </w:instrText>
      </w:r>
      <w:r w:rsidRPr="00F50002">
        <w:rPr>
          <w:noProof/>
        </w:rPr>
        <w:fldChar w:fldCharType="separate"/>
      </w:r>
      <w:r w:rsidR="003B0B01" w:rsidRPr="00F50002">
        <w:rPr>
          <w:noProof/>
        </w:rPr>
        <w:t>27</w:t>
      </w:r>
      <w:r w:rsidRPr="00F50002">
        <w:rPr>
          <w:noProof/>
        </w:rPr>
        <w:fldChar w:fldCharType="end"/>
      </w:r>
      <w:r w:rsidRPr="00F50002">
        <w:rPr>
          <w:noProof/>
        </w:rPr>
        <w:t xml:space="preserve"> </w:t>
      </w:r>
      <w:r w:rsidRPr="00F50002">
        <w:t>Neinvestiční</w:t>
      </w:r>
      <w:r w:rsidRPr="00F50002">
        <w:rPr>
          <w:noProof/>
        </w:rPr>
        <w:t xml:space="preserve"> transfery neziskovým a podobným organizacím (v tis. Kč)</w:t>
      </w:r>
    </w:p>
    <w:tbl>
      <w:tblPr>
        <w:tblStyle w:val="Svtltabulkasmkou1zvraznn5"/>
        <w:tblW w:w="506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64"/>
        <w:gridCol w:w="1439"/>
        <w:gridCol w:w="1275"/>
        <w:gridCol w:w="1134"/>
        <w:gridCol w:w="951"/>
      </w:tblGrid>
      <w:tr w:rsidR="00B7577B" w:rsidRPr="00F50002" w14:paraId="19708902" w14:textId="77777777" w:rsidTr="00D70106">
        <w:tc>
          <w:tcPr>
            <w:tcW w:w="23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CCB558" w14:textId="77777777" w:rsidR="00C86C4C" w:rsidRPr="00F50002" w:rsidRDefault="00C86C4C" w:rsidP="00C86C4C">
            <w:pPr>
              <w:jc w:val="center"/>
              <w:rPr>
                <w:rFonts w:eastAsia="Times New Roman" w:cs="Times New Roman"/>
                <w:b/>
                <w:szCs w:val="24"/>
                <w:lang w:eastAsia="cs-CZ"/>
              </w:rPr>
            </w:pPr>
            <w:bookmarkStart w:id="192" w:name="_Toc462314398"/>
            <w:bookmarkStart w:id="193" w:name="_Toc489274104"/>
            <w:r w:rsidRPr="00F50002">
              <w:rPr>
                <w:rFonts w:eastAsia="Times New Roman" w:cs="Times New Roman"/>
                <w:b/>
                <w:szCs w:val="24"/>
                <w:lang w:eastAsia="cs-CZ"/>
              </w:rPr>
              <w:t>Ukazatel</w:t>
            </w:r>
          </w:p>
        </w:tc>
        <w:tc>
          <w:tcPr>
            <w:tcW w:w="78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155D7EB" w14:textId="77777777"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Skutečnost</w:t>
            </w:r>
          </w:p>
          <w:p w14:paraId="35494264" w14:textId="05FF6D49"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202</w:t>
            </w:r>
            <w:r w:rsidR="005C2A20" w:rsidRPr="00F50002">
              <w:rPr>
                <w:rFonts w:eastAsia="Times New Roman" w:cs="Times New Roman"/>
                <w:b/>
                <w:szCs w:val="24"/>
                <w:lang w:eastAsia="cs-CZ"/>
              </w:rPr>
              <w:t>3</w:t>
            </w:r>
          </w:p>
        </w:tc>
        <w:tc>
          <w:tcPr>
            <w:tcW w:w="6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684BF02" w14:textId="77777777"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Schválený</w:t>
            </w:r>
          </w:p>
          <w:p w14:paraId="3DA090E9" w14:textId="77777777"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rozpočet</w:t>
            </w:r>
          </w:p>
          <w:p w14:paraId="53E404AC" w14:textId="69C49826"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20</w:t>
            </w:r>
            <w:r w:rsidR="005C2A20" w:rsidRPr="00F50002">
              <w:rPr>
                <w:rFonts w:eastAsia="Times New Roman" w:cs="Times New Roman"/>
                <w:b/>
                <w:szCs w:val="24"/>
                <w:lang w:eastAsia="cs-CZ"/>
              </w:rPr>
              <w:t>24</w:t>
            </w:r>
          </w:p>
        </w:tc>
        <w:tc>
          <w:tcPr>
            <w:tcW w:w="6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942601" w14:textId="77777777"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Návrh</w:t>
            </w:r>
          </w:p>
          <w:p w14:paraId="6782E74D" w14:textId="77777777"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rozpočtu</w:t>
            </w:r>
          </w:p>
          <w:p w14:paraId="23F06764" w14:textId="4F1EFD2A"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202</w:t>
            </w:r>
            <w:r w:rsidR="005C2A20" w:rsidRPr="00F50002">
              <w:rPr>
                <w:rFonts w:eastAsia="Times New Roman" w:cs="Times New Roman"/>
                <w:b/>
                <w:szCs w:val="24"/>
                <w:lang w:eastAsia="cs-CZ"/>
              </w:rPr>
              <w:t>5</w:t>
            </w:r>
          </w:p>
        </w:tc>
        <w:tc>
          <w:tcPr>
            <w:tcW w:w="5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BB28D0" w14:textId="77777777"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Index</w:t>
            </w:r>
          </w:p>
          <w:p w14:paraId="1F19AA54" w14:textId="41727963" w:rsidR="00C86C4C" w:rsidRPr="00F50002" w:rsidRDefault="00C86C4C" w:rsidP="00C86C4C">
            <w:pPr>
              <w:jc w:val="center"/>
              <w:rPr>
                <w:rFonts w:eastAsia="Times New Roman" w:cs="Times New Roman"/>
                <w:b/>
                <w:szCs w:val="24"/>
                <w:lang w:eastAsia="cs-CZ"/>
              </w:rPr>
            </w:pPr>
            <w:r w:rsidRPr="00F50002">
              <w:rPr>
                <w:rFonts w:eastAsia="Times New Roman" w:cs="Times New Roman"/>
                <w:b/>
                <w:szCs w:val="24"/>
                <w:lang w:eastAsia="cs-CZ"/>
              </w:rPr>
              <w:t>202</w:t>
            </w:r>
            <w:r w:rsidR="005C2A20" w:rsidRPr="00F50002">
              <w:rPr>
                <w:rFonts w:eastAsia="Times New Roman" w:cs="Times New Roman"/>
                <w:b/>
                <w:szCs w:val="24"/>
                <w:lang w:eastAsia="cs-CZ"/>
              </w:rPr>
              <w:t>5</w:t>
            </w:r>
            <w:r w:rsidRPr="00F50002">
              <w:rPr>
                <w:rFonts w:eastAsia="Times New Roman" w:cs="Times New Roman"/>
                <w:b/>
                <w:szCs w:val="24"/>
                <w:lang w:eastAsia="cs-CZ"/>
              </w:rPr>
              <w:t>/</w:t>
            </w:r>
            <w:r w:rsidRPr="00F50002">
              <w:rPr>
                <w:rFonts w:eastAsia="Times New Roman" w:cs="Times New Roman"/>
                <w:b/>
                <w:szCs w:val="24"/>
                <w:lang w:eastAsia="cs-CZ"/>
              </w:rPr>
              <w:br/>
              <w:t>202</w:t>
            </w:r>
            <w:r w:rsidR="005C2A20" w:rsidRPr="00F50002">
              <w:rPr>
                <w:rFonts w:eastAsia="Times New Roman" w:cs="Times New Roman"/>
                <w:b/>
                <w:szCs w:val="24"/>
                <w:lang w:eastAsia="cs-CZ"/>
              </w:rPr>
              <w:t>4</w:t>
            </w:r>
            <w:r w:rsidRPr="00F50002">
              <w:rPr>
                <w:rFonts w:eastAsia="Times New Roman" w:cs="Times New Roman"/>
                <w:b/>
                <w:szCs w:val="24"/>
                <w:lang w:eastAsia="cs-CZ"/>
              </w:rPr>
              <w:t xml:space="preserve"> </w:t>
            </w:r>
            <w:r w:rsidRPr="00F50002">
              <w:rPr>
                <w:rFonts w:eastAsia="Times New Roman" w:cs="Times New Roman"/>
                <w:b/>
                <w:szCs w:val="24"/>
                <w:lang w:eastAsia="cs-CZ"/>
              </w:rPr>
              <w:br/>
              <w:t>(v %)</w:t>
            </w:r>
          </w:p>
        </w:tc>
      </w:tr>
      <w:tr w:rsidR="00127093" w:rsidRPr="00F50002" w14:paraId="29CE4C2D" w14:textId="77777777" w:rsidTr="00CF417D">
        <w:tc>
          <w:tcPr>
            <w:tcW w:w="2381" w:type="pct"/>
            <w:tcBorders>
              <w:top w:val="single" w:sz="4" w:space="0" w:color="7F7F7F" w:themeColor="text1" w:themeTint="80"/>
              <w:bottom w:val="single" w:sz="8" w:space="0" w:color="7F7F7F" w:themeColor="text1" w:themeTint="80"/>
            </w:tcBorders>
            <w:shd w:val="clear" w:color="auto" w:fill="auto"/>
          </w:tcPr>
          <w:p w14:paraId="674E478A" w14:textId="77777777" w:rsidR="00C86C4C" w:rsidRPr="00F50002" w:rsidRDefault="00C86C4C" w:rsidP="00C86C4C">
            <w:pPr>
              <w:jc w:val="center"/>
              <w:rPr>
                <w:rFonts w:eastAsia="Times New Roman" w:cs="Times New Roman"/>
                <w:szCs w:val="24"/>
                <w:lang w:eastAsia="cs-CZ"/>
              </w:rPr>
            </w:pPr>
            <w:r w:rsidRPr="00F50002">
              <w:rPr>
                <w:rFonts w:eastAsia="Times New Roman" w:cs="Times New Roman"/>
                <w:szCs w:val="24"/>
                <w:lang w:eastAsia="cs-CZ"/>
              </w:rPr>
              <w:t>a</w:t>
            </w:r>
          </w:p>
        </w:tc>
        <w:tc>
          <w:tcPr>
            <w:tcW w:w="785" w:type="pct"/>
            <w:tcBorders>
              <w:top w:val="single" w:sz="4" w:space="0" w:color="7F7F7F" w:themeColor="text1" w:themeTint="80"/>
              <w:bottom w:val="single" w:sz="8" w:space="0" w:color="7F7F7F" w:themeColor="text1" w:themeTint="80"/>
            </w:tcBorders>
            <w:shd w:val="clear" w:color="auto" w:fill="auto"/>
          </w:tcPr>
          <w:p w14:paraId="411B64E1" w14:textId="77777777" w:rsidR="00C86C4C" w:rsidRPr="00F50002" w:rsidRDefault="00C86C4C" w:rsidP="00C86C4C">
            <w:pPr>
              <w:jc w:val="center"/>
              <w:rPr>
                <w:rFonts w:eastAsia="Times New Roman" w:cs="Times New Roman"/>
                <w:szCs w:val="24"/>
                <w:lang w:eastAsia="cs-CZ"/>
              </w:rPr>
            </w:pPr>
            <w:r w:rsidRPr="00F50002">
              <w:rPr>
                <w:rFonts w:eastAsia="Times New Roman" w:cs="Times New Roman"/>
                <w:szCs w:val="24"/>
                <w:lang w:eastAsia="cs-CZ"/>
              </w:rPr>
              <w:t>1</w:t>
            </w:r>
          </w:p>
        </w:tc>
        <w:tc>
          <w:tcPr>
            <w:tcW w:w="696" w:type="pct"/>
            <w:tcBorders>
              <w:top w:val="single" w:sz="4" w:space="0" w:color="7F7F7F" w:themeColor="text1" w:themeTint="80"/>
              <w:bottom w:val="single" w:sz="8" w:space="0" w:color="7F7F7F" w:themeColor="text1" w:themeTint="80"/>
            </w:tcBorders>
            <w:shd w:val="clear" w:color="auto" w:fill="auto"/>
          </w:tcPr>
          <w:p w14:paraId="52F9ED38" w14:textId="77777777" w:rsidR="00C86C4C" w:rsidRPr="00F50002" w:rsidRDefault="00C86C4C" w:rsidP="00C86C4C">
            <w:pPr>
              <w:jc w:val="center"/>
              <w:rPr>
                <w:rFonts w:eastAsia="Times New Roman" w:cs="Times New Roman"/>
                <w:szCs w:val="24"/>
                <w:lang w:eastAsia="cs-CZ"/>
              </w:rPr>
            </w:pPr>
            <w:r w:rsidRPr="00F50002">
              <w:rPr>
                <w:rFonts w:eastAsia="Times New Roman" w:cs="Times New Roman"/>
                <w:szCs w:val="24"/>
                <w:lang w:eastAsia="cs-CZ"/>
              </w:rPr>
              <w:t>2</w:t>
            </w:r>
          </w:p>
        </w:tc>
        <w:tc>
          <w:tcPr>
            <w:tcW w:w="619" w:type="pct"/>
            <w:tcBorders>
              <w:top w:val="single" w:sz="4" w:space="0" w:color="7F7F7F" w:themeColor="text1" w:themeTint="80"/>
              <w:bottom w:val="single" w:sz="8" w:space="0" w:color="7F7F7F" w:themeColor="text1" w:themeTint="80"/>
            </w:tcBorders>
            <w:shd w:val="clear" w:color="auto" w:fill="auto"/>
          </w:tcPr>
          <w:p w14:paraId="590E633F" w14:textId="77777777" w:rsidR="00C86C4C" w:rsidRPr="00F50002" w:rsidRDefault="00C86C4C" w:rsidP="00C86C4C">
            <w:pPr>
              <w:jc w:val="center"/>
              <w:rPr>
                <w:rFonts w:eastAsia="Times New Roman" w:cs="Times New Roman"/>
                <w:szCs w:val="24"/>
                <w:lang w:eastAsia="cs-CZ"/>
              </w:rPr>
            </w:pPr>
            <w:r w:rsidRPr="00F50002">
              <w:rPr>
                <w:rFonts w:eastAsia="Times New Roman" w:cs="Times New Roman"/>
                <w:szCs w:val="24"/>
                <w:lang w:eastAsia="cs-CZ"/>
              </w:rPr>
              <w:t>3</w:t>
            </w:r>
          </w:p>
        </w:tc>
        <w:tc>
          <w:tcPr>
            <w:tcW w:w="519" w:type="pct"/>
            <w:tcBorders>
              <w:top w:val="single" w:sz="4" w:space="0" w:color="7F7F7F" w:themeColor="text1" w:themeTint="80"/>
              <w:bottom w:val="single" w:sz="8" w:space="0" w:color="7F7F7F" w:themeColor="text1" w:themeTint="80"/>
            </w:tcBorders>
            <w:shd w:val="clear" w:color="auto" w:fill="auto"/>
          </w:tcPr>
          <w:p w14:paraId="180242ED" w14:textId="77777777" w:rsidR="00C86C4C" w:rsidRPr="00F50002" w:rsidRDefault="00C86C4C" w:rsidP="00C86C4C">
            <w:pPr>
              <w:jc w:val="center"/>
              <w:rPr>
                <w:rFonts w:eastAsia="Times New Roman" w:cs="Times New Roman"/>
                <w:szCs w:val="24"/>
                <w:lang w:eastAsia="cs-CZ"/>
              </w:rPr>
            </w:pPr>
            <w:r w:rsidRPr="00F50002">
              <w:rPr>
                <w:rFonts w:eastAsia="Times New Roman" w:cs="Times New Roman"/>
                <w:szCs w:val="24"/>
                <w:lang w:eastAsia="cs-CZ"/>
              </w:rPr>
              <w:t>4</w:t>
            </w:r>
          </w:p>
        </w:tc>
      </w:tr>
      <w:tr w:rsidR="005C2A20" w:rsidRPr="00F50002" w14:paraId="5C62C66F" w14:textId="77777777" w:rsidTr="00CF417D">
        <w:tc>
          <w:tcPr>
            <w:tcW w:w="2381" w:type="pct"/>
            <w:tcBorders>
              <w:top w:val="single" w:sz="8" w:space="0" w:color="7F7F7F" w:themeColor="text1" w:themeTint="80"/>
              <w:bottom w:val="single" w:sz="8" w:space="0" w:color="7F7F7F" w:themeColor="text1" w:themeTint="80"/>
            </w:tcBorders>
            <w:shd w:val="clear" w:color="auto" w:fill="auto"/>
          </w:tcPr>
          <w:p w14:paraId="6A4D1829" w14:textId="77777777" w:rsidR="005C2A20" w:rsidRPr="00F50002" w:rsidRDefault="005C2A20" w:rsidP="005C2A20">
            <w:pPr>
              <w:rPr>
                <w:rFonts w:eastAsia="Times New Roman" w:cs="Times New Roman"/>
                <w:b/>
                <w:lang w:eastAsia="cs-CZ"/>
              </w:rPr>
            </w:pPr>
            <w:r w:rsidRPr="00F50002">
              <w:rPr>
                <w:rFonts w:eastAsia="Times New Roman" w:cs="Times New Roman"/>
                <w:b/>
                <w:lang w:eastAsia="cs-CZ"/>
              </w:rPr>
              <w:t xml:space="preserve">Neziskové a podobné organizace </w:t>
            </w:r>
            <w:r w:rsidRPr="00F50002">
              <w:rPr>
                <w:rFonts w:eastAsia="Times New Roman" w:cs="Times New Roman"/>
                <w:lang w:eastAsia="cs-CZ"/>
              </w:rPr>
              <w:t>v tom:</w:t>
            </w:r>
          </w:p>
        </w:tc>
        <w:tc>
          <w:tcPr>
            <w:tcW w:w="785" w:type="pct"/>
            <w:tcBorders>
              <w:top w:val="single" w:sz="8" w:space="0" w:color="7F7F7F" w:themeColor="text1" w:themeTint="80"/>
              <w:bottom w:val="single" w:sz="8" w:space="0" w:color="7F7F7F" w:themeColor="text1" w:themeTint="80"/>
            </w:tcBorders>
            <w:shd w:val="clear" w:color="auto" w:fill="auto"/>
            <w:vAlign w:val="center"/>
          </w:tcPr>
          <w:p w14:paraId="2AA4D77B" w14:textId="524357C4" w:rsidR="005C2A20" w:rsidRPr="00F50002" w:rsidRDefault="005C2A20" w:rsidP="005C2A20">
            <w:pPr>
              <w:jc w:val="right"/>
              <w:rPr>
                <w:rFonts w:eastAsia="Times New Roman" w:cs="Times New Roman"/>
                <w:b/>
                <w:lang w:eastAsia="cs-CZ"/>
              </w:rPr>
            </w:pPr>
            <w:r w:rsidRPr="00F50002">
              <w:rPr>
                <w:rFonts w:eastAsia="Times New Roman" w:cs="Times New Roman"/>
                <w:b/>
                <w:lang w:eastAsia="cs-CZ"/>
              </w:rPr>
              <w:t>13 109</w:t>
            </w:r>
          </w:p>
        </w:tc>
        <w:tc>
          <w:tcPr>
            <w:tcW w:w="696" w:type="pct"/>
            <w:tcBorders>
              <w:top w:val="single" w:sz="8" w:space="0" w:color="7F7F7F" w:themeColor="text1" w:themeTint="80"/>
              <w:bottom w:val="single" w:sz="8" w:space="0" w:color="7F7F7F" w:themeColor="text1" w:themeTint="80"/>
            </w:tcBorders>
            <w:shd w:val="clear" w:color="auto" w:fill="auto"/>
            <w:vAlign w:val="center"/>
          </w:tcPr>
          <w:p w14:paraId="10EB4375" w14:textId="78BE3015" w:rsidR="005C2A20" w:rsidRPr="00F50002" w:rsidRDefault="005C2A20" w:rsidP="005C2A20">
            <w:pPr>
              <w:jc w:val="right"/>
              <w:rPr>
                <w:rFonts w:eastAsia="Times New Roman" w:cs="Times New Roman"/>
                <w:b/>
                <w:lang w:eastAsia="cs-CZ"/>
              </w:rPr>
            </w:pPr>
            <w:r w:rsidRPr="00F50002">
              <w:rPr>
                <w:rFonts w:eastAsia="Times New Roman" w:cs="Times New Roman"/>
                <w:b/>
                <w:lang w:eastAsia="cs-CZ"/>
              </w:rPr>
              <w:t>9 400</w:t>
            </w:r>
          </w:p>
        </w:tc>
        <w:tc>
          <w:tcPr>
            <w:tcW w:w="619" w:type="pct"/>
            <w:tcBorders>
              <w:top w:val="single" w:sz="8" w:space="0" w:color="7F7F7F" w:themeColor="text1" w:themeTint="80"/>
              <w:bottom w:val="single" w:sz="8" w:space="0" w:color="7F7F7F" w:themeColor="text1" w:themeTint="80"/>
            </w:tcBorders>
            <w:shd w:val="clear" w:color="auto" w:fill="auto"/>
            <w:vAlign w:val="center"/>
          </w:tcPr>
          <w:p w14:paraId="2C8794B4" w14:textId="5B156C17" w:rsidR="005C2A20" w:rsidRPr="00F50002" w:rsidRDefault="005C2A20" w:rsidP="005C2A20">
            <w:pPr>
              <w:jc w:val="right"/>
              <w:rPr>
                <w:rFonts w:eastAsia="Times New Roman" w:cs="Times New Roman"/>
                <w:b/>
                <w:lang w:eastAsia="cs-CZ"/>
              </w:rPr>
            </w:pPr>
            <w:r w:rsidRPr="00F50002">
              <w:rPr>
                <w:rFonts w:eastAsia="Times New Roman" w:cs="Times New Roman"/>
                <w:b/>
                <w:lang w:eastAsia="cs-CZ"/>
              </w:rPr>
              <w:t>10 340</w:t>
            </w:r>
          </w:p>
        </w:tc>
        <w:tc>
          <w:tcPr>
            <w:tcW w:w="519" w:type="pct"/>
            <w:tcBorders>
              <w:top w:val="single" w:sz="8" w:space="0" w:color="7F7F7F" w:themeColor="text1" w:themeTint="80"/>
              <w:bottom w:val="single" w:sz="8" w:space="0" w:color="7F7F7F" w:themeColor="text1" w:themeTint="80"/>
            </w:tcBorders>
            <w:shd w:val="clear" w:color="auto" w:fill="auto"/>
            <w:vAlign w:val="center"/>
          </w:tcPr>
          <w:p w14:paraId="686095E1" w14:textId="484524C1" w:rsidR="005C2A20" w:rsidRPr="00F50002" w:rsidRDefault="005C2A20" w:rsidP="005C2A20">
            <w:pPr>
              <w:jc w:val="right"/>
              <w:rPr>
                <w:rFonts w:eastAsia="Times New Roman" w:cs="Times New Roman"/>
                <w:b/>
                <w:lang w:eastAsia="cs-CZ"/>
              </w:rPr>
            </w:pPr>
            <w:r w:rsidRPr="00F50002">
              <w:rPr>
                <w:rFonts w:eastAsia="Times New Roman" w:cs="Times New Roman"/>
                <w:b/>
                <w:lang w:eastAsia="cs-CZ"/>
              </w:rPr>
              <w:t>110,00</w:t>
            </w:r>
          </w:p>
        </w:tc>
      </w:tr>
      <w:tr w:rsidR="005C2A20" w:rsidRPr="00F50002" w14:paraId="01EDA1A2" w14:textId="77777777" w:rsidTr="00F50002">
        <w:tc>
          <w:tcPr>
            <w:tcW w:w="2381" w:type="pct"/>
            <w:tcBorders>
              <w:top w:val="single" w:sz="8" w:space="0" w:color="7F7F7F" w:themeColor="text1" w:themeTint="80"/>
              <w:bottom w:val="single" w:sz="4" w:space="0" w:color="auto"/>
            </w:tcBorders>
            <w:shd w:val="clear" w:color="auto" w:fill="auto"/>
          </w:tcPr>
          <w:p w14:paraId="5463672A" w14:textId="77777777" w:rsidR="005C2A20" w:rsidRPr="00F50002" w:rsidRDefault="005C2A20" w:rsidP="005C2A20">
            <w:pPr>
              <w:rPr>
                <w:rFonts w:eastAsia="Times New Roman" w:cs="Times New Roman"/>
                <w:lang w:eastAsia="cs-CZ"/>
              </w:rPr>
            </w:pPr>
            <w:r w:rsidRPr="00F50002">
              <w:rPr>
                <w:rFonts w:eastAsia="Times New Roman" w:cs="Times New Roman"/>
                <w:lang w:eastAsia="cs-CZ"/>
              </w:rPr>
              <w:t>Spolky</w:t>
            </w:r>
          </w:p>
        </w:tc>
        <w:tc>
          <w:tcPr>
            <w:tcW w:w="785" w:type="pct"/>
            <w:tcBorders>
              <w:top w:val="single" w:sz="8" w:space="0" w:color="7F7F7F" w:themeColor="text1" w:themeTint="80"/>
              <w:bottom w:val="single" w:sz="4" w:space="0" w:color="auto"/>
            </w:tcBorders>
            <w:shd w:val="clear" w:color="auto" w:fill="auto"/>
            <w:vAlign w:val="center"/>
          </w:tcPr>
          <w:p w14:paraId="0479A41B" w14:textId="77D45FDF" w:rsidR="005C2A20" w:rsidRPr="00F50002" w:rsidRDefault="005C2A20" w:rsidP="005C2A20">
            <w:pPr>
              <w:jc w:val="right"/>
              <w:rPr>
                <w:rFonts w:eastAsia="Times New Roman" w:cs="Times New Roman"/>
                <w:lang w:eastAsia="cs-CZ"/>
              </w:rPr>
            </w:pPr>
            <w:r w:rsidRPr="00F50002">
              <w:rPr>
                <w:rFonts w:eastAsia="Times New Roman" w:cs="Times New Roman"/>
                <w:lang w:eastAsia="cs-CZ"/>
              </w:rPr>
              <w:t>13 109</w:t>
            </w:r>
          </w:p>
        </w:tc>
        <w:tc>
          <w:tcPr>
            <w:tcW w:w="696" w:type="pct"/>
            <w:tcBorders>
              <w:top w:val="single" w:sz="8" w:space="0" w:color="7F7F7F" w:themeColor="text1" w:themeTint="80"/>
              <w:bottom w:val="single" w:sz="4" w:space="0" w:color="auto"/>
            </w:tcBorders>
            <w:shd w:val="clear" w:color="auto" w:fill="auto"/>
            <w:vAlign w:val="center"/>
          </w:tcPr>
          <w:p w14:paraId="49995E39" w14:textId="1F4C9A7D" w:rsidR="005C2A20" w:rsidRPr="00F50002" w:rsidRDefault="005C2A20" w:rsidP="005C2A20">
            <w:pPr>
              <w:jc w:val="right"/>
              <w:rPr>
                <w:rFonts w:eastAsia="Times New Roman" w:cs="Times New Roman"/>
                <w:lang w:eastAsia="cs-CZ"/>
              </w:rPr>
            </w:pPr>
            <w:r w:rsidRPr="00F50002">
              <w:rPr>
                <w:rFonts w:eastAsia="Times New Roman" w:cs="Times New Roman"/>
                <w:lang w:eastAsia="cs-CZ"/>
              </w:rPr>
              <w:t>9 400</w:t>
            </w:r>
          </w:p>
        </w:tc>
        <w:tc>
          <w:tcPr>
            <w:tcW w:w="619" w:type="pct"/>
            <w:tcBorders>
              <w:top w:val="single" w:sz="8" w:space="0" w:color="7F7F7F" w:themeColor="text1" w:themeTint="80"/>
              <w:bottom w:val="single" w:sz="4" w:space="0" w:color="auto"/>
            </w:tcBorders>
            <w:shd w:val="clear" w:color="auto" w:fill="auto"/>
            <w:vAlign w:val="center"/>
          </w:tcPr>
          <w:p w14:paraId="1BC09650" w14:textId="27D00A1C" w:rsidR="005C2A20" w:rsidRPr="00F50002" w:rsidRDefault="005C2A20" w:rsidP="005C2A20">
            <w:pPr>
              <w:jc w:val="right"/>
              <w:rPr>
                <w:rFonts w:eastAsia="Times New Roman" w:cs="Times New Roman"/>
                <w:lang w:eastAsia="cs-CZ"/>
              </w:rPr>
            </w:pPr>
            <w:r w:rsidRPr="00F50002">
              <w:rPr>
                <w:rFonts w:eastAsia="Times New Roman" w:cs="Times New Roman"/>
                <w:lang w:eastAsia="cs-CZ"/>
              </w:rPr>
              <w:t>10 340</w:t>
            </w:r>
          </w:p>
        </w:tc>
        <w:tc>
          <w:tcPr>
            <w:tcW w:w="519" w:type="pct"/>
            <w:tcBorders>
              <w:top w:val="single" w:sz="8" w:space="0" w:color="7F7F7F" w:themeColor="text1" w:themeTint="80"/>
              <w:bottom w:val="single" w:sz="4" w:space="0" w:color="auto"/>
            </w:tcBorders>
            <w:shd w:val="clear" w:color="auto" w:fill="auto"/>
            <w:vAlign w:val="center"/>
          </w:tcPr>
          <w:p w14:paraId="46533A3A" w14:textId="47BD9AE4" w:rsidR="005C2A20" w:rsidRPr="00F50002" w:rsidRDefault="005C2A20" w:rsidP="005C2A20">
            <w:pPr>
              <w:jc w:val="right"/>
              <w:rPr>
                <w:rFonts w:eastAsia="Times New Roman" w:cs="Times New Roman"/>
                <w:lang w:eastAsia="cs-CZ"/>
              </w:rPr>
            </w:pPr>
            <w:r w:rsidRPr="00F50002">
              <w:rPr>
                <w:rFonts w:eastAsia="Times New Roman" w:cs="Times New Roman"/>
                <w:lang w:eastAsia="cs-CZ"/>
              </w:rPr>
              <w:t>110,00</w:t>
            </w:r>
          </w:p>
        </w:tc>
      </w:tr>
    </w:tbl>
    <w:p w14:paraId="7CA4BDD9" w14:textId="354A2C01" w:rsidR="00153E30" w:rsidRPr="00F50002" w:rsidRDefault="00153E30" w:rsidP="00153E30">
      <w:pPr>
        <w:pStyle w:val="Styl1"/>
        <w:rPr>
          <w:color w:val="FF0000"/>
        </w:rPr>
      </w:pPr>
      <w:r w:rsidRPr="00F50002">
        <w:t>V rámci návrhu rozpočtu na rok 202</w:t>
      </w:r>
      <w:r w:rsidR="00F50002" w:rsidRPr="00F50002">
        <w:t>5</w:t>
      </w:r>
      <w:r w:rsidRPr="00F50002">
        <w:t xml:space="preserve"> je zapracována dotace spolkům ve výši</w:t>
      </w:r>
      <w:r w:rsidRPr="00F50002">
        <w:rPr>
          <w:color w:val="FF0000"/>
        </w:rPr>
        <w:t xml:space="preserve"> </w:t>
      </w:r>
      <w:r w:rsidR="00F50002" w:rsidRPr="00F50002">
        <w:t>10 340</w:t>
      </w:r>
      <w:r w:rsidRPr="00F50002">
        <w:t xml:space="preserve"> tis. Kč, </w:t>
      </w:r>
      <w:r w:rsidRPr="00F50002">
        <w:rPr>
          <w:color w:val="FF0000"/>
        </w:rPr>
        <w:br/>
      </w:r>
      <w:r w:rsidRPr="00F50002">
        <w:t xml:space="preserve">tj. </w:t>
      </w:r>
      <w:r w:rsidR="00F50002" w:rsidRPr="00F50002">
        <w:t>navýšení</w:t>
      </w:r>
      <w:r w:rsidRPr="00F50002">
        <w:t xml:space="preserve"> oproti předchozímu roku 202</w:t>
      </w:r>
      <w:r w:rsidR="00F50002" w:rsidRPr="00F50002">
        <w:t>4</w:t>
      </w:r>
      <w:r w:rsidRPr="00F50002">
        <w:t xml:space="preserve"> o </w:t>
      </w:r>
      <w:r w:rsidR="00F50002" w:rsidRPr="00F50002">
        <w:t>940</w:t>
      </w:r>
      <w:r w:rsidRPr="00F50002">
        <w:t xml:space="preserve"> tis. Kč. </w:t>
      </w:r>
    </w:p>
    <w:p w14:paraId="57142E42" w14:textId="0E8B1766" w:rsidR="00153E30" w:rsidRPr="00645667" w:rsidRDefault="00153E30" w:rsidP="00153E30">
      <w:pPr>
        <w:pStyle w:val="Styl1"/>
      </w:pPr>
      <w:r w:rsidRPr="00F50002">
        <w:t xml:space="preserve">Dotace ve výši </w:t>
      </w:r>
      <w:r w:rsidR="00F50002" w:rsidRPr="00F50002">
        <w:t>10 340</w:t>
      </w:r>
      <w:r w:rsidRPr="00F50002">
        <w:t xml:space="preserve"> tis. Kč je určena pro spolek Letecká amatérská asociace ČR, který zajišťuje přenesený výkon státní správy ve specifických oblastech civilního letectví (sportovní létající zařízení) a šetří některé incidenty a letecké nehody sportovních létajících zařízení dle zákona č. 49/1997 Sb., o civilním letectví, ve znění pozdějších předpisů.</w:t>
      </w:r>
      <w:r w:rsidR="00B41ADD" w:rsidRPr="00B41ADD">
        <w:t xml:space="preserve"> </w:t>
      </w:r>
      <w:r w:rsidR="00B41ADD">
        <w:t>Navýšení dotace zohledňuje vysokou míru inflace v předchozích letech.</w:t>
      </w:r>
    </w:p>
    <w:p w14:paraId="31EEA8DB" w14:textId="77777777" w:rsidR="0057450B" w:rsidRPr="00645667" w:rsidRDefault="0057450B" w:rsidP="007B2F4B">
      <w:pPr>
        <w:pStyle w:val="Nadpis3"/>
      </w:pPr>
      <w:bookmarkStart w:id="194" w:name="_Toc179964101"/>
      <w:r w:rsidRPr="00645667">
        <w:lastRenderedPageBreak/>
        <w:t>Neinvestiční transfery do zahraničí</w:t>
      </w:r>
      <w:bookmarkEnd w:id="192"/>
      <w:bookmarkEnd w:id="193"/>
      <w:bookmarkEnd w:id="194"/>
    </w:p>
    <w:p w14:paraId="2BD09D12" w14:textId="665EFBD8" w:rsidR="0057450B" w:rsidRPr="00645667" w:rsidRDefault="0057450B" w:rsidP="0057450B">
      <w:pPr>
        <w:pStyle w:val="Titulek"/>
        <w:rPr>
          <w:noProof/>
        </w:rPr>
      </w:pPr>
      <w:r w:rsidRPr="00645667">
        <w:t xml:space="preserve">Tabulka č. </w:t>
      </w:r>
      <w:r w:rsidR="0001421C" w:rsidRPr="00645667">
        <w:rPr>
          <w:noProof/>
        </w:rPr>
        <w:fldChar w:fldCharType="begin"/>
      </w:r>
      <w:r w:rsidR="0001421C" w:rsidRPr="00645667">
        <w:rPr>
          <w:noProof/>
        </w:rPr>
        <w:instrText xml:space="preserve"> SEQ Tabulka \* ARABIC </w:instrText>
      </w:r>
      <w:r w:rsidR="0001421C" w:rsidRPr="00645667">
        <w:rPr>
          <w:noProof/>
        </w:rPr>
        <w:fldChar w:fldCharType="separate"/>
      </w:r>
      <w:r w:rsidR="003B0B01" w:rsidRPr="00645667">
        <w:rPr>
          <w:noProof/>
        </w:rPr>
        <w:t>28</w:t>
      </w:r>
      <w:r w:rsidR="0001421C" w:rsidRPr="00645667">
        <w:rPr>
          <w:noProof/>
        </w:rPr>
        <w:fldChar w:fldCharType="end"/>
      </w:r>
      <w:r w:rsidRPr="00645667">
        <w:rPr>
          <w:noProof/>
        </w:rPr>
        <w:t xml:space="preserve"> Nei</w:t>
      </w:r>
      <w:r w:rsidR="009431FD" w:rsidRPr="00645667">
        <w:rPr>
          <w:noProof/>
        </w:rPr>
        <w:t>n</w:t>
      </w:r>
      <w:r w:rsidRPr="00645667">
        <w:rPr>
          <w:noProof/>
        </w:rPr>
        <w:t>vestiční transfery do zahraničí (v tis. Kč)</w:t>
      </w:r>
    </w:p>
    <w:tbl>
      <w:tblPr>
        <w:tblStyle w:val="Svtltabulkasmkou1zvraznn5"/>
        <w:tblW w:w="9204"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85"/>
        <w:gridCol w:w="1275"/>
        <w:gridCol w:w="1276"/>
        <w:gridCol w:w="1276"/>
        <w:gridCol w:w="992"/>
      </w:tblGrid>
      <w:tr w:rsidR="008F4296" w:rsidRPr="00645667" w14:paraId="2C57248B" w14:textId="77777777" w:rsidTr="001E02BC">
        <w:tc>
          <w:tcPr>
            <w:tcW w:w="438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85C3CB6" w14:textId="77777777"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Ukazatel</w:t>
            </w:r>
          </w:p>
        </w:tc>
        <w:tc>
          <w:tcPr>
            <w:tcW w:w="127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920702" w14:textId="77777777" w:rsidR="008F4296" w:rsidRPr="00645667" w:rsidRDefault="008F4296" w:rsidP="001E02BC">
            <w:pPr>
              <w:ind w:left="-113" w:right="-110"/>
              <w:jc w:val="center"/>
              <w:rPr>
                <w:rFonts w:eastAsia="Times New Roman" w:cs="Times New Roman"/>
                <w:b/>
                <w:szCs w:val="24"/>
                <w:lang w:eastAsia="cs-CZ"/>
              </w:rPr>
            </w:pPr>
            <w:r w:rsidRPr="00645667">
              <w:rPr>
                <w:rFonts w:eastAsia="Times New Roman" w:cs="Times New Roman"/>
                <w:b/>
                <w:szCs w:val="24"/>
                <w:lang w:eastAsia="cs-CZ"/>
              </w:rPr>
              <w:t>Skutečnost</w:t>
            </w:r>
          </w:p>
          <w:p w14:paraId="4E2398FD" w14:textId="6F38841C"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202</w:t>
            </w:r>
            <w:r w:rsidR="00645667" w:rsidRPr="00645667">
              <w:rPr>
                <w:rFonts w:eastAsia="Times New Roman" w:cs="Times New Roman"/>
                <w:b/>
                <w:szCs w:val="24"/>
                <w:lang w:eastAsia="cs-CZ"/>
              </w:rPr>
              <w:t>3</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B103C4" w14:textId="77777777"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Schválený</w:t>
            </w:r>
          </w:p>
          <w:p w14:paraId="0FEA5896" w14:textId="77777777"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rozpočet</w:t>
            </w:r>
          </w:p>
          <w:p w14:paraId="2C5538ED" w14:textId="01E878AF"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202</w:t>
            </w:r>
            <w:r w:rsidR="00645667" w:rsidRPr="00645667">
              <w:rPr>
                <w:rFonts w:eastAsia="Times New Roman" w:cs="Times New Roman"/>
                <w:b/>
                <w:szCs w:val="24"/>
                <w:lang w:eastAsia="cs-CZ"/>
              </w:rPr>
              <w:t>4</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C75AC0B" w14:textId="77777777"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Návrh</w:t>
            </w:r>
          </w:p>
          <w:p w14:paraId="29561AEF" w14:textId="77777777" w:rsidR="008F4296" w:rsidRPr="00645667" w:rsidRDefault="008F4296" w:rsidP="001E02BC">
            <w:pPr>
              <w:ind w:left="39"/>
              <w:jc w:val="center"/>
              <w:rPr>
                <w:rFonts w:eastAsia="Times New Roman" w:cs="Times New Roman"/>
                <w:b/>
                <w:szCs w:val="24"/>
                <w:lang w:eastAsia="cs-CZ"/>
              </w:rPr>
            </w:pPr>
            <w:r w:rsidRPr="00645667">
              <w:rPr>
                <w:rFonts w:eastAsia="Times New Roman" w:cs="Times New Roman"/>
                <w:b/>
                <w:szCs w:val="24"/>
                <w:lang w:eastAsia="cs-CZ"/>
              </w:rPr>
              <w:t>rozpočtu</w:t>
            </w:r>
          </w:p>
          <w:p w14:paraId="6753FCBE" w14:textId="67E9709C"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202</w:t>
            </w:r>
            <w:r w:rsidR="00645667" w:rsidRPr="00645667">
              <w:rPr>
                <w:rFonts w:eastAsia="Times New Roman" w:cs="Times New Roman"/>
                <w:b/>
                <w:szCs w:val="24"/>
                <w:lang w:eastAsia="cs-CZ"/>
              </w:rPr>
              <w:t>5</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13EE86" w14:textId="77777777"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Index</w:t>
            </w:r>
          </w:p>
          <w:p w14:paraId="43B25AEE" w14:textId="56D0934A" w:rsidR="008F4296" w:rsidRPr="00645667" w:rsidRDefault="008F4296" w:rsidP="001E02BC">
            <w:pPr>
              <w:jc w:val="center"/>
              <w:rPr>
                <w:rFonts w:eastAsia="Times New Roman" w:cs="Times New Roman"/>
                <w:b/>
                <w:szCs w:val="24"/>
                <w:lang w:eastAsia="cs-CZ"/>
              </w:rPr>
            </w:pPr>
            <w:r w:rsidRPr="00645667">
              <w:rPr>
                <w:rFonts w:eastAsia="Times New Roman" w:cs="Times New Roman"/>
                <w:b/>
                <w:szCs w:val="24"/>
                <w:lang w:eastAsia="cs-CZ"/>
              </w:rPr>
              <w:t>202</w:t>
            </w:r>
            <w:r w:rsidR="00645667" w:rsidRPr="00645667">
              <w:rPr>
                <w:rFonts w:eastAsia="Times New Roman" w:cs="Times New Roman"/>
                <w:b/>
                <w:szCs w:val="24"/>
                <w:lang w:eastAsia="cs-CZ"/>
              </w:rPr>
              <w:t>5</w:t>
            </w:r>
            <w:r w:rsidRPr="00645667">
              <w:rPr>
                <w:rFonts w:eastAsia="Times New Roman" w:cs="Times New Roman"/>
                <w:b/>
                <w:szCs w:val="24"/>
                <w:lang w:eastAsia="cs-CZ"/>
              </w:rPr>
              <w:t>/</w:t>
            </w:r>
            <w:r w:rsidRPr="00645667">
              <w:rPr>
                <w:rFonts w:eastAsia="Times New Roman" w:cs="Times New Roman"/>
                <w:b/>
                <w:szCs w:val="24"/>
                <w:lang w:eastAsia="cs-CZ"/>
              </w:rPr>
              <w:br/>
              <w:t>202</w:t>
            </w:r>
            <w:r w:rsidR="00645667" w:rsidRPr="00645667">
              <w:rPr>
                <w:rFonts w:eastAsia="Times New Roman" w:cs="Times New Roman"/>
                <w:b/>
                <w:szCs w:val="24"/>
                <w:lang w:eastAsia="cs-CZ"/>
              </w:rPr>
              <w:t>4</w:t>
            </w:r>
            <w:r w:rsidRPr="00645667">
              <w:rPr>
                <w:rFonts w:eastAsia="Times New Roman" w:cs="Times New Roman"/>
                <w:b/>
                <w:szCs w:val="24"/>
                <w:lang w:eastAsia="cs-CZ"/>
              </w:rPr>
              <w:br/>
              <w:t>(v %)</w:t>
            </w:r>
          </w:p>
        </w:tc>
      </w:tr>
      <w:tr w:rsidR="008F4296" w:rsidRPr="00645667" w14:paraId="6A876B32" w14:textId="77777777" w:rsidTr="001E02BC">
        <w:tc>
          <w:tcPr>
            <w:tcW w:w="4385" w:type="dxa"/>
            <w:tcBorders>
              <w:top w:val="single" w:sz="4" w:space="0" w:color="7F7F7F" w:themeColor="text1" w:themeTint="80"/>
              <w:bottom w:val="single" w:sz="8" w:space="0" w:color="7F7F7F" w:themeColor="text1" w:themeTint="80"/>
            </w:tcBorders>
            <w:shd w:val="clear" w:color="auto" w:fill="auto"/>
          </w:tcPr>
          <w:p w14:paraId="2621B84C" w14:textId="77777777" w:rsidR="008F4296" w:rsidRPr="00645667" w:rsidRDefault="008F4296" w:rsidP="001E02BC">
            <w:pPr>
              <w:jc w:val="center"/>
              <w:rPr>
                <w:rFonts w:eastAsia="Times New Roman" w:cs="Times New Roman"/>
                <w:szCs w:val="24"/>
                <w:lang w:eastAsia="cs-CZ"/>
              </w:rPr>
            </w:pPr>
            <w:r w:rsidRPr="00645667">
              <w:rPr>
                <w:rFonts w:eastAsia="Times New Roman" w:cs="Times New Roman"/>
                <w:szCs w:val="24"/>
                <w:lang w:eastAsia="cs-CZ"/>
              </w:rPr>
              <w:t>a</w:t>
            </w:r>
          </w:p>
        </w:tc>
        <w:tc>
          <w:tcPr>
            <w:tcW w:w="1275" w:type="dxa"/>
            <w:tcBorders>
              <w:top w:val="single" w:sz="4" w:space="0" w:color="7F7F7F" w:themeColor="text1" w:themeTint="80"/>
              <w:bottom w:val="single" w:sz="8" w:space="0" w:color="7F7F7F" w:themeColor="text1" w:themeTint="80"/>
            </w:tcBorders>
            <w:shd w:val="clear" w:color="auto" w:fill="auto"/>
          </w:tcPr>
          <w:p w14:paraId="76A8003E" w14:textId="77777777" w:rsidR="008F4296" w:rsidRPr="00645667" w:rsidRDefault="008F4296" w:rsidP="001E02BC">
            <w:pPr>
              <w:jc w:val="center"/>
              <w:rPr>
                <w:rFonts w:eastAsia="Times New Roman" w:cs="Times New Roman"/>
                <w:szCs w:val="24"/>
                <w:lang w:eastAsia="cs-CZ"/>
              </w:rPr>
            </w:pPr>
            <w:r w:rsidRPr="00645667">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261E330D" w14:textId="77777777" w:rsidR="008F4296" w:rsidRPr="00645667" w:rsidRDefault="008F4296" w:rsidP="001E02BC">
            <w:pPr>
              <w:jc w:val="center"/>
              <w:rPr>
                <w:rFonts w:eastAsia="Times New Roman" w:cs="Times New Roman"/>
                <w:szCs w:val="24"/>
                <w:lang w:eastAsia="cs-CZ"/>
              </w:rPr>
            </w:pPr>
            <w:r w:rsidRPr="00645667">
              <w:rPr>
                <w:rFonts w:eastAsia="Times New Roman" w:cs="Times New Roman"/>
                <w:szCs w:val="24"/>
                <w:lang w:eastAsia="cs-CZ"/>
              </w:rPr>
              <w:t>2</w:t>
            </w:r>
          </w:p>
        </w:tc>
        <w:tc>
          <w:tcPr>
            <w:tcW w:w="1276" w:type="dxa"/>
            <w:tcBorders>
              <w:top w:val="single" w:sz="4" w:space="0" w:color="7F7F7F" w:themeColor="text1" w:themeTint="80"/>
              <w:bottom w:val="single" w:sz="8" w:space="0" w:color="7F7F7F" w:themeColor="text1" w:themeTint="80"/>
            </w:tcBorders>
            <w:shd w:val="clear" w:color="auto" w:fill="auto"/>
          </w:tcPr>
          <w:p w14:paraId="6F993C2E" w14:textId="77777777" w:rsidR="008F4296" w:rsidRPr="00645667" w:rsidRDefault="008F4296" w:rsidP="001E02BC">
            <w:pPr>
              <w:jc w:val="center"/>
              <w:rPr>
                <w:rFonts w:eastAsia="Times New Roman" w:cs="Times New Roman"/>
                <w:szCs w:val="24"/>
                <w:lang w:eastAsia="cs-CZ"/>
              </w:rPr>
            </w:pPr>
            <w:r w:rsidRPr="00645667">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64A6B555" w14:textId="77777777" w:rsidR="008F4296" w:rsidRPr="00645667" w:rsidRDefault="008F4296" w:rsidP="001E02BC">
            <w:pPr>
              <w:jc w:val="center"/>
              <w:rPr>
                <w:rFonts w:eastAsia="Times New Roman" w:cs="Times New Roman"/>
                <w:szCs w:val="24"/>
                <w:lang w:eastAsia="cs-CZ"/>
              </w:rPr>
            </w:pPr>
            <w:r w:rsidRPr="00645667">
              <w:rPr>
                <w:rFonts w:eastAsia="Times New Roman" w:cs="Times New Roman"/>
                <w:szCs w:val="24"/>
                <w:lang w:eastAsia="cs-CZ"/>
              </w:rPr>
              <w:t>4</w:t>
            </w:r>
          </w:p>
        </w:tc>
      </w:tr>
      <w:tr w:rsidR="00645667" w:rsidRPr="00645667" w14:paraId="3DFE213F" w14:textId="77777777" w:rsidTr="001E02BC">
        <w:trPr>
          <w:trHeight w:val="334"/>
        </w:trPr>
        <w:tc>
          <w:tcPr>
            <w:tcW w:w="4385" w:type="dxa"/>
            <w:tcBorders>
              <w:top w:val="single" w:sz="8" w:space="0" w:color="7F7F7F" w:themeColor="text1" w:themeTint="80"/>
              <w:bottom w:val="single" w:sz="8" w:space="0" w:color="7F7F7F" w:themeColor="text1" w:themeTint="80"/>
            </w:tcBorders>
            <w:shd w:val="clear" w:color="auto" w:fill="auto"/>
          </w:tcPr>
          <w:p w14:paraId="68285DE4" w14:textId="77777777" w:rsidR="00645667" w:rsidRPr="00645667" w:rsidRDefault="00645667" w:rsidP="00645667">
            <w:pPr>
              <w:spacing w:before="60"/>
              <w:jc w:val="left"/>
              <w:rPr>
                <w:rFonts w:eastAsia="Times New Roman" w:cs="Times New Roman"/>
                <w:lang w:eastAsia="cs-CZ"/>
              </w:rPr>
            </w:pPr>
            <w:r w:rsidRPr="00645667">
              <w:rPr>
                <w:rFonts w:eastAsia="Times New Roman" w:cs="Times New Roman"/>
                <w:b/>
                <w:lang w:eastAsia="cs-CZ"/>
              </w:rPr>
              <w:t xml:space="preserve">Neinvestiční transfery do zahraničí </w:t>
            </w:r>
            <w:r w:rsidRPr="00645667">
              <w:rPr>
                <w:rFonts w:eastAsia="Times New Roman" w:cs="Times New Roman"/>
                <w:b/>
                <w:lang w:eastAsia="cs-CZ"/>
              </w:rPr>
              <w:br/>
            </w:r>
            <w:r w:rsidRPr="00645667">
              <w:rPr>
                <w:rFonts w:eastAsia="Times New Roman" w:cs="Times New Roman"/>
                <w:lang w:eastAsia="cs-CZ"/>
              </w:rPr>
              <w:t>v tom:</w:t>
            </w:r>
          </w:p>
        </w:tc>
        <w:tc>
          <w:tcPr>
            <w:tcW w:w="1275" w:type="dxa"/>
            <w:tcBorders>
              <w:top w:val="single" w:sz="8" w:space="0" w:color="7F7F7F" w:themeColor="text1" w:themeTint="80"/>
              <w:bottom w:val="single" w:sz="8" w:space="0" w:color="7F7F7F" w:themeColor="text1" w:themeTint="80"/>
            </w:tcBorders>
            <w:shd w:val="clear" w:color="auto" w:fill="auto"/>
            <w:vAlign w:val="center"/>
          </w:tcPr>
          <w:p w14:paraId="6FA6CFEA" w14:textId="6560F399" w:rsidR="00645667" w:rsidRPr="00645667" w:rsidRDefault="00645667" w:rsidP="00645667">
            <w:pPr>
              <w:spacing w:before="60"/>
              <w:jc w:val="right"/>
              <w:rPr>
                <w:rFonts w:eastAsia="Times New Roman" w:cs="Times New Roman"/>
                <w:b/>
                <w:lang w:eastAsia="cs-CZ"/>
              </w:rPr>
            </w:pPr>
            <w:r w:rsidRPr="00645667">
              <w:rPr>
                <w:rFonts w:eastAsia="Times New Roman" w:cs="Times New Roman"/>
                <w:b/>
                <w:lang w:eastAsia="cs-CZ"/>
              </w:rPr>
              <w:t>1 189 399</w:t>
            </w:r>
          </w:p>
        </w:tc>
        <w:tc>
          <w:tcPr>
            <w:tcW w:w="1276" w:type="dxa"/>
            <w:tcBorders>
              <w:top w:val="single" w:sz="8" w:space="0" w:color="7F7F7F" w:themeColor="text1" w:themeTint="80"/>
              <w:bottom w:val="single" w:sz="8" w:space="0" w:color="7F7F7F" w:themeColor="text1" w:themeTint="80"/>
            </w:tcBorders>
            <w:shd w:val="clear" w:color="auto" w:fill="auto"/>
            <w:vAlign w:val="center"/>
          </w:tcPr>
          <w:p w14:paraId="6D8326E9" w14:textId="45B53726" w:rsidR="00645667" w:rsidRPr="00645667" w:rsidRDefault="00645667" w:rsidP="00645667">
            <w:pPr>
              <w:spacing w:before="60"/>
              <w:jc w:val="right"/>
              <w:rPr>
                <w:rFonts w:eastAsia="Times New Roman" w:cs="Times New Roman"/>
                <w:b/>
                <w:color w:val="FF0000"/>
                <w:lang w:eastAsia="cs-CZ"/>
              </w:rPr>
            </w:pPr>
            <w:r w:rsidRPr="00645667">
              <w:rPr>
                <w:rFonts w:eastAsia="Times New Roman" w:cs="Times New Roman"/>
                <w:b/>
                <w:lang w:eastAsia="cs-CZ"/>
              </w:rPr>
              <w:t>1 221 146</w:t>
            </w:r>
          </w:p>
        </w:tc>
        <w:tc>
          <w:tcPr>
            <w:tcW w:w="1276" w:type="dxa"/>
            <w:tcBorders>
              <w:top w:val="single" w:sz="8" w:space="0" w:color="7F7F7F" w:themeColor="text1" w:themeTint="80"/>
              <w:bottom w:val="single" w:sz="8" w:space="0" w:color="7F7F7F" w:themeColor="text1" w:themeTint="80"/>
            </w:tcBorders>
            <w:shd w:val="clear" w:color="auto" w:fill="auto"/>
            <w:vAlign w:val="center"/>
          </w:tcPr>
          <w:p w14:paraId="5B78AFDB" w14:textId="3F9257AC" w:rsidR="00645667" w:rsidRPr="00645667" w:rsidRDefault="00645667" w:rsidP="00645667">
            <w:pPr>
              <w:spacing w:before="60"/>
              <w:jc w:val="right"/>
              <w:rPr>
                <w:rFonts w:eastAsia="Times New Roman" w:cs="Times New Roman"/>
                <w:b/>
                <w:color w:val="FF0000"/>
                <w:lang w:eastAsia="cs-CZ"/>
              </w:rPr>
            </w:pPr>
            <w:r w:rsidRPr="00645667">
              <w:rPr>
                <w:rFonts w:eastAsia="Times New Roman" w:cs="Times New Roman"/>
                <w:b/>
                <w:lang w:eastAsia="cs-CZ"/>
              </w:rPr>
              <w:t>1 221 466</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3FFF3E19" w14:textId="132D77DE" w:rsidR="00645667" w:rsidRPr="00645667" w:rsidRDefault="00645667" w:rsidP="00645667">
            <w:pPr>
              <w:spacing w:before="60"/>
              <w:jc w:val="right"/>
              <w:rPr>
                <w:rFonts w:eastAsia="Times New Roman" w:cs="Times New Roman"/>
                <w:b/>
                <w:color w:val="FF0000"/>
                <w:lang w:eastAsia="cs-CZ"/>
              </w:rPr>
            </w:pPr>
            <w:r w:rsidRPr="00645667">
              <w:rPr>
                <w:rFonts w:eastAsia="Times New Roman" w:cs="Times New Roman"/>
                <w:b/>
                <w:lang w:eastAsia="cs-CZ"/>
              </w:rPr>
              <w:t>100,03</w:t>
            </w:r>
          </w:p>
        </w:tc>
      </w:tr>
      <w:tr w:rsidR="00645667" w:rsidRPr="00645667" w14:paraId="3AE31215" w14:textId="77777777" w:rsidTr="001E02BC">
        <w:tc>
          <w:tcPr>
            <w:tcW w:w="4385" w:type="dxa"/>
            <w:tcBorders>
              <w:top w:val="single" w:sz="8" w:space="0" w:color="7F7F7F" w:themeColor="text1" w:themeTint="80"/>
              <w:bottom w:val="nil"/>
            </w:tcBorders>
            <w:shd w:val="clear" w:color="auto" w:fill="auto"/>
          </w:tcPr>
          <w:p w14:paraId="594E3165" w14:textId="77777777" w:rsidR="00645667" w:rsidRPr="00645667" w:rsidRDefault="00645667" w:rsidP="00645667">
            <w:pPr>
              <w:rPr>
                <w:rFonts w:eastAsia="Times New Roman" w:cs="Times New Roman"/>
                <w:lang w:eastAsia="cs-CZ"/>
              </w:rPr>
            </w:pPr>
            <w:r w:rsidRPr="00645667">
              <w:rPr>
                <w:rFonts w:eastAsia="Times New Roman" w:cs="Times New Roman"/>
                <w:lang w:eastAsia="cs-CZ"/>
              </w:rPr>
              <w:t>Neinvestiční transfery mezinár. vlád. org.</w:t>
            </w:r>
          </w:p>
        </w:tc>
        <w:tc>
          <w:tcPr>
            <w:tcW w:w="1275" w:type="dxa"/>
            <w:tcBorders>
              <w:top w:val="single" w:sz="8" w:space="0" w:color="7F7F7F" w:themeColor="text1" w:themeTint="80"/>
              <w:bottom w:val="nil"/>
            </w:tcBorders>
            <w:shd w:val="clear" w:color="auto" w:fill="auto"/>
            <w:vAlign w:val="center"/>
          </w:tcPr>
          <w:p w14:paraId="27C9E2C8" w14:textId="379D933A"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1 171 466</w:t>
            </w:r>
          </w:p>
        </w:tc>
        <w:tc>
          <w:tcPr>
            <w:tcW w:w="1276" w:type="dxa"/>
            <w:tcBorders>
              <w:top w:val="single" w:sz="8" w:space="0" w:color="7F7F7F" w:themeColor="text1" w:themeTint="80"/>
              <w:bottom w:val="nil"/>
            </w:tcBorders>
            <w:shd w:val="clear" w:color="auto" w:fill="auto"/>
            <w:vAlign w:val="center"/>
          </w:tcPr>
          <w:p w14:paraId="070DEC80" w14:textId="50A495FD" w:rsidR="00645667" w:rsidRPr="00645667" w:rsidRDefault="00645667" w:rsidP="00645667">
            <w:pPr>
              <w:jc w:val="right"/>
              <w:rPr>
                <w:rFonts w:eastAsia="Times New Roman" w:cs="Times New Roman"/>
                <w:color w:val="FF0000"/>
                <w:lang w:eastAsia="cs-CZ"/>
              </w:rPr>
            </w:pPr>
            <w:r w:rsidRPr="00645667">
              <w:rPr>
                <w:rFonts w:eastAsia="Times New Roman" w:cs="Times New Roman"/>
                <w:lang w:eastAsia="cs-CZ"/>
              </w:rPr>
              <w:t>1 205 000</w:t>
            </w:r>
          </w:p>
        </w:tc>
        <w:tc>
          <w:tcPr>
            <w:tcW w:w="1276" w:type="dxa"/>
            <w:tcBorders>
              <w:top w:val="single" w:sz="8" w:space="0" w:color="7F7F7F" w:themeColor="text1" w:themeTint="80"/>
              <w:bottom w:val="nil"/>
            </w:tcBorders>
            <w:shd w:val="clear" w:color="auto" w:fill="auto"/>
            <w:vAlign w:val="center"/>
          </w:tcPr>
          <w:p w14:paraId="3C3695CF" w14:textId="06BD4949"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1 205 000</w:t>
            </w:r>
          </w:p>
        </w:tc>
        <w:tc>
          <w:tcPr>
            <w:tcW w:w="992" w:type="dxa"/>
            <w:tcBorders>
              <w:top w:val="single" w:sz="8" w:space="0" w:color="7F7F7F" w:themeColor="text1" w:themeTint="80"/>
              <w:bottom w:val="nil"/>
            </w:tcBorders>
            <w:shd w:val="clear" w:color="auto" w:fill="auto"/>
            <w:vAlign w:val="center"/>
          </w:tcPr>
          <w:p w14:paraId="151DFF97" w14:textId="735C68E1"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100,00</w:t>
            </w:r>
          </w:p>
        </w:tc>
      </w:tr>
      <w:tr w:rsidR="00645667" w:rsidRPr="00645667" w14:paraId="340B36B0" w14:textId="77777777" w:rsidTr="001E02BC">
        <w:tc>
          <w:tcPr>
            <w:tcW w:w="4385" w:type="dxa"/>
            <w:tcBorders>
              <w:top w:val="nil"/>
              <w:bottom w:val="single" w:sz="4" w:space="0" w:color="auto"/>
            </w:tcBorders>
            <w:shd w:val="clear" w:color="auto" w:fill="auto"/>
          </w:tcPr>
          <w:p w14:paraId="34397B62" w14:textId="77777777" w:rsidR="00645667" w:rsidRPr="00645667" w:rsidRDefault="00645667" w:rsidP="00645667">
            <w:pPr>
              <w:rPr>
                <w:rFonts w:eastAsia="Times New Roman" w:cs="Times New Roman"/>
                <w:i/>
                <w:lang w:eastAsia="cs-CZ"/>
              </w:rPr>
            </w:pPr>
            <w:r w:rsidRPr="00645667">
              <w:rPr>
                <w:rFonts w:eastAsia="Times New Roman" w:cs="Times New Roman"/>
                <w:i/>
                <w:lang w:eastAsia="cs-CZ"/>
              </w:rPr>
              <w:t xml:space="preserve"> v tom: volitelné programy ESA</w:t>
            </w:r>
          </w:p>
        </w:tc>
        <w:tc>
          <w:tcPr>
            <w:tcW w:w="1275" w:type="dxa"/>
            <w:tcBorders>
              <w:top w:val="nil"/>
              <w:bottom w:val="single" w:sz="4" w:space="0" w:color="auto"/>
            </w:tcBorders>
            <w:shd w:val="clear" w:color="auto" w:fill="auto"/>
            <w:vAlign w:val="center"/>
          </w:tcPr>
          <w:p w14:paraId="1C3F2A95" w14:textId="4B33BA21" w:rsidR="00645667" w:rsidRPr="00645667" w:rsidRDefault="00645667" w:rsidP="00645667">
            <w:pPr>
              <w:jc w:val="right"/>
              <w:rPr>
                <w:rFonts w:eastAsia="Times New Roman" w:cs="Times New Roman"/>
                <w:i/>
                <w:color w:val="FF0000"/>
                <w:lang w:eastAsia="cs-CZ"/>
              </w:rPr>
            </w:pPr>
            <w:r w:rsidRPr="00645667">
              <w:rPr>
                <w:rFonts w:eastAsia="Times New Roman" w:cs="Times New Roman"/>
                <w:i/>
                <w:lang w:eastAsia="cs-CZ"/>
              </w:rPr>
              <w:t>1 123 879</w:t>
            </w:r>
          </w:p>
        </w:tc>
        <w:tc>
          <w:tcPr>
            <w:tcW w:w="1276" w:type="dxa"/>
            <w:tcBorders>
              <w:top w:val="nil"/>
              <w:bottom w:val="single" w:sz="4" w:space="0" w:color="auto"/>
            </w:tcBorders>
            <w:shd w:val="clear" w:color="auto" w:fill="auto"/>
            <w:vAlign w:val="center"/>
          </w:tcPr>
          <w:p w14:paraId="3E5150A6" w14:textId="182CEEC0" w:rsidR="00645667" w:rsidRPr="00645667" w:rsidRDefault="00645667" w:rsidP="00645667">
            <w:pPr>
              <w:jc w:val="right"/>
              <w:rPr>
                <w:rFonts w:eastAsia="Times New Roman" w:cs="Times New Roman"/>
                <w:i/>
                <w:color w:val="FF0000"/>
                <w:lang w:eastAsia="cs-CZ"/>
              </w:rPr>
            </w:pPr>
            <w:r w:rsidRPr="00645667">
              <w:rPr>
                <w:rFonts w:eastAsia="Times New Roman" w:cs="Times New Roman"/>
                <w:i/>
                <w:lang w:eastAsia="cs-CZ"/>
              </w:rPr>
              <w:t>1 205 000</w:t>
            </w:r>
          </w:p>
        </w:tc>
        <w:tc>
          <w:tcPr>
            <w:tcW w:w="1276" w:type="dxa"/>
            <w:tcBorders>
              <w:top w:val="nil"/>
              <w:bottom w:val="single" w:sz="4" w:space="0" w:color="auto"/>
            </w:tcBorders>
            <w:shd w:val="clear" w:color="auto" w:fill="auto"/>
            <w:vAlign w:val="center"/>
          </w:tcPr>
          <w:p w14:paraId="508FC4D3" w14:textId="599DBB4D" w:rsidR="00645667" w:rsidRPr="00645667" w:rsidRDefault="00645667" w:rsidP="00645667">
            <w:pPr>
              <w:jc w:val="right"/>
              <w:rPr>
                <w:rFonts w:eastAsia="Times New Roman" w:cs="Times New Roman"/>
                <w:i/>
                <w:lang w:eastAsia="cs-CZ"/>
              </w:rPr>
            </w:pPr>
            <w:r w:rsidRPr="00645667">
              <w:rPr>
                <w:rFonts w:eastAsia="Times New Roman" w:cs="Times New Roman"/>
                <w:i/>
                <w:lang w:eastAsia="cs-CZ"/>
              </w:rPr>
              <w:t>1 205 000</w:t>
            </w:r>
          </w:p>
        </w:tc>
        <w:tc>
          <w:tcPr>
            <w:tcW w:w="992" w:type="dxa"/>
            <w:tcBorders>
              <w:top w:val="nil"/>
              <w:bottom w:val="single" w:sz="4" w:space="0" w:color="auto"/>
            </w:tcBorders>
            <w:shd w:val="clear" w:color="auto" w:fill="auto"/>
            <w:vAlign w:val="center"/>
          </w:tcPr>
          <w:p w14:paraId="367EA84C" w14:textId="6A1EBF03"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100,00</w:t>
            </w:r>
          </w:p>
        </w:tc>
      </w:tr>
      <w:tr w:rsidR="00645667" w:rsidRPr="00645667" w14:paraId="6B21620C" w14:textId="77777777" w:rsidTr="001E02BC">
        <w:tc>
          <w:tcPr>
            <w:tcW w:w="4385" w:type="dxa"/>
            <w:tcBorders>
              <w:top w:val="nil"/>
              <w:bottom w:val="single" w:sz="4" w:space="0" w:color="auto"/>
            </w:tcBorders>
            <w:shd w:val="clear" w:color="auto" w:fill="auto"/>
          </w:tcPr>
          <w:p w14:paraId="2D3DD7EE" w14:textId="77777777" w:rsidR="00645667" w:rsidRPr="00645667" w:rsidRDefault="00645667" w:rsidP="00645667">
            <w:pPr>
              <w:rPr>
                <w:rFonts w:eastAsia="Times New Roman" w:cs="Times New Roman"/>
                <w:lang w:eastAsia="cs-CZ"/>
              </w:rPr>
            </w:pPr>
            <w:r w:rsidRPr="00645667">
              <w:rPr>
                <w:rFonts w:eastAsia="Times New Roman" w:cs="Times New Roman"/>
                <w:lang w:eastAsia="cs-CZ"/>
              </w:rPr>
              <w:t>Ostatní neinvestiční transfery do zahraničí</w:t>
            </w:r>
          </w:p>
        </w:tc>
        <w:tc>
          <w:tcPr>
            <w:tcW w:w="1275" w:type="dxa"/>
            <w:tcBorders>
              <w:top w:val="nil"/>
              <w:bottom w:val="single" w:sz="4" w:space="0" w:color="auto"/>
            </w:tcBorders>
            <w:shd w:val="clear" w:color="auto" w:fill="auto"/>
            <w:vAlign w:val="center"/>
          </w:tcPr>
          <w:p w14:paraId="38917EB5" w14:textId="71C9C8B8"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3 484</w:t>
            </w:r>
          </w:p>
        </w:tc>
        <w:tc>
          <w:tcPr>
            <w:tcW w:w="1276" w:type="dxa"/>
            <w:tcBorders>
              <w:top w:val="nil"/>
              <w:bottom w:val="single" w:sz="4" w:space="0" w:color="auto"/>
            </w:tcBorders>
            <w:shd w:val="clear" w:color="auto" w:fill="auto"/>
            <w:vAlign w:val="center"/>
          </w:tcPr>
          <w:p w14:paraId="40B6B6E7" w14:textId="072FA7A0" w:rsidR="00645667" w:rsidRPr="00645667" w:rsidRDefault="00645667" w:rsidP="00645667">
            <w:pPr>
              <w:jc w:val="right"/>
              <w:rPr>
                <w:rFonts w:eastAsia="Times New Roman" w:cs="Times New Roman"/>
                <w:color w:val="FF0000"/>
                <w:lang w:eastAsia="cs-CZ"/>
              </w:rPr>
            </w:pPr>
            <w:r w:rsidRPr="00645667">
              <w:rPr>
                <w:rFonts w:eastAsia="Times New Roman" w:cs="Times New Roman"/>
                <w:lang w:eastAsia="cs-CZ"/>
              </w:rPr>
              <w:t>0</w:t>
            </w:r>
          </w:p>
        </w:tc>
        <w:tc>
          <w:tcPr>
            <w:tcW w:w="1276" w:type="dxa"/>
            <w:tcBorders>
              <w:top w:val="nil"/>
              <w:bottom w:val="single" w:sz="4" w:space="0" w:color="auto"/>
            </w:tcBorders>
            <w:shd w:val="clear" w:color="auto" w:fill="auto"/>
            <w:vAlign w:val="center"/>
          </w:tcPr>
          <w:p w14:paraId="3C938AE5" w14:textId="53500F55"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0</w:t>
            </w:r>
          </w:p>
        </w:tc>
        <w:tc>
          <w:tcPr>
            <w:tcW w:w="992" w:type="dxa"/>
            <w:tcBorders>
              <w:top w:val="nil"/>
              <w:bottom w:val="single" w:sz="4" w:space="0" w:color="auto"/>
            </w:tcBorders>
            <w:shd w:val="clear" w:color="auto" w:fill="auto"/>
            <w:vAlign w:val="center"/>
          </w:tcPr>
          <w:p w14:paraId="034437E8" w14:textId="79B45AD3" w:rsidR="00645667" w:rsidRPr="00645667" w:rsidRDefault="00645667" w:rsidP="00645667">
            <w:pPr>
              <w:jc w:val="right"/>
              <w:rPr>
                <w:rFonts w:eastAsia="Times New Roman" w:cs="Times New Roman"/>
                <w:color w:val="FF0000"/>
                <w:lang w:eastAsia="cs-CZ"/>
              </w:rPr>
            </w:pPr>
            <w:r w:rsidRPr="00645667">
              <w:rPr>
                <w:rFonts w:eastAsia="Times New Roman" w:cs="Times New Roman"/>
                <w:lang w:eastAsia="cs-CZ"/>
              </w:rPr>
              <w:t>0,00</w:t>
            </w:r>
          </w:p>
        </w:tc>
      </w:tr>
      <w:tr w:rsidR="00645667" w:rsidRPr="00645667" w14:paraId="33807B20" w14:textId="77777777" w:rsidTr="001E02BC">
        <w:tc>
          <w:tcPr>
            <w:tcW w:w="4385" w:type="dxa"/>
            <w:tcBorders>
              <w:top w:val="nil"/>
              <w:bottom w:val="single" w:sz="4" w:space="0" w:color="auto"/>
            </w:tcBorders>
            <w:shd w:val="clear" w:color="auto" w:fill="auto"/>
          </w:tcPr>
          <w:p w14:paraId="7ABB4AFD" w14:textId="77777777" w:rsidR="00645667" w:rsidRPr="00645667" w:rsidRDefault="00645667" w:rsidP="00645667">
            <w:pPr>
              <w:rPr>
                <w:rFonts w:eastAsia="Times New Roman" w:cs="Times New Roman"/>
                <w:lang w:eastAsia="cs-CZ"/>
              </w:rPr>
            </w:pPr>
            <w:r w:rsidRPr="00645667">
              <w:rPr>
                <w:rFonts w:eastAsia="Times New Roman" w:cs="Times New Roman"/>
                <w:lang w:eastAsia="cs-CZ"/>
              </w:rPr>
              <w:t xml:space="preserve">Členské příspěvky mezinár. vládním org. </w:t>
            </w:r>
          </w:p>
        </w:tc>
        <w:tc>
          <w:tcPr>
            <w:tcW w:w="1275" w:type="dxa"/>
            <w:tcBorders>
              <w:top w:val="nil"/>
              <w:bottom w:val="single" w:sz="4" w:space="0" w:color="auto"/>
            </w:tcBorders>
            <w:shd w:val="clear" w:color="auto" w:fill="auto"/>
            <w:vAlign w:val="center"/>
          </w:tcPr>
          <w:p w14:paraId="7E38BA93" w14:textId="7617458A"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13 710</w:t>
            </w:r>
          </w:p>
        </w:tc>
        <w:tc>
          <w:tcPr>
            <w:tcW w:w="1276" w:type="dxa"/>
            <w:tcBorders>
              <w:top w:val="nil"/>
              <w:bottom w:val="single" w:sz="4" w:space="0" w:color="auto"/>
            </w:tcBorders>
            <w:shd w:val="clear" w:color="auto" w:fill="auto"/>
            <w:vAlign w:val="center"/>
          </w:tcPr>
          <w:p w14:paraId="615AA48B" w14:textId="568E4181"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15 124</w:t>
            </w:r>
          </w:p>
        </w:tc>
        <w:tc>
          <w:tcPr>
            <w:tcW w:w="1276" w:type="dxa"/>
            <w:tcBorders>
              <w:top w:val="nil"/>
              <w:bottom w:val="single" w:sz="4" w:space="0" w:color="auto"/>
            </w:tcBorders>
            <w:shd w:val="clear" w:color="auto" w:fill="auto"/>
            <w:vAlign w:val="center"/>
          </w:tcPr>
          <w:p w14:paraId="6D674E2C" w14:textId="3879FD21"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15 444</w:t>
            </w:r>
          </w:p>
        </w:tc>
        <w:tc>
          <w:tcPr>
            <w:tcW w:w="992" w:type="dxa"/>
            <w:tcBorders>
              <w:top w:val="nil"/>
              <w:bottom w:val="single" w:sz="4" w:space="0" w:color="auto"/>
            </w:tcBorders>
            <w:shd w:val="clear" w:color="auto" w:fill="auto"/>
            <w:vAlign w:val="center"/>
          </w:tcPr>
          <w:p w14:paraId="2F2EDA7B" w14:textId="40C02A65" w:rsidR="00645667" w:rsidRPr="00645667" w:rsidRDefault="00645667" w:rsidP="00645667">
            <w:pPr>
              <w:jc w:val="right"/>
              <w:rPr>
                <w:rFonts w:eastAsia="Times New Roman" w:cs="Times New Roman"/>
                <w:color w:val="FF0000"/>
                <w:lang w:eastAsia="cs-CZ"/>
              </w:rPr>
            </w:pPr>
            <w:r w:rsidRPr="00645667">
              <w:rPr>
                <w:rFonts w:eastAsia="Times New Roman" w:cs="Times New Roman"/>
                <w:lang w:eastAsia="cs-CZ"/>
              </w:rPr>
              <w:t>102,12</w:t>
            </w:r>
          </w:p>
        </w:tc>
      </w:tr>
      <w:tr w:rsidR="00645667" w:rsidRPr="00645667" w14:paraId="5F2FE091" w14:textId="77777777" w:rsidTr="001E02BC">
        <w:tc>
          <w:tcPr>
            <w:tcW w:w="4385" w:type="dxa"/>
            <w:tcBorders>
              <w:top w:val="single" w:sz="4" w:space="0" w:color="auto"/>
              <w:bottom w:val="single" w:sz="4" w:space="0" w:color="auto"/>
            </w:tcBorders>
            <w:shd w:val="clear" w:color="auto" w:fill="auto"/>
          </w:tcPr>
          <w:p w14:paraId="63003751" w14:textId="77777777" w:rsidR="00645667" w:rsidRPr="00645667" w:rsidRDefault="00645667" w:rsidP="00645667">
            <w:pPr>
              <w:rPr>
                <w:rFonts w:eastAsia="Times New Roman" w:cs="Times New Roman"/>
                <w:lang w:eastAsia="cs-CZ"/>
              </w:rPr>
            </w:pPr>
            <w:r w:rsidRPr="00645667">
              <w:rPr>
                <w:rFonts w:eastAsia="Times New Roman" w:cs="Times New Roman"/>
                <w:lang w:eastAsia="cs-CZ"/>
              </w:rPr>
              <w:t>Členské příspěvky mezinár. nevládním org.</w:t>
            </w:r>
          </w:p>
        </w:tc>
        <w:tc>
          <w:tcPr>
            <w:tcW w:w="1275" w:type="dxa"/>
            <w:tcBorders>
              <w:top w:val="single" w:sz="4" w:space="0" w:color="auto"/>
              <w:bottom w:val="single" w:sz="4" w:space="0" w:color="auto"/>
            </w:tcBorders>
            <w:shd w:val="clear" w:color="auto" w:fill="auto"/>
            <w:vAlign w:val="center"/>
          </w:tcPr>
          <w:p w14:paraId="1A56FD36" w14:textId="2471DD4B"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739</w:t>
            </w:r>
          </w:p>
        </w:tc>
        <w:tc>
          <w:tcPr>
            <w:tcW w:w="1276" w:type="dxa"/>
            <w:tcBorders>
              <w:top w:val="single" w:sz="4" w:space="0" w:color="auto"/>
              <w:bottom w:val="single" w:sz="4" w:space="0" w:color="auto"/>
            </w:tcBorders>
            <w:shd w:val="clear" w:color="auto" w:fill="auto"/>
            <w:vAlign w:val="center"/>
          </w:tcPr>
          <w:p w14:paraId="163CD1D8" w14:textId="116BFB7C" w:rsidR="00645667" w:rsidRPr="00645667" w:rsidRDefault="00645667" w:rsidP="00645667">
            <w:pPr>
              <w:jc w:val="right"/>
              <w:rPr>
                <w:rFonts w:eastAsia="Times New Roman" w:cs="Times New Roman"/>
                <w:color w:val="FF0000"/>
                <w:lang w:eastAsia="cs-CZ"/>
              </w:rPr>
            </w:pPr>
            <w:r w:rsidRPr="00645667">
              <w:rPr>
                <w:rFonts w:eastAsia="Times New Roman" w:cs="Times New Roman"/>
                <w:lang w:eastAsia="cs-CZ"/>
              </w:rPr>
              <w:t>1 022</w:t>
            </w:r>
          </w:p>
        </w:tc>
        <w:tc>
          <w:tcPr>
            <w:tcW w:w="1276" w:type="dxa"/>
            <w:tcBorders>
              <w:top w:val="single" w:sz="4" w:space="0" w:color="auto"/>
              <w:bottom w:val="single" w:sz="4" w:space="0" w:color="auto"/>
            </w:tcBorders>
            <w:shd w:val="clear" w:color="auto" w:fill="auto"/>
            <w:vAlign w:val="center"/>
          </w:tcPr>
          <w:p w14:paraId="364AFB0D" w14:textId="47338B1B" w:rsidR="00645667" w:rsidRPr="00645667" w:rsidRDefault="00645667" w:rsidP="00645667">
            <w:pPr>
              <w:jc w:val="right"/>
              <w:rPr>
                <w:rFonts w:eastAsia="Times New Roman" w:cs="Times New Roman"/>
                <w:lang w:eastAsia="cs-CZ"/>
              </w:rPr>
            </w:pPr>
            <w:r w:rsidRPr="00645667">
              <w:rPr>
                <w:rFonts w:eastAsia="Times New Roman" w:cs="Times New Roman"/>
                <w:lang w:eastAsia="cs-CZ"/>
              </w:rPr>
              <w:t>1 022</w:t>
            </w:r>
          </w:p>
        </w:tc>
        <w:tc>
          <w:tcPr>
            <w:tcW w:w="992" w:type="dxa"/>
            <w:tcBorders>
              <w:top w:val="single" w:sz="4" w:space="0" w:color="auto"/>
              <w:bottom w:val="single" w:sz="4" w:space="0" w:color="auto"/>
            </w:tcBorders>
            <w:shd w:val="clear" w:color="auto" w:fill="auto"/>
            <w:vAlign w:val="center"/>
          </w:tcPr>
          <w:p w14:paraId="758DE24F" w14:textId="1F54E3D6" w:rsidR="00645667" w:rsidRPr="00645667" w:rsidRDefault="00645667" w:rsidP="00645667">
            <w:pPr>
              <w:jc w:val="right"/>
              <w:rPr>
                <w:rFonts w:eastAsia="Times New Roman" w:cs="Times New Roman"/>
                <w:color w:val="FF0000"/>
                <w:lang w:eastAsia="cs-CZ"/>
              </w:rPr>
            </w:pPr>
            <w:r w:rsidRPr="00645667">
              <w:rPr>
                <w:rFonts w:eastAsia="Times New Roman" w:cs="Times New Roman"/>
                <w:lang w:eastAsia="cs-CZ"/>
              </w:rPr>
              <w:t>100,00</w:t>
            </w:r>
          </w:p>
        </w:tc>
      </w:tr>
    </w:tbl>
    <w:p w14:paraId="2F51A873" w14:textId="6E5ECADD" w:rsidR="00C53AC7" w:rsidRPr="00645667" w:rsidRDefault="00645667" w:rsidP="00C53AC7">
      <w:pPr>
        <w:pStyle w:val="Styl1"/>
        <w:rPr>
          <w:color w:val="FF0000"/>
        </w:rPr>
      </w:pPr>
      <w:r w:rsidRPr="00645667">
        <w:t>V návrhu rozpočtu kapitoly 327 Ministerstvo dopravy na rok 2025 jsou zahrnuty také neinvestiční transfery do zahraničí ve výši 1 221 466 tis. Kč, tj. o 320 tis. Kč více než v roce 2024</w:t>
      </w:r>
      <w:r w:rsidR="00C53AC7" w:rsidRPr="00645667">
        <w:t xml:space="preserve">. </w:t>
      </w:r>
    </w:p>
    <w:p w14:paraId="6AB80EC7" w14:textId="77777777" w:rsidR="00C53AC7" w:rsidRPr="00645667" w:rsidRDefault="00C53AC7" w:rsidP="00C53AC7">
      <w:pPr>
        <w:spacing w:before="240"/>
        <w:rPr>
          <w:rFonts w:eastAsia="Times New Roman" w:cs="Times New Roman"/>
          <w:b/>
          <w:szCs w:val="24"/>
          <w:u w:val="single"/>
          <w:lang w:eastAsia="cs-CZ"/>
        </w:rPr>
      </w:pPr>
      <w:r w:rsidRPr="00645667">
        <w:rPr>
          <w:rFonts w:eastAsia="Times New Roman" w:cs="Times New Roman"/>
          <w:b/>
          <w:szCs w:val="24"/>
          <w:u w:val="single"/>
          <w:lang w:eastAsia="cs-CZ"/>
        </w:rPr>
        <w:t xml:space="preserve">Neinvestiční transfery mezinárodním vládním organizacím </w:t>
      </w:r>
    </w:p>
    <w:p w14:paraId="321BE1AE" w14:textId="4346380B" w:rsidR="00C53AC7" w:rsidRPr="00645667" w:rsidRDefault="00C53AC7" w:rsidP="00C53AC7">
      <w:pPr>
        <w:pStyle w:val="Styl1"/>
      </w:pPr>
      <w:r w:rsidRPr="00645667">
        <w:t>Transfery mezinárodním vládním organizacím jsou pro rok 202</w:t>
      </w:r>
      <w:r w:rsidR="00645667" w:rsidRPr="00645667">
        <w:t>5</w:t>
      </w:r>
      <w:r w:rsidRPr="00645667">
        <w:t xml:space="preserve"> navrhovány ve výši </w:t>
      </w:r>
      <w:r w:rsidRPr="00645667">
        <w:br/>
        <w:t xml:space="preserve">1 205 000 tis. </w:t>
      </w:r>
      <w:r w:rsidR="005402FC" w:rsidRPr="00645667">
        <w:t>Kč,</w:t>
      </w:r>
      <w:r w:rsidRPr="00645667">
        <w:t xml:space="preserve"> a to na účast ČR ve volitelných programech Evropské kosmické agentury (ESA).</w:t>
      </w:r>
    </w:p>
    <w:p w14:paraId="72AD8D93" w14:textId="77777777" w:rsidR="00C53AC7" w:rsidRPr="00645667" w:rsidRDefault="00C53AC7" w:rsidP="00C53AC7">
      <w:pPr>
        <w:spacing w:before="240" w:after="80"/>
        <w:rPr>
          <w:rFonts w:eastAsia="Times New Roman" w:cs="Times New Roman"/>
          <w:b/>
          <w:szCs w:val="24"/>
          <w:u w:val="single"/>
          <w:lang w:eastAsia="cs-CZ"/>
        </w:rPr>
      </w:pPr>
      <w:r w:rsidRPr="00645667">
        <w:rPr>
          <w:rFonts w:eastAsia="Times New Roman" w:cs="Times New Roman"/>
          <w:b/>
          <w:szCs w:val="24"/>
          <w:u w:val="single"/>
          <w:lang w:eastAsia="cs-CZ"/>
        </w:rPr>
        <w:t>Ostatní neinvestiční transfery do zahraničí</w:t>
      </w:r>
    </w:p>
    <w:p w14:paraId="071D378B" w14:textId="719F8C4B" w:rsidR="00C53AC7" w:rsidRPr="00645667" w:rsidRDefault="00C53AC7" w:rsidP="00C53AC7">
      <w:pPr>
        <w:pStyle w:val="Styl1"/>
      </w:pPr>
      <w:r w:rsidRPr="00645667">
        <w:t>Ostatní neinvestiční transfery do zahraničí nejsou pro rok 202</w:t>
      </w:r>
      <w:r w:rsidR="00FF64C1">
        <w:t>5</w:t>
      </w:r>
      <w:r w:rsidRPr="00645667">
        <w:t xml:space="preserve"> navrhovány.</w:t>
      </w:r>
    </w:p>
    <w:p w14:paraId="06E87BC8" w14:textId="77777777" w:rsidR="00C53AC7" w:rsidRPr="00645667" w:rsidRDefault="00C53AC7" w:rsidP="00C53AC7">
      <w:pPr>
        <w:pStyle w:val="Styl1"/>
        <w:rPr>
          <w:b/>
          <w:u w:val="single"/>
        </w:rPr>
      </w:pPr>
      <w:r w:rsidRPr="00645667">
        <w:rPr>
          <w:b/>
          <w:u w:val="single"/>
        </w:rPr>
        <w:t xml:space="preserve">Členské příspěvky mezinárodním vládním organizacím </w:t>
      </w:r>
    </w:p>
    <w:p w14:paraId="1FE1688C" w14:textId="15DA6606" w:rsidR="00C53AC7" w:rsidRPr="00645667" w:rsidRDefault="00C53AC7" w:rsidP="00C53AC7">
      <w:pPr>
        <w:pStyle w:val="Styl1"/>
        <w:rPr>
          <w:color w:val="FF0000"/>
        </w:rPr>
      </w:pPr>
      <w:r w:rsidRPr="00645667">
        <w:t>Členské příspěvky mezinárodním vládním organizacím jsou pro rok 202</w:t>
      </w:r>
      <w:r w:rsidR="00645667" w:rsidRPr="00645667">
        <w:t>5</w:t>
      </w:r>
      <w:r w:rsidRPr="00645667">
        <w:t xml:space="preserve"> navrhovány ve výši 15 </w:t>
      </w:r>
      <w:r w:rsidR="00645667" w:rsidRPr="00645667">
        <w:t>44</w:t>
      </w:r>
      <w:r w:rsidRPr="00645667">
        <w:t>4 tis. Kč.</w:t>
      </w:r>
    </w:p>
    <w:p w14:paraId="257481E0" w14:textId="77777777" w:rsidR="00C53AC7" w:rsidRPr="00645667" w:rsidRDefault="00C53AC7" w:rsidP="00C53AC7">
      <w:pPr>
        <w:pStyle w:val="Styl1"/>
        <w:rPr>
          <w:b/>
          <w:u w:val="single"/>
        </w:rPr>
      </w:pPr>
      <w:r w:rsidRPr="00645667">
        <w:rPr>
          <w:b/>
          <w:u w:val="single"/>
        </w:rPr>
        <w:t xml:space="preserve">Členské příspěvky mezinárodním nevládním organizacím </w:t>
      </w:r>
    </w:p>
    <w:p w14:paraId="555B3D49" w14:textId="77631DDC" w:rsidR="005820C6" w:rsidRPr="00645667" w:rsidRDefault="00C53AC7" w:rsidP="000E1007">
      <w:pPr>
        <w:pStyle w:val="Styl1"/>
        <w:rPr>
          <w:color w:val="FF0000"/>
        </w:rPr>
      </w:pPr>
      <w:r w:rsidRPr="00645667">
        <w:t>Členské příspěvky mezinárodním nevládním organizacím jsou pro rok 202</w:t>
      </w:r>
      <w:r w:rsidR="00645667" w:rsidRPr="00645667">
        <w:t>5</w:t>
      </w:r>
      <w:r w:rsidRPr="00645667">
        <w:t xml:space="preserve"> navrhovány ve výši 1 022 tis. Kč.</w:t>
      </w:r>
    </w:p>
    <w:p w14:paraId="284AEB91" w14:textId="227E3217" w:rsidR="00144267" w:rsidRPr="00B1427F" w:rsidRDefault="00144267" w:rsidP="007B2F4B">
      <w:pPr>
        <w:pStyle w:val="Nadpis3"/>
      </w:pPr>
      <w:bookmarkStart w:id="195" w:name="_Toc179964102"/>
      <w:r w:rsidRPr="00B1427F">
        <w:t>Neinvestiční transfery státním fondům</w:t>
      </w:r>
      <w:bookmarkEnd w:id="172"/>
      <w:bookmarkEnd w:id="195"/>
    </w:p>
    <w:p w14:paraId="5F61877A" w14:textId="78C675B2" w:rsidR="00910074" w:rsidRPr="00B1427F" w:rsidRDefault="00910074" w:rsidP="00910074">
      <w:pPr>
        <w:pStyle w:val="Titulek"/>
        <w:rPr>
          <w:noProof/>
        </w:rPr>
      </w:pPr>
      <w:r w:rsidRPr="00B1427F">
        <w:t xml:space="preserve">Tabulka č. </w:t>
      </w:r>
      <w:r w:rsidRPr="00B1427F">
        <w:rPr>
          <w:noProof/>
        </w:rPr>
        <w:fldChar w:fldCharType="begin"/>
      </w:r>
      <w:r w:rsidRPr="00B1427F">
        <w:rPr>
          <w:noProof/>
        </w:rPr>
        <w:instrText xml:space="preserve"> SEQ Tabulka \* ARABIC </w:instrText>
      </w:r>
      <w:r w:rsidRPr="00B1427F">
        <w:rPr>
          <w:noProof/>
        </w:rPr>
        <w:fldChar w:fldCharType="separate"/>
      </w:r>
      <w:r w:rsidR="003B0B01" w:rsidRPr="00B1427F">
        <w:rPr>
          <w:noProof/>
        </w:rPr>
        <w:t>29</w:t>
      </w:r>
      <w:r w:rsidRPr="00B1427F">
        <w:rPr>
          <w:noProof/>
        </w:rPr>
        <w:fldChar w:fldCharType="end"/>
      </w:r>
      <w:r w:rsidRPr="00B1427F">
        <w:rPr>
          <w:noProof/>
        </w:rPr>
        <w:t xml:space="preserve"> Neinvestiční transfery státním fondům (v tis. Kč)</w:t>
      </w:r>
    </w:p>
    <w:tbl>
      <w:tblPr>
        <w:tblStyle w:val="Svtltabulkasmkou1zvraznn5"/>
        <w:tblW w:w="9093"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3"/>
        <w:gridCol w:w="1366"/>
        <w:gridCol w:w="1260"/>
        <w:gridCol w:w="1260"/>
        <w:gridCol w:w="964"/>
      </w:tblGrid>
      <w:tr w:rsidR="00A155D6" w:rsidRPr="00B1427F" w14:paraId="44857D47" w14:textId="77777777" w:rsidTr="00D07D18">
        <w:tc>
          <w:tcPr>
            <w:tcW w:w="424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2AC0A07" w14:textId="77777777"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Ukazatel</w:t>
            </w:r>
          </w:p>
        </w:tc>
        <w:tc>
          <w:tcPr>
            <w:tcW w:w="1366"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5D097F2A" w14:textId="77777777"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Skutečnost</w:t>
            </w:r>
          </w:p>
          <w:p w14:paraId="5060592E" w14:textId="5D0F3E12"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202</w:t>
            </w:r>
            <w:r w:rsidR="00B1427F" w:rsidRPr="00B1427F">
              <w:rPr>
                <w:rFonts w:eastAsia="Times New Roman" w:cs="Times New Roman"/>
                <w:b/>
                <w:szCs w:val="24"/>
                <w:lang w:eastAsia="cs-CZ"/>
              </w:rPr>
              <w:t>3</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1B4A1B45" w14:textId="77777777"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Schválený</w:t>
            </w:r>
          </w:p>
          <w:p w14:paraId="0504EC94" w14:textId="77777777"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rozpočet</w:t>
            </w:r>
          </w:p>
          <w:p w14:paraId="28F49A52" w14:textId="560F9954"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202</w:t>
            </w:r>
            <w:r w:rsidR="00B1427F" w:rsidRPr="00B1427F">
              <w:rPr>
                <w:rFonts w:eastAsia="Times New Roman" w:cs="Times New Roman"/>
                <w:b/>
                <w:szCs w:val="24"/>
                <w:lang w:eastAsia="cs-CZ"/>
              </w:rPr>
              <w:t>4</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4AD10A3D" w14:textId="77777777"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Návrh</w:t>
            </w:r>
          </w:p>
          <w:p w14:paraId="5082A6D1" w14:textId="77777777"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rozpočtu</w:t>
            </w:r>
          </w:p>
          <w:p w14:paraId="3F4685E7" w14:textId="75F2F3D3"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202</w:t>
            </w:r>
            <w:r w:rsidR="00B1427F" w:rsidRPr="00B1427F">
              <w:rPr>
                <w:rFonts w:eastAsia="Times New Roman" w:cs="Times New Roman"/>
                <w:b/>
                <w:szCs w:val="24"/>
                <w:lang w:eastAsia="cs-CZ"/>
              </w:rPr>
              <w:t>5</w:t>
            </w:r>
          </w:p>
        </w:tc>
        <w:tc>
          <w:tcPr>
            <w:tcW w:w="964"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0F8BD0ED" w14:textId="77777777"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Index</w:t>
            </w:r>
          </w:p>
          <w:p w14:paraId="01DADE0E" w14:textId="58914173" w:rsidR="00A155D6" w:rsidRPr="00B1427F" w:rsidRDefault="00A155D6" w:rsidP="00D07D18">
            <w:pPr>
              <w:jc w:val="center"/>
              <w:rPr>
                <w:rFonts w:eastAsia="Times New Roman" w:cs="Times New Roman"/>
                <w:b/>
                <w:szCs w:val="24"/>
                <w:lang w:eastAsia="cs-CZ"/>
              </w:rPr>
            </w:pPr>
            <w:r w:rsidRPr="00B1427F">
              <w:rPr>
                <w:rFonts w:eastAsia="Times New Roman" w:cs="Times New Roman"/>
                <w:b/>
                <w:szCs w:val="24"/>
                <w:lang w:eastAsia="cs-CZ"/>
              </w:rPr>
              <w:t>202</w:t>
            </w:r>
            <w:r w:rsidR="00B1427F" w:rsidRPr="00B1427F">
              <w:rPr>
                <w:rFonts w:eastAsia="Times New Roman" w:cs="Times New Roman"/>
                <w:b/>
                <w:szCs w:val="24"/>
                <w:lang w:eastAsia="cs-CZ"/>
              </w:rPr>
              <w:t>5</w:t>
            </w:r>
            <w:r w:rsidRPr="00B1427F">
              <w:rPr>
                <w:rFonts w:eastAsia="Times New Roman" w:cs="Times New Roman"/>
                <w:b/>
                <w:szCs w:val="24"/>
                <w:lang w:eastAsia="cs-CZ"/>
              </w:rPr>
              <w:t>/</w:t>
            </w:r>
            <w:r w:rsidRPr="00B1427F">
              <w:rPr>
                <w:rFonts w:eastAsia="Times New Roman" w:cs="Times New Roman"/>
                <w:b/>
                <w:szCs w:val="24"/>
                <w:lang w:eastAsia="cs-CZ"/>
              </w:rPr>
              <w:br/>
              <w:t>202</w:t>
            </w:r>
            <w:r w:rsidR="00B1427F" w:rsidRPr="00B1427F">
              <w:rPr>
                <w:rFonts w:eastAsia="Times New Roman" w:cs="Times New Roman"/>
                <w:b/>
                <w:szCs w:val="24"/>
                <w:lang w:eastAsia="cs-CZ"/>
              </w:rPr>
              <w:t>4</w:t>
            </w:r>
            <w:r w:rsidRPr="00B1427F">
              <w:rPr>
                <w:rFonts w:eastAsia="Times New Roman" w:cs="Times New Roman"/>
                <w:b/>
                <w:szCs w:val="24"/>
                <w:lang w:eastAsia="cs-CZ"/>
              </w:rPr>
              <w:t xml:space="preserve"> </w:t>
            </w:r>
            <w:r w:rsidRPr="00B1427F">
              <w:rPr>
                <w:rFonts w:eastAsia="Times New Roman" w:cs="Times New Roman"/>
                <w:b/>
                <w:szCs w:val="24"/>
                <w:lang w:eastAsia="cs-CZ"/>
              </w:rPr>
              <w:br/>
              <w:t>(v %)</w:t>
            </w:r>
          </w:p>
        </w:tc>
      </w:tr>
      <w:tr w:rsidR="00A155D6" w:rsidRPr="00B1427F" w14:paraId="423CB48C" w14:textId="77777777" w:rsidTr="00D07D18">
        <w:tc>
          <w:tcPr>
            <w:tcW w:w="4243" w:type="dxa"/>
            <w:tcBorders>
              <w:top w:val="single" w:sz="4" w:space="0" w:color="7F7F7F" w:themeColor="text1" w:themeTint="80"/>
              <w:bottom w:val="single" w:sz="8" w:space="0" w:color="7F7F7F" w:themeColor="text1" w:themeTint="80"/>
            </w:tcBorders>
            <w:shd w:val="clear" w:color="auto" w:fill="auto"/>
          </w:tcPr>
          <w:p w14:paraId="5023DD7E" w14:textId="77777777" w:rsidR="00A155D6" w:rsidRPr="00B1427F" w:rsidRDefault="00A155D6" w:rsidP="00D07D18">
            <w:pPr>
              <w:jc w:val="center"/>
              <w:rPr>
                <w:rFonts w:eastAsia="Times New Roman" w:cs="Times New Roman"/>
                <w:szCs w:val="24"/>
                <w:lang w:eastAsia="cs-CZ"/>
              </w:rPr>
            </w:pPr>
            <w:r w:rsidRPr="00B1427F">
              <w:rPr>
                <w:rFonts w:eastAsia="Times New Roman" w:cs="Times New Roman"/>
                <w:szCs w:val="24"/>
                <w:lang w:eastAsia="cs-CZ"/>
              </w:rPr>
              <w:t>a</w:t>
            </w:r>
          </w:p>
        </w:tc>
        <w:tc>
          <w:tcPr>
            <w:tcW w:w="1366" w:type="dxa"/>
            <w:tcBorders>
              <w:top w:val="single" w:sz="4" w:space="0" w:color="7F7F7F" w:themeColor="text1" w:themeTint="80"/>
              <w:bottom w:val="single" w:sz="8" w:space="0" w:color="7F7F7F" w:themeColor="text1" w:themeTint="80"/>
            </w:tcBorders>
            <w:shd w:val="clear" w:color="auto" w:fill="auto"/>
          </w:tcPr>
          <w:p w14:paraId="0AF50D4F" w14:textId="77777777" w:rsidR="00A155D6" w:rsidRPr="00B1427F" w:rsidRDefault="00A155D6" w:rsidP="00D07D18">
            <w:pPr>
              <w:jc w:val="center"/>
              <w:rPr>
                <w:rFonts w:eastAsia="Times New Roman" w:cs="Times New Roman"/>
                <w:szCs w:val="24"/>
                <w:lang w:eastAsia="cs-CZ"/>
              </w:rPr>
            </w:pPr>
            <w:r w:rsidRPr="00B1427F">
              <w:rPr>
                <w:rFonts w:eastAsia="Times New Roman" w:cs="Times New Roman"/>
                <w:szCs w:val="24"/>
                <w:lang w:eastAsia="cs-CZ"/>
              </w:rPr>
              <w:t>1</w:t>
            </w:r>
          </w:p>
        </w:tc>
        <w:tc>
          <w:tcPr>
            <w:tcW w:w="1260" w:type="dxa"/>
            <w:tcBorders>
              <w:top w:val="single" w:sz="4" w:space="0" w:color="7F7F7F" w:themeColor="text1" w:themeTint="80"/>
              <w:bottom w:val="single" w:sz="8" w:space="0" w:color="7F7F7F" w:themeColor="text1" w:themeTint="80"/>
            </w:tcBorders>
            <w:shd w:val="clear" w:color="auto" w:fill="auto"/>
          </w:tcPr>
          <w:p w14:paraId="760C3DB4" w14:textId="77777777" w:rsidR="00A155D6" w:rsidRPr="00B1427F" w:rsidRDefault="00A155D6" w:rsidP="00D07D18">
            <w:pPr>
              <w:jc w:val="center"/>
              <w:rPr>
                <w:rFonts w:eastAsia="Times New Roman" w:cs="Times New Roman"/>
                <w:szCs w:val="24"/>
                <w:lang w:eastAsia="cs-CZ"/>
              </w:rPr>
            </w:pPr>
            <w:r w:rsidRPr="00B1427F">
              <w:rPr>
                <w:rFonts w:eastAsia="Times New Roman" w:cs="Times New Roman"/>
                <w:szCs w:val="24"/>
                <w:lang w:eastAsia="cs-CZ"/>
              </w:rPr>
              <w:t>2</w:t>
            </w:r>
          </w:p>
        </w:tc>
        <w:tc>
          <w:tcPr>
            <w:tcW w:w="1260" w:type="dxa"/>
            <w:tcBorders>
              <w:top w:val="single" w:sz="4" w:space="0" w:color="7F7F7F" w:themeColor="text1" w:themeTint="80"/>
              <w:bottom w:val="single" w:sz="8" w:space="0" w:color="7F7F7F" w:themeColor="text1" w:themeTint="80"/>
            </w:tcBorders>
            <w:shd w:val="clear" w:color="auto" w:fill="auto"/>
          </w:tcPr>
          <w:p w14:paraId="4EA81076" w14:textId="77777777" w:rsidR="00A155D6" w:rsidRPr="00B1427F" w:rsidRDefault="00A155D6" w:rsidP="00D07D18">
            <w:pPr>
              <w:jc w:val="center"/>
              <w:rPr>
                <w:rFonts w:eastAsia="Times New Roman" w:cs="Times New Roman"/>
                <w:szCs w:val="24"/>
                <w:lang w:eastAsia="cs-CZ"/>
              </w:rPr>
            </w:pPr>
            <w:r w:rsidRPr="00B1427F">
              <w:rPr>
                <w:rFonts w:eastAsia="Times New Roman" w:cs="Times New Roman"/>
                <w:szCs w:val="24"/>
                <w:lang w:eastAsia="cs-CZ"/>
              </w:rPr>
              <w:t>3</w:t>
            </w:r>
          </w:p>
        </w:tc>
        <w:tc>
          <w:tcPr>
            <w:tcW w:w="964" w:type="dxa"/>
            <w:tcBorders>
              <w:top w:val="single" w:sz="4" w:space="0" w:color="7F7F7F" w:themeColor="text1" w:themeTint="80"/>
              <w:bottom w:val="single" w:sz="8" w:space="0" w:color="7F7F7F" w:themeColor="text1" w:themeTint="80"/>
            </w:tcBorders>
            <w:shd w:val="clear" w:color="auto" w:fill="auto"/>
          </w:tcPr>
          <w:p w14:paraId="208C5244" w14:textId="77777777" w:rsidR="00A155D6" w:rsidRPr="00B1427F" w:rsidRDefault="00A155D6" w:rsidP="00D07D18">
            <w:pPr>
              <w:jc w:val="center"/>
              <w:rPr>
                <w:rFonts w:eastAsia="Times New Roman" w:cs="Times New Roman"/>
                <w:szCs w:val="24"/>
                <w:lang w:eastAsia="cs-CZ"/>
              </w:rPr>
            </w:pPr>
            <w:r w:rsidRPr="00B1427F">
              <w:rPr>
                <w:rFonts w:eastAsia="Times New Roman" w:cs="Times New Roman"/>
                <w:szCs w:val="24"/>
                <w:lang w:eastAsia="cs-CZ"/>
              </w:rPr>
              <w:t>4</w:t>
            </w:r>
          </w:p>
        </w:tc>
      </w:tr>
      <w:tr w:rsidR="00B1427F" w:rsidRPr="00B1427F" w14:paraId="750F37F0" w14:textId="77777777" w:rsidTr="00D07D18">
        <w:trPr>
          <w:trHeight w:val="421"/>
        </w:trPr>
        <w:tc>
          <w:tcPr>
            <w:tcW w:w="4243" w:type="dxa"/>
            <w:tcBorders>
              <w:top w:val="single" w:sz="8" w:space="0" w:color="7F7F7F" w:themeColor="text1" w:themeTint="80"/>
              <w:bottom w:val="single" w:sz="8" w:space="0" w:color="7F7F7F" w:themeColor="text1" w:themeTint="80"/>
            </w:tcBorders>
            <w:shd w:val="clear" w:color="auto" w:fill="auto"/>
          </w:tcPr>
          <w:p w14:paraId="2DE74164" w14:textId="7CAE07BD" w:rsidR="00B1427F" w:rsidRPr="00B1427F" w:rsidRDefault="00B1427F" w:rsidP="00B1427F">
            <w:pPr>
              <w:spacing w:before="40" w:after="40"/>
              <w:ind w:right="-170"/>
              <w:jc w:val="left"/>
              <w:rPr>
                <w:rFonts w:eastAsia="Times New Roman" w:cs="Times New Roman"/>
                <w:lang w:eastAsia="cs-CZ"/>
              </w:rPr>
            </w:pPr>
            <w:r w:rsidRPr="00B1427F">
              <w:rPr>
                <w:rFonts w:eastAsia="Times New Roman" w:cs="Times New Roman"/>
                <w:b/>
                <w:bCs/>
                <w:lang w:eastAsia="cs-CZ"/>
              </w:rPr>
              <w:lastRenderedPageBreak/>
              <w:t xml:space="preserve">Neinvestiční transfery státním fondům </w:t>
            </w:r>
            <w:r w:rsidRPr="00B1427F">
              <w:rPr>
                <w:rFonts w:eastAsia="Times New Roman" w:cs="Times New Roman"/>
                <w:bCs/>
                <w:lang w:eastAsia="cs-CZ"/>
              </w:rPr>
              <w:t>(v tom):</w:t>
            </w:r>
          </w:p>
        </w:tc>
        <w:tc>
          <w:tcPr>
            <w:tcW w:w="1366" w:type="dxa"/>
            <w:tcBorders>
              <w:top w:val="single" w:sz="4" w:space="0" w:color="auto"/>
              <w:left w:val="single" w:sz="4" w:space="0" w:color="auto"/>
              <w:bottom w:val="single" w:sz="4" w:space="0" w:color="auto"/>
              <w:right w:val="single" w:sz="4" w:space="0" w:color="auto"/>
            </w:tcBorders>
            <w:vAlign w:val="center"/>
          </w:tcPr>
          <w:p w14:paraId="1BC46DB3" w14:textId="36AB9B63" w:rsidR="00B1427F" w:rsidRPr="00B1427F" w:rsidRDefault="00B1427F" w:rsidP="00B1427F">
            <w:pPr>
              <w:spacing w:before="40" w:after="40"/>
              <w:jc w:val="right"/>
              <w:rPr>
                <w:rFonts w:cs="Times New Roman"/>
                <w:b/>
                <w:sz w:val="22"/>
              </w:rPr>
            </w:pPr>
            <w:r w:rsidRPr="00B1427F">
              <w:rPr>
                <w:rFonts w:cs="Times New Roman"/>
                <w:b/>
                <w:sz w:val="22"/>
              </w:rPr>
              <w:t>21 428 872</w:t>
            </w:r>
          </w:p>
        </w:tc>
        <w:tc>
          <w:tcPr>
            <w:tcW w:w="1260" w:type="dxa"/>
            <w:tcBorders>
              <w:top w:val="single" w:sz="4" w:space="0" w:color="auto"/>
              <w:left w:val="single" w:sz="4" w:space="0" w:color="auto"/>
              <w:bottom w:val="single" w:sz="4" w:space="0" w:color="auto"/>
              <w:right w:val="single" w:sz="4" w:space="0" w:color="auto"/>
            </w:tcBorders>
            <w:vAlign w:val="center"/>
          </w:tcPr>
          <w:p w14:paraId="59B133BC" w14:textId="51A26A8D" w:rsidR="00B1427F" w:rsidRPr="00B1427F" w:rsidRDefault="00B1427F" w:rsidP="00B1427F">
            <w:pPr>
              <w:spacing w:before="40" w:after="40"/>
              <w:jc w:val="right"/>
              <w:rPr>
                <w:rFonts w:cs="Times New Roman"/>
                <w:b/>
                <w:sz w:val="22"/>
              </w:rPr>
            </w:pPr>
            <w:r w:rsidRPr="00B1427F">
              <w:rPr>
                <w:rFonts w:cs="Times New Roman"/>
                <w:b/>
                <w:sz w:val="22"/>
              </w:rPr>
              <w:t>40 112 897</w:t>
            </w:r>
          </w:p>
        </w:tc>
        <w:tc>
          <w:tcPr>
            <w:tcW w:w="1260" w:type="dxa"/>
            <w:tcBorders>
              <w:top w:val="single" w:sz="4" w:space="0" w:color="auto"/>
              <w:left w:val="single" w:sz="4" w:space="0" w:color="auto"/>
              <w:bottom w:val="single" w:sz="4" w:space="0" w:color="auto"/>
              <w:right w:val="single" w:sz="4" w:space="0" w:color="auto"/>
            </w:tcBorders>
            <w:vAlign w:val="center"/>
          </w:tcPr>
          <w:p w14:paraId="7E1A869D" w14:textId="1C1F7611" w:rsidR="00B1427F" w:rsidRPr="00B1427F" w:rsidRDefault="00B1427F" w:rsidP="00B1427F">
            <w:pPr>
              <w:spacing w:before="40" w:after="40"/>
              <w:jc w:val="right"/>
              <w:rPr>
                <w:rFonts w:cs="Times New Roman"/>
                <w:b/>
                <w:sz w:val="22"/>
              </w:rPr>
            </w:pPr>
            <w:r w:rsidRPr="00B1427F">
              <w:rPr>
                <w:rFonts w:cs="Times New Roman"/>
                <w:b/>
                <w:sz w:val="22"/>
              </w:rPr>
              <w:t>26 060 912</w:t>
            </w:r>
          </w:p>
        </w:tc>
        <w:tc>
          <w:tcPr>
            <w:tcW w:w="964" w:type="dxa"/>
            <w:tcBorders>
              <w:top w:val="single" w:sz="4" w:space="0" w:color="auto"/>
              <w:left w:val="single" w:sz="4" w:space="0" w:color="auto"/>
              <w:bottom w:val="single" w:sz="4" w:space="0" w:color="auto"/>
              <w:right w:val="single" w:sz="4" w:space="0" w:color="auto"/>
            </w:tcBorders>
            <w:vAlign w:val="center"/>
          </w:tcPr>
          <w:p w14:paraId="5AAB34A3" w14:textId="1030EF6C" w:rsidR="00B1427F" w:rsidRPr="00B1427F" w:rsidRDefault="00B1427F" w:rsidP="00B1427F">
            <w:pPr>
              <w:spacing w:before="40" w:after="40"/>
              <w:jc w:val="right"/>
              <w:rPr>
                <w:rFonts w:cs="Times New Roman"/>
                <w:b/>
                <w:sz w:val="22"/>
              </w:rPr>
            </w:pPr>
            <w:r w:rsidRPr="00B1427F">
              <w:rPr>
                <w:rFonts w:cs="Times New Roman"/>
                <w:b/>
                <w:sz w:val="22"/>
              </w:rPr>
              <w:t>64,97</w:t>
            </w:r>
          </w:p>
        </w:tc>
      </w:tr>
      <w:tr w:rsidR="00B1427F" w:rsidRPr="00B1427F" w14:paraId="0F4F39B4" w14:textId="77777777" w:rsidTr="00D07D18">
        <w:tc>
          <w:tcPr>
            <w:tcW w:w="4243" w:type="dxa"/>
            <w:tcBorders>
              <w:top w:val="single" w:sz="8" w:space="0" w:color="7F7F7F" w:themeColor="text1" w:themeTint="80"/>
            </w:tcBorders>
            <w:shd w:val="clear" w:color="auto" w:fill="auto"/>
          </w:tcPr>
          <w:p w14:paraId="63E1F383" w14:textId="77777777" w:rsidR="00B1427F" w:rsidRPr="00B1427F" w:rsidRDefault="00B1427F" w:rsidP="00B1427F">
            <w:pPr>
              <w:spacing w:before="40"/>
              <w:rPr>
                <w:rFonts w:eastAsia="Times New Roman" w:cs="Times New Roman"/>
                <w:lang w:eastAsia="cs-CZ"/>
              </w:rPr>
            </w:pPr>
            <w:r w:rsidRPr="00B1427F">
              <w:rPr>
                <w:rFonts w:eastAsia="Times New Roman" w:cs="Times New Roman"/>
                <w:lang w:eastAsia="cs-CZ"/>
              </w:rPr>
              <w:t>dotace pro společné programy EU a ČR</w:t>
            </w:r>
          </w:p>
        </w:tc>
        <w:tc>
          <w:tcPr>
            <w:tcW w:w="1366" w:type="dxa"/>
            <w:tcBorders>
              <w:top w:val="single" w:sz="4" w:space="0" w:color="auto"/>
              <w:left w:val="single" w:sz="4" w:space="0" w:color="auto"/>
              <w:bottom w:val="single" w:sz="4" w:space="0" w:color="auto"/>
              <w:right w:val="single" w:sz="4" w:space="0" w:color="auto"/>
            </w:tcBorders>
          </w:tcPr>
          <w:p w14:paraId="6E47D635" w14:textId="69133621" w:rsidR="00B1427F" w:rsidRPr="00B1427F" w:rsidRDefault="00B1427F" w:rsidP="00B1427F">
            <w:pPr>
              <w:spacing w:before="40"/>
              <w:jc w:val="right"/>
              <w:rPr>
                <w:rFonts w:cs="Times New Roman"/>
                <w:sz w:val="22"/>
              </w:rPr>
            </w:pPr>
            <w:r w:rsidRPr="00B1427F">
              <w:rPr>
                <w:rFonts w:cs="Times New Roman"/>
                <w:sz w:val="22"/>
              </w:rPr>
              <w:t>51 278</w:t>
            </w:r>
          </w:p>
        </w:tc>
        <w:tc>
          <w:tcPr>
            <w:tcW w:w="1260" w:type="dxa"/>
            <w:tcBorders>
              <w:top w:val="single" w:sz="4" w:space="0" w:color="auto"/>
              <w:left w:val="single" w:sz="4" w:space="0" w:color="auto"/>
              <w:bottom w:val="single" w:sz="4" w:space="0" w:color="auto"/>
              <w:right w:val="single" w:sz="4" w:space="0" w:color="auto"/>
            </w:tcBorders>
          </w:tcPr>
          <w:p w14:paraId="54F1A57D" w14:textId="0EDDEE80" w:rsidR="00B1427F" w:rsidRPr="00B1427F" w:rsidRDefault="00B1427F" w:rsidP="00B1427F">
            <w:pPr>
              <w:spacing w:before="40"/>
              <w:jc w:val="right"/>
              <w:rPr>
                <w:rFonts w:cs="Times New Roman"/>
                <w:sz w:val="22"/>
              </w:rPr>
            </w:pPr>
            <w:r w:rsidRPr="00B1427F">
              <w:rPr>
                <w:rFonts w:cs="Times New Roman"/>
                <w:sz w:val="22"/>
              </w:rPr>
              <w:t>60 290</w:t>
            </w:r>
          </w:p>
        </w:tc>
        <w:tc>
          <w:tcPr>
            <w:tcW w:w="1260" w:type="dxa"/>
            <w:tcBorders>
              <w:top w:val="single" w:sz="4" w:space="0" w:color="auto"/>
              <w:left w:val="single" w:sz="4" w:space="0" w:color="auto"/>
              <w:bottom w:val="single" w:sz="4" w:space="0" w:color="auto"/>
              <w:right w:val="single" w:sz="4" w:space="0" w:color="auto"/>
            </w:tcBorders>
          </w:tcPr>
          <w:p w14:paraId="55669E86" w14:textId="4850E16C" w:rsidR="00B1427F" w:rsidRPr="00B1427F" w:rsidRDefault="00B1427F" w:rsidP="00B1427F">
            <w:pPr>
              <w:spacing w:before="40"/>
              <w:jc w:val="right"/>
              <w:rPr>
                <w:rFonts w:cs="Times New Roman"/>
                <w:sz w:val="22"/>
              </w:rPr>
            </w:pPr>
            <w:r w:rsidRPr="00B1427F">
              <w:rPr>
                <w:rFonts w:cs="Times New Roman"/>
                <w:sz w:val="22"/>
              </w:rPr>
              <w:t>60 912</w:t>
            </w:r>
          </w:p>
        </w:tc>
        <w:tc>
          <w:tcPr>
            <w:tcW w:w="964" w:type="dxa"/>
            <w:tcBorders>
              <w:top w:val="single" w:sz="4" w:space="0" w:color="auto"/>
              <w:left w:val="single" w:sz="4" w:space="0" w:color="auto"/>
              <w:bottom w:val="single" w:sz="4" w:space="0" w:color="auto"/>
              <w:right w:val="single" w:sz="4" w:space="0" w:color="auto"/>
            </w:tcBorders>
          </w:tcPr>
          <w:p w14:paraId="5CDC6D05" w14:textId="22220679" w:rsidR="00B1427F" w:rsidRPr="00B1427F" w:rsidRDefault="00B1427F" w:rsidP="00B1427F">
            <w:pPr>
              <w:spacing w:before="40"/>
              <w:jc w:val="right"/>
              <w:rPr>
                <w:rFonts w:cs="Times New Roman"/>
                <w:sz w:val="22"/>
              </w:rPr>
            </w:pPr>
            <w:r w:rsidRPr="00B1427F">
              <w:rPr>
                <w:rFonts w:cs="Times New Roman"/>
                <w:sz w:val="22"/>
              </w:rPr>
              <w:t>101,03</w:t>
            </w:r>
          </w:p>
        </w:tc>
      </w:tr>
      <w:tr w:rsidR="00B1427F" w:rsidRPr="00D070B8" w14:paraId="69EA595F" w14:textId="77777777" w:rsidTr="00D07D18">
        <w:tc>
          <w:tcPr>
            <w:tcW w:w="4243" w:type="dxa"/>
            <w:tcBorders>
              <w:top w:val="single" w:sz="8" w:space="0" w:color="7F7F7F" w:themeColor="text1" w:themeTint="80"/>
            </w:tcBorders>
            <w:shd w:val="clear" w:color="auto" w:fill="auto"/>
          </w:tcPr>
          <w:p w14:paraId="6D655C8B" w14:textId="77777777" w:rsidR="00B1427F" w:rsidRPr="00B1427F" w:rsidRDefault="00B1427F" w:rsidP="00B1427F">
            <w:pPr>
              <w:spacing w:before="40"/>
              <w:rPr>
                <w:rFonts w:eastAsia="Times New Roman" w:cs="Times New Roman"/>
                <w:lang w:eastAsia="cs-CZ"/>
              </w:rPr>
            </w:pPr>
            <w:r w:rsidRPr="00B1427F">
              <w:rPr>
                <w:rFonts w:eastAsia="Times New Roman" w:cs="Times New Roman"/>
                <w:lang w:eastAsia="cs-CZ"/>
              </w:rPr>
              <w:t>Ostatní dotace pro SFDI</w:t>
            </w:r>
          </w:p>
        </w:tc>
        <w:tc>
          <w:tcPr>
            <w:tcW w:w="1366" w:type="dxa"/>
            <w:tcBorders>
              <w:top w:val="single" w:sz="4" w:space="0" w:color="auto"/>
              <w:left w:val="single" w:sz="4" w:space="0" w:color="auto"/>
              <w:bottom w:val="single" w:sz="4" w:space="0" w:color="auto"/>
              <w:right w:val="single" w:sz="4" w:space="0" w:color="auto"/>
            </w:tcBorders>
          </w:tcPr>
          <w:p w14:paraId="649C3C80" w14:textId="6DC8CE5B" w:rsidR="00B1427F" w:rsidRPr="00B1427F" w:rsidRDefault="00B1427F" w:rsidP="00B1427F">
            <w:pPr>
              <w:spacing w:before="40"/>
              <w:jc w:val="right"/>
              <w:rPr>
                <w:rFonts w:cs="Times New Roman"/>
                <w:sz w:val="22"/>
              </w:rPr>
            </w:pPr>
            <w:r w:rsidRPr="00B1427F">
              <w:rPr>
                <w:rFonts w:cs="Times New Roman"/>
                <w:sz w:val="22"/>
              </w:rPr>
              <w:t>21 377 594</w:t>
            </w:r>
          </w:p>
        </w:tc>
        <w:tc>
          <w:tcPr>
            <w:tcW w:w="1260" w:type="dxa"/>
            <w:tcBorders>
              <w:top w:val="single" w:sz="4" w:space="0" w:color="auto"/>
              <w:left w:val="single" w:sz="4" w:space="0" w:color="auto"/>
              <w:bottom w:val="single" w:sz="4" w:space="0" w:color="auto"/>
              <w:right w:val="single" w:sz="4" w:space="0" w:color="auto"/>
            </w:tcBorders>
          </w:tcPr>
          <w:p w14:paraId="58C9EC04" w14:textId="0B73DF93" w:rsidR="00B1427F" w:rsidRPr="00B1427F" w:rsidRDefault="00B1427F" w:rsidP="00B1427F">
            <w:pPr>
              <w:spacing w:before="40"/>
              <w:jc w:val="right"/>
              <w:rPr>
                <w:rFonts w:cs="Times New Roman"/>
                <w:sz w:val="22"/>
              </w:rPr>
            </w:pPr>
            <w:r w:rsidRPr="00B1427F">
              <w:rPr>
                <w:rFonts w:cs="Times New Roman"/>
                <w:sz w:val="22"/>
              </w:rPr>
              <w:t>40 052 607</w:t>
            </w:r>
          </w:p>
        </w:tc>
        <w:tc>
          <w:tcPr>
            <w:tcW w:w="1260" w:type="dxa"/>
            <w:tcBorders>
              <w:top w:val="single" w:sz="4" w:space="0" w:color="auto"/>
              <w:left w:val="single" w:sz="4" w:space="0" w:color="auto"/>
              <w:bottom w:val="single" w:sz="4" w:space="0" w:color="auto"/>
              <w:right w:val="single" w:sz="4" w:space="0" w:color="auto"/>
            </w:tcBorders>
          </w:tcPr>
          <w:p w14:paraId="55703669" w14:textId="0A2D4518" w:rsidR="00B1427F" w:rsidRPr="00B1427F" w:rsidRDefault="00B1427F" w:rsidP="00B1427F">
            <w:pPr>
              <w:spacing w:before="40"/>
              <w:jc w:val="right"/>
              <w:rPr>
                <w:rFonts w:cs="Times New Roman"/>
                <w:sz w:val="22"/>
              </w:rPr>
            </w:pPr>
            <w:r w:rsidRPr="00B1427F">
              <w:rPr>
                <w:rFonts w:cs="Times New Roman"/>
                <w:sz w:val="22"/>
              </w:rPr>
              <w:t>26 000 000</w:t>
            </w:r>
          </w:p>
        </w:tc>
        <w:tc>
          <w:tcPr>
            <w:tcW w:w="964" w:type="dxa"/>
            <w:tcBorders>
              <w:top w:val="single" w:sz="4" w:space="0" w:color="auto"/>
              <w:left w:val="single" w:sz="4" w:space="0" w:color="auto"/>
              <w:bottom w:val="single" w:sz="4" w:space="0" w:color="auto"/>
              <w:right w:val="single" w:sz="4" w:space="0" w:color="auto"/>
            </w:tcBorders>
          </w:tcPr>
          <w:p w14:paraId="4CE435A2" w14:textId="3F56DDC0" w:rsidR="00B1427F" w:rsidRPr="00B1427F" w:rsidRDefault="00B1427F" w:rsidP="00B1427F">
            <w:pPr>
              <w:spacing w:before="40"/>
              <w:jc w:val="right"/>
              <w:rPr>
                <w:rFonts w:cs="Times New Roman"/>
                <w:sz w:val="22"/>
              </w:rPr>
            </w:pPr>
            <w:r w:rsidRPr="00B1427F">
              <w:rPr>
                <w:rFonts w:cs="Times New Roman"/>
                <w:sz w:val="22"/>
              </w:rPr>
              <w:t>64,91</w:t>
            </w:r>
          </w:p>
        </w:tc>
      </w:tr>
    </w:tbl>
    <w:p w14:paraId="53CE3582" w14:textId="40D0D96D" w:rsidR="00A2495B" w:rsidRPr="00B1427F" w:rsidRDefault="00A2495B" w:rsidP="00A2495B">
      <w:pPr>
        <w:pStyle w:val="Styl1"/>
      </w:pPr>
      <w:r w:rsidRPr="00B1427F">
        <w:t>Neinvestiční transfer státním fondům je pro rok 20</w:t>
      </w:r>
      <w:r w:rsidR="008C43E6">
        <w:t>25</w:t>
      </w:r>
      <w:r w:rsidRPr="00B1427F">
        <w:t xml:space="preserve"> navržen ve výši </w:t>
      </w:r>
      <w:r w:rsidR="00B1427F" w:rsidRPr="00B1427F">
        <w:rPr>
          <w:b/>
        </w:rPr>
        <w:t>26 060 912</w:t>
      </w:r>
      <w:r w:rsidRPr="00B1427F">
        <w:rPr>
          <w:b/>
        </w:rPr>
        <w:t xml:space="preserve"> tis. Kč</w:t>
      </w:r>
      <w:r w:rsidRPr="00B1427F">
        <w:t xml:space="preserve">.    Tento transfer je určen Státnímu fondu dopravní infrastruktury (SFDI). </w:t>
      </w:r>
    </w:p>
    <w:p w14:paraId="56837416" w14:textId="77777777" w:rsidR="00B1427F" w:rsidRPr="00DC4DEB" w:rsidRDefault="00B1427F" w:rsidP="00B1427F">
      <w:pPr>
        <w:pStyle w:val="Styl1"/>
      </w:pPr>
      <w:r w:rsidRPr="00DC4DEB">
        <w:t>Finanční prostředky jsou navrženy v rámci dotace pro společné programy EU a ČR na projekty:</w:t>
      </w:r>
    </w:p>
    <w:p w14:paraId="0C0947D0" w14:textId="77777777" w:rsidR="00B1427F" w:rsidRPr="00DC4DEB" w:rsidRDefault="00B1427F" w:rsidP="00B1427F">
      <w:pPr>
        <w:pStyle w:val="Styl1"/>
        <w:numPr>
          <w:ilvl w:val="0"/>
          <w:numId w:val="33"/>
        </w:numPr>
      </w:pPr>
      <w:r w:rsidRPr="00DC4DEB">
        <w:t>Programu Doprava 2021+ ve výši 60 912 Kč. Prostředky vedené v ZED jsou určeny na financování projektů v rámci priority 4 – Technická pomoc.</w:t>
      </w:r>
    </w:p>
    <w:p w14:paraId="12F1AFC6" w14:textId="5B14A58B" w:rsidR="00586150" w:rsidRPr="00D070B8" w:rsidRDefault="00B1427F" w:rsidP="00B1427F">
      <w:pPr>
        <w:pStyle w:val="Styl1"/>
        <w:rPr>
          <w:highlight w:val="yellow"/>
        </w:rPr>
      </w:pPr>
      <w:r w:rsidRPr="00DC4DEB">
        <w:t>Finanční prostředky jsou navrženy na krytí deficitu rozpočtu SFDI v rámci programu 127 76 „Ostatní dotace SFDI“ ve výši 26 000 000 tis. Kč. Prostředky jsou určeny na opravy a údržbu dopravní infrastruktury (</w:t>
      </w:r>
      <w:r>
        <w:t xml:space="preserve">dálnic, </w:t>
      </w:r>
      <w:r w:rsidRPr="00DC4DEB">
        <w:t xml:space="preserve">silnic I. </w:t>
      </w:r>
      <w:r>
        <w:t>t</w:t>
      </w:r>
      <w:r w:rsidRPr="00DC4DEB">
        <w:t>řídy</w:t>
      </w:r>
      <w:r>
        <w:t>,</w:t>
      </w:r>
      <w:r w:rsidRPr="00DC4DEB">
        <w:t xml:space="preserve"> celostátních a regionálních drah)</w:t>
      </w:r>
      <w:r w:rsidR="00A2495B" w:rsidRPr="00B1427F">
        <w:t>.</w:t>
      </w:r>
    </w:p>
    <w:p w14:paraId="5CF0FDF1" w14:textId="77777777" w:rsidR="00BF6DE4" w:rsidRPr="00D070B8" w:rsidRDefault="00BF6DE4" w:rsidP="00586150">
      <w:pPr>
        <w:spacing w:before="120" w:line="240" w:lineRule="auto"/>
        <w:ind w:left="720"/>
        <w:rPr>
          <w:rFonts w:eastAsia="Times New Roman" w:cs="Times New Roman"/>
          <w:color w:val="FF0000"/>
          <w:szCs w:val="24"/>
          <w:highlight w:val="yellow"/>
          <w:lang w:eastAsia="cs-CZ"/>
        </w:rPr>
      </w:pPr>
    </w:p>
    <w:p w14:paraId="244AFD8A" w14:textId="77777777" w:rsidR="007B2F4B" w:rsidRPr="00D070B8" w:rsidRDefault="007B2F4B" w:rsidP="00910074">
      <w:pPr>
        <w:pStyle w:val="Styl1"/>
        <w:rPr>
          <w:color w:val="FF0000"/>
          <w:highlight w:val="yellow"/>
        </w:rPr>
      </w:pPr>
      <w:r w:rsidRPr="00D070B8">
        <w:rPr>
          <w:color w:val="FF0000"/>
          <w:highlight w:val="yellow"/>
        </w:rPr>
        <w:br w:type="page"/>
      </w:r>
    </w:p>
    <w:p w14:paraId="6BED5BB1" w14:textId="77777777" w:rsidR="00B75E55" w:rsidRPr="0023351F" w:rsidRDefault="00B75E55" w:rsidP="007B2F4B">
      <w:pPr>
        <w:pStyle w:val="Nadpis2"/>
      </w:pPr>
      <w:bookmarkStart w:id="196" w:name="_Toc179964103"/>
      <w:r w:rsidRPr="0023351F">
        <w:lastRenderedPageBreak/>
        <w:t>Kapitálové výdaje</w:t>
      </w:r>
      <w:bookmarkEnd w:id="196"/>
    </w:p>
    <w:p w14:paraId="0BE376DC" w14:textId="03ADFAE1" w:rsidR="00072BEE" w:rsidRPr="0023351F" w:rsidRDefault="00072BEE" w:rsidP="00B75E55">
      <w:pPr>
        <w:pStyle w:val="Titulek"/>
        <w:rPr>
          <w:noProof/>
        </w:rPr>
      </w:pPr>
      <w:r w:rsidRPr="0023351F">
        <w:t>Tabulka</w:t>
      </w:r>
      <w:r w:rsidR="00B75E55" w:rsidRPr="0023351F">
        <w:t xml:space="preserve"> č.</w:t>
      </w:r>
      <w:r w:rsidRPr="0023351F">
        <w:t xml:space="preserve"> </w:t>
      </w:r>
      <w:r w:rsidR="0001421C" w:rsidRPr="0023351F">
        <w:rPr>
          <w:noProof/>
        </w:rPr>
        <w:fldChar w:fldCharType="begin"/>
      </w:r>
      <w:r w:rsidR="0001421C" w:rsidRPr="0023351F">
        <w:rPr>
          <w:noProof/>
        </w:rPr>
        <w:instrText xml:space="preserve"> SEQ Tabulka \* ARABIC </w:instrText>
      </w:r>
      <w:r w:rsidR="0001421C" w:rsidRPr="0023351F">
        <w:rPr>
          <w:noProof/>
        </w:rPr>
        <w:fldChar w:fldCharType="separate"/>
      </w:r>
      <w:r w:rsidR="003B0B01" w:rsidRPr="0023351F">
        <w:rPr>
          <w:noProof/>
        </w:rPr>
        <w:t>30</w:t>
      </w:r>
      <w:r w:rsidR="0001421C" w:rsidRPr="0023351F">
        <w:rPr>
          <w:noProof/>
        </w:rPr>
        <w:fldChar w:fldCharType="end"/>
      </w:r>
      <w:r w:rsidR="00B75E55" w:rsidRPr="0023351F">
        <w:rPr>
          <w:noProof/>
        </w:rPr>
        <w:t xml:space="preserve"> Kapitálové výdaje celkem (v tis. Kč)</w:t>
      </w:r>
    </w:p>
    <w:tbl>
      <w:tblPr>
        <w:tblW w:w="5372" w:type="pct"/>
        <w:tblInd w:w="-10" w:type="dxa"/>
        <w:tblCellMar>
          <w:left w:w="70" w:type="dxa"/>
          <w:right w:w="70" w:type="dxa"/>
        </w:tblCellMar>
        <w:tblLook w:val="0000" w:firstRow="0" w:lastRow="0" w:firstColumn="0" w:lastColumn="0" w:noHBand="0" w:noVBand="0"/>
      </w:tblPr>
      <w:tblGrid>
        <w:gridCol w:w="4539"/>
        <w:gridCol w:w="1383"/>
        <w:gridCol w:w="1383"/>
        <w:gridCol w:w="1439"/>
        <w:gridCol w:w="980"/>
      </w:tblGrid>
      <w:tr w:rsidR="00C73958" w:rsidRPr="0023351F" w14:paraId="601B237E" w14:textId="77777777" w:rsidTr="00D07D18">
        <w:trPr>
          <w:trHeight w:val="894"/>
        </w:trPr>
        <w:tc>
          <w:tcPr>
            <w:tcW w:w="2334" w:type="pct"/>
            <w:tcBorders>
              <w:top w:val="single" w:sz="8" w:space="0" w:color="7F7F7F" w:themeColor="text1" w:themeTint="80"/>
              <w:left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11CD2B88" w14:textId="77777777" w:rsidR="00C73958" w:rsidRPr="0023351F" w:rsidRDefault="00C73958" w:rsidP="00D07D18">
            <w:pPr>
              <w:spacing w:line="240" w:lineRule="auto"/>
              <w:jc w:val="center"/>
              <w:rPr>
                <w:rFonts w:eastAsia="Times New Roman" w:cs="Times New Roman"/>
                <w:b/>
                <w:lang w:eastAsia="cs-CZ"/>
              </w:rPr>
            </w:pPr>
            <w:r w:rsidRPr="0023351F">
              <w:rPr>
                <w:rFonts w:eastAsia="Times New Roman" w:cs="Times New Roman"/>
                <w:b/>
                <w:lang w:eastAsia="cs-CZ"/>
              </w:rPr>
              <w:t>Ukazatel</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070BB6BC" w14:textId="77777777" w:rsidR="00C73958" w:rsidRPr="0023351F" w:rsidRDefault="00C73958" w:rsidP="00D07D18">
            <w:pPr>
              <w:jc w:val="center"/>
              <w:rPr>
                <w:rFonts w:eastAsia="Times New Roman" w:cs="Times New Roman"/>
                <w:b/>
                <w:szCs w:val="24"/>
                <w:lang w:eastAsia="cs-CZ"/>
              </w:rPr>
            </w:pPr>
            <w:r w:rsidRPr="0023351F">
              <w:rPr>
                <w:rFonts w:eastAsia="Times New Roman" w:cs="Times New Roman"/>
                <w:b/>
                <w:szCs w:val="24"/>
                <w:lang w:eastAsia="cs-CZ"/>
              </w:rPr>
              <w:t>Skutečnost</w:t>
            </w:r>
          </w:p>
          <w:p w14:paraId="676DF1DB" w14:textId="00BF53F7" w:rsidR="00C73958" w:rsidRPr="0023351F" w:rsidRDefault="00C73958" w:rsidP="00D07D18">
            <w:pPr>
              <w:spacing w:line="240" w:lineRule="auto"/>
              <w:jc w:val="center"/>
              <w:rPr>
                <w:rFonts w:eastAsia="Times New Roman" w:cs="Times New Roman"/>
                <w:b/>
                <w:lang w:eastAsia="cs-CZ"/>
              </w:rPr>
            </w:pPr>
            <w:r w:rsidRPr="0023351F">
              <w:rPr>
                <w:rFonts w:eastAsia="Times New Roman" w:cs="Times New Roman"/>
                <w:b/>
                <w:szCs w:val="24"/>
                <w:lang w:eastAsia="cs-CZ"/>
              </w:rPr>
              <w:t>202</w:t>
            </w:r>
            <w:r w:rsidR="0023351F" w:rsidRPr="0023351F">
              <w:rPr>
                <w:rFonts w:eastAsia="Times New Roman" w:cs="Times New Roman"/>
                <w:b/>
                <w:szCs w:val="24"/>
                <w:lang w:eastAsia="cs-CZ"/>
              </w:rPr>
              <w:t>3</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7FE45B29" w14:textId="1EAB4180" w:rsidR="00C73958" w:rsidRPr="0023351F" w:rsidRDefault="00C73958" w:rsidP="00D07D18">
            <w:pPr>
              <w:spacing w:line="240" w:lineRule="auto"/>
              <w:jc w:val="center"/>
              <w:rPr>
                <w:rFonts w:eastAsia="Times New Roman" w:cs="Times New Roman"/>
                <w:b/>
                <w:lang w:eastAsia="cs-CZ"/>
              </w:rPr>
            </w:pPr>
            <w:r w:rsidRPr="0023351F">
              <w:rPr>
                <w:rFonts w:eastAsia="Times New Roman" w:cs="Times New Roman"/>
                <w:b/>
                <w:lang w:eastAsia="cs-CZ"/>
              </w:rPr>
              <w:t>Schválený rozpočet 202</w:t>
            </w:r>
            <w:r w:rsidR="0023351F" w:rsidRPr="0023351F">
              <w:rPr>
                <w:rFonts w:eastAsia="Times New Roman" w:cs="Times New Roman"/>
                <w:b/>
                <w:lang w:eastAsia="cs-CZ"/>
              </w:rPr>
              <w:t>4</w:t>
            </w:r>
          </w:p>
        </w:tc>
        <w:tc>
          <w:tcPr>
            <w:tcW w:w="740"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768A36B7" w14:textId="37A24053" w:rsidR="00C73958" w:rsidRPr="0023351F" w:rsidRDefault="00C73958" w:rsidP="00D07D18">
            <w:pPr>
              <w:spacing w:line="240" w:lineRule="auto"/>
              <w:jc w:val="center"/>
              <w:rPr>
                <w:rFonts w:eastAsia="Times New Roman" w:cs="Times New Roman"/>
                <w:b/>
                <w:lang w:eastAsia="cs-CZ"/>
              </w:rPr>
            </w:pPr>
            <w:r w:rsidRPr="0023351F">
              <w:rPr>
                <w:rFonts w:eastAsia="Times New Roman" w:cs="Times New Roman"/>
                <w:b/>
                <w:lang w:eastAsia="cs-CZ"/>
              </w:rPr>
              <w:t>Návrh rozpočtu 202</w:t>
            </w:r>
            <w:r w:rsidR="0023351F" w:rsidRPr="0023351F">
              <w:rPr>
                <w:rFonts w:eastAsia="Times New Roman" w:cs="Times New Roman"/>
                <w:b/>
                <w:lang w:eastAsia="cs-CZ"/>
              </w:rPr>
              <w:t>5</w:t>
            </w:r>
          </w:p>
        </w:tc>
        <w:tc>
          <w:tcPr>
            <w:tcW w:w="504" w:type="pct"/>
            <w:tcBorders>
              <w:top w:val="single" w:sz="8" w:space="0" w:color="7F7F7F" w:themeColor="text1" w:themeTint="80"/>
              <w:left w:val="single" w:sz="4" w:space="0" w:color="auto"/>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14:paraId="2F621061" w14:textId="54E4680C" w:rsidR="00C73958" w:rsidRPr="0023351F" w:rsidRDefault="00C73958" w:rsidP="00D07D18">
            <w:pPr>
              <w:spacing w:line="240" w:lineRule="auto"/>
              <w:jc w:val="center"/>
              <w:rPr>
                <w:rFonts w:eastAsia="Times New Roman" w:cs="Times New Roman"/>
                <w:b/>
                <w:lang w:eastAsia="cs-CZ"/>
              </w:rPr>
            </w:pPr>
            <w:r w:rsidRPr="0023351F">
              <w:rPr>
                <w:rFonts w:eastAsia="Times New Roman" w:cs="Times New Roman"/>
                <w:b/>
                <w:lang w:eastAsia="cs-CZ"/>
              </w:rPr>
              <w:t>Index          202</w:t>
            </w:r>
            <w:r w:rsidR="0023351F" w:rsidRPr="0023351F">
              <w:rPr>
                <w:rFonts w:eastAsia="Times New Roman" w:cs="Times New Roman"/>
                <w:b/>
                <w:lang w:eastAsia="cs-CZ"/>
              </w:rPr>
              <w:t>5</w:t>
            </w:r>
            <w:r w:rsidRPr="0023351F">
              <w:rPr>
                <w:rFonts w:eastAsia="Times New Roman" w:cs="Times New Roman"/>
                <w:b/>
                <w:lang w:eastAsia="cs-CZ"/>
              </w:rPr>
              <w:t>/</w:t>
            </w:r>
            <w:r w:rsidRPr="0023351F">
              <w:rPr>
                <w:rFonts w:eastAsia="Times New Roman" w:cs="Times New Roman"/>
                <w:b/>
                <w:lang w:eastAsia="cs-CZ"/>
              </w:rPr>
              <w:br/>
              <w:t>202</w:t>
            </w:r>
            <w:r w:rsidR="0023351F" w:rsidRPr="0023351F">
              <w:rPr>
                <w:rFonts w:eastAsia="Times New Roman" w:cs="Times New Roman"/>
                <w:b/>
                <w:lang w:eastAsia="cs-CZ"/>
              </w:rPr>
              <w:t>4</w:t>
            </w:r>
            <w:r w:rsidR="009067C4" w:rsidRPr="0023351F">
              <w:rPr>
                <w:rFonts w:eastAsia="Times New Roman" w:cs="Times New Roman"/>
                <w:b/>
                <w:lang w:eastAsia="cs-CZ"/>
              </w:rPr>
              <w:t xml:space="preserve"> </w:t>
            </w:r>
            <w:r w:rsidR="004D4CAC" w:rsidRPr="0023351F">
              <w:rPr>
                <w:rFonts w:eastAsia="Times New Roman" w:cs="Times New Roman"/>
                <w:b/>
                <w:lang w:eastAsia="cs-CZ"/>
              </w:rPr>
              <w:br/>
            </w:r>
            <w:r w:rsidR="009067C4" w:rsidRPr="0023351F">
              <w:rPr>
                <w:rFonts w:eastAsia="Times New Roman" w:cs="Times New Roman"/>
                <w:b/>
                <w:lang w:eastAsia="cs-CZ"/>
              </w:rPr>
              <w:t>(</w:t>
            </w:r>
            <w:r w:rsidRPr="0023351F">
              <w:rPr>
                <w:rFonts w:eastAsia="Times New Roman" w:cs="Times New Roman"/>
                <w:b/>
                <w:lang w:eastAsia="cs-CZ"/>
              </w:rPr>
              <w:t>v %)</w:t>
            </w:r>
          </w:p>
        </w:tc>
      </w:tr>
      <w:tr w:rsidR="00C73958" w:rsidRPr="0023351F" w14:paraId="20832539" w14:textId="77777777" w:rsidTr="00D07D18">
        <w:trPr>
          <w:trHeight w:val="255"/>
        </w:trPr>
        <w:tc>
          <w:tcPr>
            <w:tcW w:w="2334" w:type="pct"/>
            <w:tcBorders>
              <w:top w:val="single" w:sz="4" w:space="0" w:color="7F7F7F" w:themeColor="text1" w:themeTint="80"/>
              <w:left w:val="single" w:sz="8" w:space="0" w:color="7F7F7F" w:themeColor="text1" w:themeTint="80"/>
              <w:bottom w:val="single" w:sz="4" w:space="0" w:color="7F7F7F" w:themeColor="text1" w:themeTint="80"/>
              <w:right w:val="single" w:sz="4" w:space="0" w:color="auto"/>
            </w:tcBorders>
            <w:shd w:val="clear" w:color="auto" w:fill="auto"/>
            <w:noWrap/>
            <w:vAlign w:val="bottom"/>
          </w:tcPr>
          <w:p w14:paraId="0C2D72D7" w14:textId="77777777" w:rsidR="00C73958" w:rsidRPr="0023351F" w:rsidRDefault="00C73958" w:rsidP="00D07D18">
            <w:pPr>
              <w:spacing w:line="240" w:lineRule="auto"/>
              <w:jc w:val="center"/>
              <w:rPr>
                <w:rFonts w:eastAsia="Times New Roman" w:cs="Times New Roman"/>
                <w:lang w:eastAsia="cs-CZ"/>
              </w:rPr>
            </w:pPr>
            <w:r w:rsidRPr="0023351F">
              <w:rPr>
                <w:rFonts w:eastAsia="Times New Roman" w:cs="Times New Roman"/>
                <w:lang w:eastAsia="cs-CZ"/>
              </w:rPr>
              <w:t>a</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469B6252" w14:textId="77777777" w:rsidR="00C73958" w:rsidRPr="0023351F" w:rsidRDefault="00C73958" w:rsidP="00D07D18">
            <w:pPr>
              <w:spacing w:line="240" w:lineRule="auto"/>
              <w:jc w:val="center"/>
              <w:rPr>
                <w:rFonts w:eastAsia="Times New Roman" w:cs="Times New Roman"/>
                <w:lang w:eastAsia="cs-CZ"/>
              </w:rPr>
            </w:pPr>
            <w:r w:rsidRPr="0023351F">
              <w:rPr>
                <w:rFonts w:eastAsia="Times New Roman" w:cs="Times New Roman"/>
                <w:lang w:eastAsia="cs-CZ"/>
              </w:rPr>
              <w:t>1</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5217B0D1" w14:textId="77777777" w:rsidR="00C73958" w:rsidRPr="0023351F" w:rsidRDefault="00C73958" w:rsidP="00D07D18">
            <w:pPr>
              <w:spacing w:line="240" w:lineRule="auto"/>
              <w:jc w:val="center"/>
              <w:rPr>
                <w:rFonts w:eastAsia="Times New Roman" w:cs="Times New Roman"/>
                <w:lang w:eastAsia="cs-CZ"/>
              </w:rPr>
            </w:pPr>
            <w:r w:rsidRPr="0023351F">
              <w:rPr>
                <w:rFonts w:eastAsia="Times New Roman" w:cs="Times New Roman"/>
                <w:lang w:eastAsia="cs-CZ"/>
              </w:rPr>
              <w:t>2</w:t>
            </w:r>
          </w:p>
        </w:tc>
        <w:tc>
          <w:tcPr>
            <w:tcW w:w="740"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71E71146" w14:textId="77777777" w:rsidR="00C73958" w:rsidRPr="0023351F" w:rsidRDefault="00C73958" w:rsidP="00D07D18">
            <w:pPr>
              <w:spacing w:line="240" w:lineRule="auto"/>
              <w:jc w:val="center"/>
              <w:rPr>
                <w:rFonts w:eastAsia="Times New Roman" w:cs="Times New Roman"/>
                <w:lang w:eastAsia="cs-CZ"/>
              </w:rPr>
            </w:pPr>
            <w:r w:rsidRPr="0023351F">
              <w:rPr>
                <w:rFonts w:eastAsia="Times New Roman" w:cs="Times New Roman"/>
                <w:lang w:eastAsia="cs-CZ"/>
              </w:rPr>
              <w:t>3</w:t>
            </w:r>
          </w:p>
        </w:tc>
        <w:tc>
          <w:tcPr>
            <w:tcW w:w="504" w:type="pct"/>
            <w:tcBorders>
              <w:top w:val="single" w:sz="4" w:space="0" w:color="7F7F7F" w:themeColor="text1" w:themeTint="80"/>
              <w:left w:val="single" w:sz="4" w:space="0" w:color="auto"/>
              <w:bottom w:val="single" w:sz="4" w:space="0" w:color="7F7F7F" w:themeColor="text1" w:themeTint="80"/>
              <w:right w:val="single" w:sz="8" w:space="0" w:color="7F7F7F" w:themeColor="text1" w:themeTint="80"/>
            </w:tcBorders>
            <w:shd w:val="clear" w:color="auto" w:fill="auto"/>
            <w:noWrap/>
            <w:vAlign w:val="bottom"/>
          </w:tcPr>
          <w:p w14:paraId="488E91FB" w14:textId="77777777" w:rsidR="00C73958" w:rsidRPr="0023351F" w:rsidRDefault="00C73958" w:rsidP="00D07D18">
            <w:pPr>
              <w:spacing w:line="240" w:lineRule="auto"/>
              <w:jc w:val="center"/>
              <w:rPr>
                <w:rFonts w:eastAsia="Times New Roman" w:cs="Times New Roman"/>
                <w:lang w:eastAsia="cs-CZ"/>
              </w:rPr>
            </w:pPr>
            <w:r w:rsidRPr="0023351F">
              <w:rPr>
                <w:rFonts w:eastAsia="Times New Roman" w:cs="Times New Roman"/>
                <w:lang w:eastAsia="cs-CZ"/>
              </w:rPr>
              <w:t>4</w:t>
            </w:r>
          </w:p>
        </w:tc>
      </w:tr>
      <w:tr w:rsidR="0023351F" w:rsidRPr="0023351F" w14:paraId="16506F75" w14:textId="77777777" w:rsidTr="00D07D18">
        <w:trPr>
          <w:trHeight w:val="326"/>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6237C9C8" w14:textId="77777777" w:rsidR="0023351F" w:rsidRPr="0023351F" w:rsidRDefault="0023351F" w:rsidP="0023351F">
            <w:pPr>
              <w:spacing w:line="240" w:lineRule="auto"/>
              <w:rPr>
                <w:rFonts w:eastAsia="Times New Roman" w:cs="Times New Roman"/>
                <w:b/>
                <w:bCs/>
                <w:lang w:eastAsia="cs-CZ"/>
              </w:rPr>
            </w:pPr>
            <w:r w:rsidRPr="0023351F">
              <w:rPr>
                <w:rFonts w:eastAsia="Times New Roman" w:cs="Times New Roman"/>
                <w:b/>
                <w:bCs/>
                <w:lang w:eastAsia="cs-CZ"/>
              </w:rPr>
              <w:t xml:space="preserve">Investiční nákupy a související výdaje organizačních složek státu </w:t>
            </w:r>
            <w:r w:rsidRPr="0023351F">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144E1D7" w14:textId="348E1C69"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 xml:space="preserve">138 660   </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A98A2F7" w14:textId="44155C2D"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174 867</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6CB0977F" w14:textId="38F1C5E9"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132 314</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4DB0E510" w14:textId="401E9282"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75,67</w:t>
            </w:r>
          </w:p>
        </w:tc>
      </w:tr>
      <w:tr w:rsidR="0023351F" w:rsidRPr="0023351F" w14:paraId="1EACB616"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26D08A69"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 xml:space="preserve">prostředky SR  </w:t>
            </w:r>
          </w:p>
        </w:tc>
        <w:tc>
          <w:tcPr>
            <w:tcW w:w="711" w:type="pct"/>
            <w:tcBorders>
              <w:left w:val="single" w:sz="2" w:space="0" w:color="auto"/>
              <w:right w:val="single" w:sz="2" w:space="0" w:color="auto"/>
            </w:tcBorders>
            <w:shd w:val="clear" w:color="auto" w:fill="auto"/>
            <w:noWrap/>
            <w:vAlign w:val="bottom"/>
          </w:tcPr>
          <w:p w14:paraId="295AACBF" w14:textId="1B4AD46F"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131 388,5</w:t>
            </w:r>
          </w:p>
        </w:tc>
        <w:tc>
          <w:tcPr>
            <w:tcW w:w="711" w:type="pct"/>
            <w:tcBorders>
              <w:left w:val="single" w:sz="2" w:space="0" w:color="auto"/>
              <w:right w:val="single" w:sz="2" w:space="0" w:color="auto"/>
            </w:tcBorders>
            <w:shd w:val="clear" w:color="auto" w:fill="auto"/>
            <w:noWrap/>
            <w:vAlign w:val="bottom"/>
          </w:tcPr>
          <w:p w14:paraId="16A1E39F" w14:textId="2B9E3224"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166 867</w:t>
            </w:r>
          </w:p>
        </w:tc>
        <w:tc>
          <w:tcPr>
            <w:tcW w:w="740" w:type="pct"/>
            <w:tcBorders>
              <w:left w:val="single" w:sz="2" w:space="0" w:color="auto"/>
              <w:right w:val="single" w:sz="2" w:space="0" w:color="auto"/>
            </w:tcBorders>
            <w:shd w:val="clear" w:color="auto" w:fill="auto"/>
            <w:noWrap/>
            <w:vAlign w:val="bottom"/>
          </w:tcPr>
          <w:p w14:paraId="5BA60222" w14:textId="7BDF2B2A"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132 314</w:t>
            </w:r>
          </w:p>
        </w:tc>
        <w:tc>
          <w:tcPr>
            <w:tcW w:w="504" w:type="pct"/>
            <w:tcBorders>
              <w:left w:val="single" w:sz="2" w:space="0" w:color="auto"/>
              <w:right w:val="single" w:sz="5" w:space="0" w:color="7F7F7F" w:themeColor="text1" w:themeTint="80"/>
            </w:tcBorders>
            <w:shd w:val="clear" w:color="auto" w:fill="auto"/>
            <w:noWrap/>
            <w:vAlign w:val="bottom"/>
          </w:tcPr>
          <w:p w14:paraId="0AACB51C" w14:textId="666E974E"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79,29</w:t>
            </w:r>
          </w:p>
        </w:tc>
      </w:tr>
      <w:tr w:rsidR="0023351F" w:rsidRPr="0023351F" w14:paraId="5906CE46" w14:textId="77777777" w:rsidTr="00D07D18">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62D22555"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 xml:space="preserve">prostředky EU </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32EF28B0" w14:textId="54D7495A"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7 271,5</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1BF8B69D" w14:textId="6349B295"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8 000</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2F82743C" w14:textId="5FB97F8B"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3AB1FB69" w14:textId="32E1B746"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0,00</w:t>
            </w:r>
          </w:p>
        </w:tc>
      </w:tr>
      <w:tr w:rsidR="0023351F" w:rsidRPr="0023351F" w14:paraId="25CE684A" w14:textId="77777777" w:rsidTr="00D07D18">
        <w:trPr>
          <w:trHeight w:val="527"/>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7524392E" w14:textId="77777777" w:rsidR="0023351F" w:rsidRPr="0023351F" w:rsidRDefault="0023351F" w:rsidP="0023351F">
            <w:pPr>
              <w:spacing w:line="240" w:lineRule="auto"/>
              <w:rPr>
                <w:rFonts w:eastAsia="Times New Roman" w:cs="Times New Roman"/>
                <w:bCs/>
                <w:lang w:eastAsia="cs-CZ"/>
              </w:rPr>
            </w:pPr>
            <w:r w:rsidRPr="0023351F">
              <w:rPr>
                <w:rFonts w:eastAsia="Times New Roman" w:cs="Times New Roman"/>
                <w:b/>
                <w:bCs/>
                <w:lang w:eastAsia="cs-CZ"/>
              </w:rPr>
              <w:t xml:space="preserve">Investiční transfery příspěvkovým </w:t>
            </w:r>
            <w:r w:rsidRPr="0023351F">
              <w:rPr>
                <w:rFonts w:eastAsia="Times New Roman" w:cs="Times New Roman"/>
                <w:b/>
                <w:bCs/>
                <w:lang w:eastAsia="cs-CZ"/>
              </w:rPr>
              <w:br/>
              <w:t>a podobným organizacím (</w:t>
            </w:r>
            <w:r w:rsidRPr="0023351F">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09B28D2E" w14:textId="51D3BEF8"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442 130</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21DECDBE" w14:textId="413F1A5D"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47 904</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7B87B60E" w14:textId="21907C09"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20 205</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20603498" w14:textId="1275E19E"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42,18</w:t>
            </w:r>
          </w:p>
        </w:tc>
      </w:tr>
      <w:tr w:rsidR="0023351F" w:rsidRPr="0023351F" w14:paraId="22114B9B"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7A8393C7"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24C942A3" w14:textId="439A7D2D"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13 320</w:t>
            </w:r>
          </w:p>
        </w:tc>
        <w:tc>
          <w:tcPr>
            <w:tcW w:w="711" w:type="pct"/>
            <w:tcBorders>
              <w:left w:val="single" w:sz="2" w:space="0" w:color="auto"/>
              <w:right w:val="single" w:sz="2" w:space="0" w:color="auto"/>
            </w:tcBorders>
            <w:shd w:val="clear" w:color="auto" w:fill="auto"/>
            <w:noWrap/>
            <w:vAlign w:val="bottom"/>
          </w:tcPr>
          <w:p w14:paraId="580E3F1B" w14:textId="3D3DD84B"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47 088</w:t>
            </w:r>
          </w:p>
        </w:tc>
        <w:tc>
          <w:tcPr>
            <w:tcW w:w="740" w:type="pct"/>
            <w:tcBorders>
              <w:left w:val="single" w:sz="2" w:space="0" w:color="auto"/>
              <w:right w:val="single" w:sz="2" w:space="0" w:color="auto"/>
            </w:tcBorders>
            <w:shd w:val="clear" w:color="auto" w:fill="auto"/>
            <w:noWrap/>
            <w:vAlign w:val="bottom"/>
          </w:tcPr>
          <w:p w14:paraId="3597CB1F" w14:textId="6CB12B9E"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20 205</w:t>
            </w:r>
          </w:p>
        </w:tc>
        <w:tc>
          <w:tcPr>
            <w:tcW w:w="504" w:type="pct"/>
            <w:tcBorders>
              <w:left w:val="single" w:sz="2" w:space="0" w:color="auto"/>
              <w:right w:val="single" w:sz="5" w:space="0" w:color="7F7F7F" w:themeColor="text1" w:themeTint="80"/>
            </w:tcBorders>
            <w:shd w:val="clear" w:color="auto" w:fill="auto"/>
            <w:noWrap/>
            <w:vAlign w:val="bottom"/>
          </w:tcPr>
          <w:p w14:paraId="1B5835B6" w14:textId="20D66EF1"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42,91</w:t>
            </w:r>
          </w:p>
        </w:tc>
      </w:tr>
      <w:tr w:rsidR="0023351F" w:rsidRPr="0023351F" w14:paraId="337BA427" w14:textId="77777777" w:rsidTr="00D07D18">
        <w:trPr>
          <w:trHeight w:val="255"/>
        </w:trPr>
        <w:tc>
          <w:tcPr>
            <w:tcW w:w="2334" w:type="pct"/>
            <w:tcBorders>
              <w:left w:val="single" w:sz="8" w:space="0" w:color="7F7F7F" w:themeColor="text1" w:themeTint="80"/>
              <w:right w:val="single" w:sz="4" w:space="0" w:color="auto"/>
            </w:tcBorders>
            <w:shd w:val="clear" w:color="auto" w:fill="auto"/>
            <w:vAlign w:val="bottom"/>
          </w:tcPr>
          <w:p w14:paraId="0C8E2D89"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z toho: výzkum, vývoj a inovace</w:t>
            </w:r>
          </w:p>
        </w:tc>
        <w:tc>
          <w:tcPr>
            <w:tcW w:w="711" w:type="pct"/>
            <w:tcBorders>
              <w:left w:val="single" w:sz="2" w:space="0" w:color="auto"/>
              <w:right w:val="single" w:sz="2" w:space="0" w:color="auto"/>
            </w:tcBorders>
            <w:shd w:val="clear" w:color="auto" w:fill="auto"/>
            <w:noWrap/>
            <w:vAlign w:val="bottom"/>
          </w:tcPr>
          <w:p w14:paraId="4575AB66" w14:textId="64AFC5B9"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8 593</w:t>
            </w:r>
          </w:p>
        </w:tc>
        <w:tc>
          <w:tcPr>
            <w:tcW w:w="711" w:type="pct"/>
            <w:tcBorders>
              <w:left w:val="single" w:sz="2" w:space="0" w:color="auto"/>
              <w:right w:val="single" w:sz="2" w:space="0" w:color="auto"/>
            </w:tcBorders>
            <w:shd w:val="clear" w:color="auto" w:fill="auto"/>
            <w:noWrap/>
            <w:vAlign w:val="bottom"/>
          </w:tcPr>
          <w:p w14:paraId="4E3D3E99" w14:textId="4C920C36"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30 471</w:t>
            </w:r>
          </w:p>
        </w:tc>
        <w:tc>
          <w:tcPr>
            <w:tcW w:w="740" w:type="pct"/>
            <w:tcBorders>
              <w:left w:val="single" w:sz="2" w:space="0" w:color="auto"/>
              <w:right w:val="single" w:sz="2" w:space="0" w:color="auto"/>
            </w:tcBorders>
            <w:shd w:val="clear" w:color="auto" w:fill="auto"/>
            <w:noWrap/>
            <w:vAlign w:val="bottom"/>
          </w:tcPr>
          <w:p w14:paraId="1E97458E" w14:textId="73EA68F5"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10 000</w:t>
            </w:r>
          </w:p>
        </w:tc>
        <w:tc>
          <w:tcPr>
            <w:tcW w:w="504" w:type="pct"/>
            <w:tcBorders>
              <w:left w:val="single" w:sz="2" w:space="0" w:color="auto"/>
              <w:right w:val="single" w:sz="5" w:space="0" w:color="7F7F7F" w:themeColor="text1" w:themeTint="80"/>
            </w:tcBorders>
            <w:shd w:val="clear" w:color="auto" w:fill="auto"/>
            <w:noWrap/>
            <w:vAlign w:val="bottom"/>
          </w:tcPr>
          <w:p w14:paraId="2C54277D" w14:textId="0444E6E8"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32,82</w:t>
            </w:r>
          </w:p>
        </w:tc>
      </w:tr>
      <w:tr w:rsidR="0023351F" w:rsidRPr="0023351F" w14:paraId="54F75493" w14:textId="77777777" w:rsidTr="00D07D18">
        <w:trPr>
          <w:trHeight w:val="255"/>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2955396C"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EU</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4588A220" w14:textId="5B2952EC"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428 810</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25C080D1" w14:textId="69221B2C"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816</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651A8793" w14:textId="366D45A6"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45CFEE57" w14:textId="6736BD95"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0,00</w:t>
            </w:r>
          </w:p>
        </w:tc>
      </w:tr>
      <w:tr w:rsidR="0023351F" w:rsidRPr="0023351F" w14:paraId="1E57020C" w14:textId="77777777" w:rsidTr="00D07D18">
        <w:trPr>
          <w:trHeight w:val="5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16C427A7" w14:textId="77777777" w:rsidR="0023351F" w:rsidRPr="0023351F" w:rsidRDefault="0023351F" w:rsidP="0023351F">
            <w:pPr>
              <w:rPr>
                <w:rFonts w:eastAsia="Times New Roman" w:cs="Times New Roman"/>
                <w:b/>
                <w:bCs/>
                <w:lang w:eastAsia="cs-CZ"/>
              </w:rPr>
            </w:pPr>
            <w:r w:rsidRPr="0023351F">
              <w:rPr>
                <w:rFonts w:eastAsia="Times New Roman" w:cs="Times New Roman"/>
                <w:b/>
                <w:bCs/>
                <w:lang w:eastAsia="cs-CZ"/>
              </w:rPr>
              <w:t xml:space="preserve">Investiční transfery rozpočtům územní úrovně </w:t>
            </w:r>
            <w:r w:rsidRPr="0023351F">
              <w:rPr>
                <w:rFonts w:eastAsia="Times New Roman" w:cs="Times New Roman"/>
                <w:lang w:eastAsia="cs-CZ"/>
              </w:rPr>
              <w:t>v tom:</w:t>
            </w:r>
          </w:p>
          <w:p w14:paraId="7E31EC09" w14:textId="77777777" w:rsidR="0023351F" w:rsidRPr="0023351F" w:rsidRDefault="0023351F" w:rsidP="0023351F">
            <w:pPr>
              <w:rPr>
                <w:rFonts w:eastAsia="Times New Roman" w:cs="Times New Roman"/>
                <w:lang w:eastAsia="cs-CZ"/>
              </w:rPr>
            </w:pPr>
            <w:r w:rsidRPr="0023351F">
              <w:rPr>
                <w:rFonts w:eastAsia="Times New Roman" w:cs="Times New Roman"/>
                <w:lang w:eastAsia="cs-CZ"/>
              </w:rPr>
              <w:t>prostředky SR</w:t>
            </w:r>
          </w:p>
          <w:p w14:paraId="32011978" w14:textId="5C390237" w:rsidR="0023351F" w:rsidRPr="0023351F" w:rsidRDefault="0023351F" w:rsidP="0023351F">
            <w:pPr>
              <w:spacing w:line="240" w:lineRule="auto"/>
              <w:rPr>
                <w:rFonts w:eastAsia="Times New Roman" w:cs="Times New Roman"/>
                <w:b/>
                <w:bCs/>
                <w:lang w:eastAsia="cs-CZ"/>
              </w:rPr>
            </w:pPr>
            <w:r w:rsidRPr="0023351F">
              <w:rPr>
                <w:rFonts w:eastAsia="Times New Roman" w:cs="Times New Roman"/>
                <w:lang w:eastAsia="cs-CZ"/>
              </w:rPr>
              <w:t>prostředky EU</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216D605" w14:textId="77777777"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3 009 515</w:t>
            </w:r>
          </w:p>
          <w:p w14:paraId="111D2FB9" w14:textId="7777777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p w14:paraId="6F3AD513" w14:textId="27BC7EA3" w:rsidR="0023351F" w:rsidRPr="0023351F" w:rsidRDefault="0023351F" w:rsidP="0023351F">
            <w:pPr>
              <w:jc w:val="right"/>
              <w:rPr>
                <w:rFonts w:eastAsia="Times New Roman" w:cs="Times New Roman"/>
                <w:b/>
                <w:bCs/>
                <w:lang w:eastAsia="cs-CZ"/>
              </w:rPr>
            </w:pPr>
            <w:r w:rsidRPr="0023351F">
              <w:rPr>
                <w:rFonts w:eastAsia="Times New Roman" w:cs="Times New Roman"/>
                <w:lang w:eastAsia="cs-CZ"/>
              </w:rPr>
              <w:t>3 009 515</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0552F00F" w14:textId="7777777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p w14:paraId="59D035CE" w14:textId="7777777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p w14:paraId="3F0D3ADB" w14:textId="23AD0F2E" w:rsidR="0023351F" w:rsidRPr="0023351F" w:rsidRDefault="0023351F" w:rsidP="0023351F">
            <w:pPr>
              <w:jc w:val="right"/>
              <w:rPr>
                <w:rFonts w:eastAsia="Times New Roman" w:cs="Times New Roman"/>
                <w:b/>
                <w:bCs/>
                <w:lang w:eastAsia="cs-CZ"/>
              </w:rPr>
            </w:pPr>
            <w:r w:rsidRPr="0023351F">
              <w:rPr>
                <w:rFonts w:eastAsia="Times New Roman" w:cs="Times New Roman"/>
                <w:lang w:eastAsia="cs-CZ"/>
              </w:rPr>
              <w:t>0</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412C2E67" w14:textId="7777777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p w14:paraId="56FD0553" w14:textId="7777777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p w14:paraId="7997AE42" w14:textId="43C22E2C" w:rsidR="0023351F" w:rsidRPr="0023351F" w:rsidRDefault="0023351F" w:rsidP="0023351F">
            <w:pPr>
              <w:jc w:val="right"/>
              <w:rPr>
                <w:rFonts w:eastAsia="Times New Roman" w:cs="Times New Roman"/>
                <w:b/>
                <w:bCs/>
                <w:lang w:eastAsia="cs-CZ"/>
              </w:rPr>
            </w:pPr>
            <w:r w:rsidRPr="0023351F">
              <w:rPr>
                <w:rFonts w:eastAsia="Times New Roman" w:cs="Times New Roman"/>
                <w:lang w:eastAsia="cs-CZ"/>
              </w:rPr>
              <w:t>0</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0B7232D7" w14:textId="7777777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x</w:t>
            </w:r>
          </w:p>
          <w:p w14:paraId="37152850" w14:textId="7777777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x</w:t>
            </w:r>
          </w:p>
          <w:p w14:paraId="4B051DDA" w14:textId="41B86678" w:rsidR="0023351F" w:rsidRPr="0023351F" w:rsidRDefault="0023351F" w:rsidP="0023351F">
            <w:pPr>
              <w:jc w:val="right"/>
              <w:rPr>
                <w:rFonts w:eastAsia="Times New Roman" w:cs="Times New Roman"/>
                <w:b/>
                <w:bCs/>
                <w:lang w:eastAsia="cs-CZ"/>
              </w:rPr>
            </w:pPr>
            <w:r w:rsidRPr="0023351F">
              <w:rPr>
                <w:rFonts w:eastAsia="Times New Roman" w:cs="Times New Roman"/>
                <w:lang w:eastAsia="cs-CZ"/>
              </w:rPr>
              <w:t>x</w:t>
            </w:r>
          </w:p>
        </w:tc>
      </w:tr>
      <w:tr w:rsidR="0023351F" w:rsidRPr="0023351F" w14:paraId="00A25A29" w14:textId="77777777" w:rsidTr="00D07D18">
        <w:trPr>
          <w:trHeight w:val="5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2F74647E" w14:textId="77777777" w:rsidR="0023351F" w:rsidRPr="0023351F" w:rsidRDefault="0023351F" w:rsidP="0023351F">
            <w:pPr>
              <w:spacing w:line="240" w:lineRule="auto"/>
              <w:rPr>
                <w:rFonts w:eastAsia="Times New Roman" w:cs="Times New Roman"/>
                <w:bCs/>
                <w:lang w:eastAsia="cs-CZ"/>
              </w:rPr>
            </w:pPr>
            <w:r w:rsidRPr="0023351F">
              <w:rPr>
                <w:rFonts w:eastAsia="Times New Roman" w:cs="Times New Roman"/>
                <w:b/>
                <w:bCs/>
                <w:lang w:eastAsia="cs-CZ"/>
              </w:rPr>
              <w:t xml:space="preserve">Investiční transfery podnikatelským subjektům </w:t>
            </w:r>
            <w:r w:rsidRPr="0023351F">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F400E7E" w14:textId="5267D41B"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974 364</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7778ADA5" w14:textId="7BB1BB8E"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650 000</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6BAA83C8" w14:textId="6905A6A5"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0</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078E7EC7" w14:textId="6C1E9DFF"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0,00</w:t>
            </w:r>
          </w:p>
        </w:tc>
      </w:tr>
      <w:tr w:rsidR="0023351F" w:rsidRPr="0023351F" w14:paraId="415A2B92"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6F697D68"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3CFCE68F" w14:textId="1812731C"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tc>
        <w:tc>
          <w:tcPr>
            <w:tcW w:w="711" w:type="pct"/>
            <w:tcBorders>
              <w:left w:val="single" w:sz="2" w:space="0" w:color="auto"/>
              <w:right w:val="single" w:sz="2" w:space="0" w:color="auto"/>
            </w:tcBorders>
            <w:shd w:val="clear" w:color="auto" w:fill="auto"/>
            <w:noWrap/>
            <w:vAlign w:val="bottom"/>
          </w:tcPr>
          <w:p w14:paraId="4D25D0FE" w14:textId="44CCAC6D"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tc>
        <w:tc>
          <w:tcPr>
            <w:tcW w:w="740" w:type="pct"/>
            <w:tcBorders>
              <w:left w:val="single" w:sz="2" w:space="0" w:color="auto"/>
              <w:right w:val="single" w:sz="2" w:space="0" w:color="auto"/>
            </w:tcBorders>
            <w:shd w:val="clear" w:color="auto" w:fill="auto"/>
            <w:noWrap/>
            <w:vAlign w:val="bottom"/>
          </w:tcPr>
          <w:p w14:paraId="3ECF8055" w14:textId="3BA60D4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tc>
        <w:tc>
          <w:tcPr>
            <w:tcW w:w="504" w:type="pct"/>
            <w:tcBorders>
              <w:left w:val="single" w:sz="2" w:space="0" w:color="auto"/>
              <w:right w:val="single" w:sz="5" w:space="0" w:color="7F7F7F" w:themeColor="text1" w:themeTint="80"/>
            </w:tcBorders>
            <w:shd w:val="clear" w:color="auto" w:fill="auto"/>
            <w:noWrap/>
            <w:vAlign w:val="bottom"/>
          </w:tcPr>
          <w:p w14:paraId="397B1179" w14:textId="29B710E6"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x</w:t>
            </w:r>
          </w:p>
        </w:tc>
      </w:tr>
      <w:tr w:rsidR="0023351F" w:rsidRPr="0023351F" w14:paraId="5AC289E2" w14:textId="77777777" w:rsidTr="00D07D18">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3B4646FF"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z fondů EU</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121E7F01" w14:textId="66956BD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974 364</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36FAFF16" w14:textId="5DFB67D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 xml:space="preserve">650 000 </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5618D1E6" w14:textId="6B230EF6"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11393568" w14:textId="6D6C01D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0,00</w:t>
            </w:r>
          </w:p>
        </w:tc>
      </w:tr>
      <w:tr w:rsidR="0023351F" w:rsidRPr="0023351F" w14:paraId="217CE038" w14:textId="77777777" w:rsidTr="00D07D18">
        <w:trPr>
          <w:trHeight w:val="3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7430784B"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b/>
                <w:lang w:eastAsia="cs-CZ"/>
              </w:rPr>
              <w:t xml:space="preserve">Investiční transfery státním fondům </w:t>
            </w:r>
            <w:r w:rsidRPr="0023351F">
              <w:rPr>
                <w:rFonts w:eastAsia="Times New Roman" w:cs="Times New Roman"/>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0283C33F" w14:textId="1047065B" w:rsidR="0023351F" w:rsidRPr="0023351F" w:rsidRDefault="0023351F" w:rsidP="0023351F">
            <w:pPr>
              <w:jc w:val="right"/>
              <w:rPr>
                <w:rFonts w:eastAsia="Times New Roman" w:cs="Times New Roman"/>
                <w:b/>
                <w:lang w:eastAsia="cs-CZ"/>
              </w:rPr>
            </w:pPr>
            <w:r w:rsidRPr="0023351F">
              <w:rPr>
                <w:rFonts w:eastAsia="Times New Roman" w:cs="Times New Roman"/>
                <w:b/>
                <w:lang w:eastAsia="cs-CZ"/>
              </w:rPr>
              <w:t xml:space="preserve">66 727 882  </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3E5EDE1" w14:textId="101DD11F" w:rsidR="0023351F" w:rsidRPr="0023351F" w:rsidRDefault="0023351F" w:rsidP="0023351F">
            <w:pPr>
              <w:jc w:val="right"/>
              <w:rPr>
                <w:rFonts w:eastAsia="Times New Roman" w:cs="Times New Roman"/>
                <w:b/>
                <w:lang w:eastAsia="cs-CZ"/>
              </w:rPr>
            </w:pPr>
            <w:r w:rsidRPr="0023351F">
              <w:rPr>
                <w:rFonts w:eastAsia="Times New Roman" w:cs="Times New Roman"/>
                <w:b/>
                <w:lang w:eastAsia="cs-CZ"/>
              </w:rPr>
              <w:t>41 396 327</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76E387BC" w14:textId="1FE576AF" w:rsidR="0023351F" w:rsidRPr="0023351F" w:rsidRDefault="0023351F" w:rsidP="0023351F">
            <w:pPr>
              <w:jc w:val="right"/>
              <w:rPr>
                <w:rFonts w:eastAsia="Times New Roman" w:cs="Times New Roman"/>
                <w:b/>
                <w:lang w:eastAsia="cs-CZ"/>
              </w:rPr>
            </w:pPr>
            <w:r w:rsidRPr="0023351F">
              <w:rPr>
                <w:rFonts w:eastAsia="Times New Roman" w:cs="Times New Roman"/>
                <w:b/>
                <w:lang w:eastAsia="cs-CZ"/>
              </w:rPr>
              <w:t>93 141 322</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14:paraId="11DB3495" w14:textId="3FB38059" w:rsidR="0023351F" w:rsidRPr="0023351F" w:rsidRDefault="0023351F" w:rsidP="0023351F">
            <w:pPr>
              <w:jc w:val="right"/>
              <w:rPr>
                <w:rFonts w:eastAsia="Times New Roman" w:cs="Times New Roman"/>
                <w:b/>
                <w:lang w:eastAsia="cs-CZ"/>
              </w:rPr>
            </w:pPr>
            <w:r w:rsidRPr="0023351F">
              <w:rPr>
                <w:rFonts w:eastAsia="Times New Roman" w:cs="Times New Roman"/>
                <w:b/>
                <w:lang w:eastAsia="cs-CZ"/>
              </w:rPr>
              <w:t>225,00</w:t>
            </w:r>
          </w:p>
        </w:tc>
      </w:tr>
      <w:tr w:rsidR="0023351F" w:rsidRPr="0023351F" w14:paraId="47A8E2E8" w14:textId="77777777" w:rsidTr="00D07D18">
        <w:trPr>
          <w:trHeight w:val="330"/>
        </w:trPr>
        <w:tc>
          <w:tcPr>
            <w:tcW w:w="2334" w:type="pct"/>
            <w:tcBorders>
              <w:left w:val="single" w:sz="8" w:space="0" w:color="7F7F7F" w:themeColor="text1" w:themeTint="80"/>
              <w:right w:val="single" w:sz="4" w:space="0" w:color="auto"/>
            </w:tcBorders>
            <w:shd w:val="clear" w:color="auto" w:fill="auto"/>
            <w:vAlign w:val="bottom"/>
          </w:tcPr>
          <w:p w14:paraId="4EB27EA3"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30B11932" w14:textId="5F7141CD"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42 975 411</w:t>
            </w:r>
          </w:p>
        </w:tc>
        <w:tc>
          <w:tcPr>
            <w:tcW w:w="711" w:type="pct"/>
            <w:tcBorders>
              <w:left w:val="single" w:sz="2" w:space="0" w:color="auto"/>
              <w:right w:val="single" w:sz="2" w:space="0" w:color="auto"/>
            </w:tcBorders>
            <w:shd w:val="clear" w:color="auto" w:fill="auto"/>
            <w:noWrap/>
            <w:vAlign w:val="bottom"/>
          </w:tcPr>
          <w:p w14:paraId="15204ECF" w14:textId="01DA4FB0"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17 379 099</w:t>
            </w:r>
          </w:p>
        </w:tc>
        <w:tc>
          <w:tcPr>
            <w:tcW w:w="740" w:type="pct"/>
            <w:tcBorders>
              <w:left w:val="single" w:sz="2" w:space="0" w:color="auto"/>
              <w:right w:val="single" w:sz="2" w:space="0" w:color="auto"/>
            </w:tcBorders>
            <w:shd w:val="clear" w:color="auto" w:fill="auto"/>
            <w:noWrap/>
            <w:vAlign w:val="bottom"/>
          </w:tcPr>
          <w:p w14:paraId="137C2528" w14:textId="593FE6A2"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55 804 946</w:t>
            </w:r>
          </w:p>
        </w:tc>
        <w:tc>
          <w:tcPr>
            <w:tcW w:w="504" w:type="pct"/>
            <w:tcBorders>
              <w:left w:val="single" w:sz="4" w:space="0" w:color="auto"/>
              <w:right w:val="single" w:sz="8" w:space="0" w:color="7F7F7F" w:themeColor="text1" w:themeTint="80"/>
            </w:tcBorders>
            <w:shd w:val="clear" w:color="auto" w:fill="auto"/>
            <w:noWrap/>
            <w:vAlign w:val="bottom"/>
          </w:tcPr>
          <w:p w14:paraId="1CAA2DB9" w14:textId="586E1F28"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321,10</w:t>
            </w:r>
          </w:p>
        </w:tc>
      </w:tr>
      <w:tr w:rsidR="0023351F" w:rsidRPr="0023351F" w14:paraId="75744292" w14:textId="77777777" w:rsidTr="00D07D18">
        <w:trPr>
          <w:trHeight w:val="330"/>
        </w:trPr>
        <w:tc>
          <w:tcPr>
            <w:tcW w:w="2334" w:type="pct"/>
            <w:tcBorders>
              <w:left w:val="single" w:sz="8" w:space="0" w:color="7F7F7F" w:themeColor="text1" w:themeTint="80"/>
              <w:bottom w:val="single" w:sz="8" w:space="0" w:color="7F7F7F" w:themeColor="text1" w:themeTint="80"/>
              <w:right w:val="single" w:sz="4" w:space="0" w:color="auto"/>
            </w:tcBorders>
            <w:shd w:val="clear" w:color="auto" w:fill="auto"/>
            <w:vAlign w:val="bottom"/>
          </w:tcPr>
          <w:p w14:paraId="3515A9CF"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EU</w:t>
            </w:r>
          </w:p>
        </w:tc>
        <w:tc>
          <w:tcPr>
            <w:tcW w:w="711" w:type="pct"/>
            <w:tcBorders>
              <w:left w:val="single" w:sz="2" w:space="0" w:color="auto"/>
              <w:bottom w:val="single" w:sz="2" w:space="0" w:color="auto"/>
              <w:right w:val="single" w:sz="2" w:space="0" w:color="auto"/>
            </w:tcBorders>
            <w:shd w:val="clear" w:color="auto" w:fill="auto"/>
            <w:noWrap/>
            <w:vAlign w:val="bottom"/>
          </w:tcPr>
          <w:p w14:paraId="1B2047A3" w14:textId="19F25676"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23 752 471</w:t>
            </w:r>
          </w:p>
        </w:tc>
        <w:tc>
          <w:tcPr>
            <w:tcW w:w="711" w:type="pct"/>
            <w:tcBorders>
              <w:left w:val="single" w:sz="2" w:space="0" w:color="auto"/>
              <w:bottom w:val="single" w:sz="2" w:space="0" w:color="auto"/>
              <w:right w:val="single" w:sz="2" w:space="0" w:color="auto"/>
            </w:tcBorders>
            <w:shd w:val="clear" w:color="auto" w:fill="auto"/>
            <w:noWrap/>
            <w:vAlign w:val="bottom"/>
          </w:tcPr>
          <w:p w14:paraId="4068FF19" w14:textId="6CC346FF"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24 017 228</w:t>
            </w:r>
          </w:p>
        </w:tc>
        <w:tc>
          <w:tcPr>
            <w:tcW w:w="740" w:type="pct"/>
            <w:tcBorders>
              <w:left w:val="single" w:sz="2" w:space="0" w:color="auto"/>
              <w:bottom w:val="single" w:sz="2" w:space="0" w:color="auto"/>
              <w:right w:val="single" w:sz="2" w:space="0" w:color="auto"/>
            </w:tcBorders>
            <w:shd w:val="clear" w:color="auto" w:fill="auto"/>
            <w:noWrap/>
            <w:vAlign w:val="bottom"/>
          </w:tcPr>
          <w:p w14:paraId="170F357B" w14:textId="5FFCB2B3"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37 336 376</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14:paraId="3D836987" w14:textId="1BFBFA41"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155,46</w:t>
            </w:r>
          </w:p>
        </w:tc>
      </w:tr>
      <w:tr w:rsidR="0023351F" w:rsidRPr="0023351F" w14:paraId="6CD3E3C1" w14:textId="77777777" w:rsidTr="00D07D18">
        <w:trPr>
          <w:trHeight w:val="367"/>
        </w:trPr>
        <w:tc>
          <w:tcPr>
            <w:tcW w:w="2334" w:type="pct"/>
            <w:tcBorders>
              <w:top w:val="single" w:sz="8" w:space="0" w:color="7F7F7F" w:themeColor="text1" w:themeTint="80"/>
              <w:left w:val="single" w:sz="8" w:space="0" w:color="7F7F7F" w:themeColor="text1" w:themeTint="80"/>
              <w:right w:val="single" w:sz="4" w:space="0" w:color="auto"/>
            </w:tcBorders>
            <w:shd w:val="clear" w:color="auto" w:fill="auto"/>
            <w:noWrap/>
            <w:vAlign w:val="bottom"/>
          </w:tcPr>
          <w:p w14:paraId="082AD5C6" w14:textId="77777777" w:rsidR="0023351F" w:rsidRPr="0023351F" w:rsidRDefault="0023351F" w:rsidP="0023351F">
            <w:pPr>
              <w:spacing w:line="240" w:lineRule="auto"/>
              <w:rPr>
                <w:rFonts w:eastAsia="Times New Roman" w:cs="Times New Roman"/>
                <w:bCs/>
                <w:lang w:eastAsia="cs-CZ"/>
              </w:rPr>
            </w:pPr>
            <w:r w:rsidRPr="0023351F">
              <w:rPr>
                <w:rFonts w:eastAsia="Times New Roman" w:cs="Times New Roman"/>
                <w:b/>
                <w:bCs/>
                <w:lang w:eastAsia="cs-CZ"/>
              </w:rPr>
              <w:t xml:space="preserve">Kapitálové výdaje celkem </w:t>
            </w:r>
            <w:r w:rsidRPr="0023351F">
              <w:rPr>
                <w:rFonts w:eastAsia="Times New Roman" w:cs="Times New Roman"/>
                <w:bCs/>
                <w:lang w:eastAsia="cs-CZ"/>
              </w:rPr>
              <w:t>(v tom):</w:t>
            </w:r>
          </w:p>
        </w:tc>
        <w:tc>
          <w:tcPr>
            <w:tcW w:w="711" w:type="pct"/>
            <w:tcBorders>
              <w:top w:val="single" w:sz="2" w:space="0" w:color="auto"/>
              <w:left w:val="single" w:sz="2" w:space="0" w:color="auto"/>
              <w:right w:val="single" w:sz="2" w:space="0" w:color="auto"/>
            </w:tcBorders>
            <w:shd w:val="clear" w:color="auto" w:fill="auto"/>
            <w:noWrap/>
            <w:vAlign w:val="bottom"/>
          </w:tcPr>
          <w:p w14:paraId="6E57D4C9" w14:textId="5B60349C"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 xml:space="preserve">71 292 551 </w:t>
            </w:r>
          </w:p>
        </w:tc>
        <w:tc>
          <w:tcPr>
            <w:tcW w:w="711" w:type="pct"/>
            <w:tcBorders>
              <w:top w:val="single" w:sz="2" w:space="0" w:color="auto"/>
              <w:left w:val="single" w:sz="2" w:space="0" w:color="auto"/>
              <w:right w:val="single" w:sz="2" w:space="0" w:color="auto"/>
            </w:tcBorders>
            <w:shd w:val="clear" w:color="auto" w:fill="auto"/>
            <w:noWrap/>
            <w:vAlign w:val="bottom"/>
          </w:tcPr>
          <w:p w14:paraId="3A8B0447" w14:textId="6CFFA926"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42 269 098</w:t>
            </w:r>
          </w:p>
        </w:tc>
        <w:tc>
          <w:tcPr>
            <w:tcW w:w="740" w:type="pct"/>
            <w:tcBorders>
              <w:top w:val="single" w:sz="2" w:space="0" w:color="auto"/>
              <w:left w:val="single" w:sz="2" w:space="0" w:color="auto"/>
              <w:right w:val="single" w:sz="2" w:space="0" w:color="auto"/>
            </w:tcBorders>
            <w:shd w:val="clear" w:color="auto" w:fill="auto"/>
            <w:noWrap/>
            <w:vAlign w:val="bottom"/>
          </w:tcPr>
          <w:p w14:paraId="022FE8F2" w14:textId="22ECB7AA"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93 293 841</w:t>
            </w:r>
          </w:p>
        </w:tc>
        <w:tc>
          <w:tcPr>
            <w:tcW w:w="504" w:type="pct"/>
            <w:tcBorders>
              <w:top w:val="single" w:sz="4" w:space="0" w:color="auto"/>
              <w:left w:val="single" w:sz="4" w:space="0" w:color="auto"/>
              <w:right w:val="single" w:sz="8" w:space="0" w:color="7F7F7F" w:themeColor="text1" w:themeTint="80"/>
            </w:tcBorders>
            <w:shd w:val="clear" w:color="auto" w:fill="auto"/>
            <w:noWrap/>
            <w:vAlign w:val="bottom"/>
          </w:tcPr>
          <w:p w14:paraId="03083487" w14:textId="5E6D0B5E" w:rsidR="0023351F" w:rsidRPr="0023351F" w:rsidRDefault="0023351F" w:rsidP="0023351F">
            <w:pPr>
              <w:jc w:val="right"/>
              <w:rPr>
                <w:rFonts w:eastAsia="Times New Roman" w:cs="Times New Roman"/>
                <w:b/>
                <w:bCs/>
                <w:lang w:eastAsia="cs-CZ"/>
              </w:rPr>
            </w:pPr>
            <w:r w:rsidRPr="0023351F">
              <w:rPr>
                <w:rFonts w:eastAsia="Times New Roman" w:cs="Times New Roman"/>
                <w:b/>
                <w:bCs/>
                <w:lang w:eastAsia="cs-CZ"/>
              </w:rPr>
              <w:t>220,71</w:t>
            </w:r>
          </w:p>
        </w:tc>
      </w:tr>
      <w:tr w:rsidR="0023351F" w:rsidRPr="0023351F" w14:paraId="4ACAD1D7" w14:textId="77777777" w:rsidTr="00D07D18">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17D5433F"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6B817584" w14:textId="4F4319C9"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43 120 119</w:t>
            </w:r>
          </w:p>
        </w:tc>
        <w:tc>
          <w:tcPr>
            <w:tcW w:w="711" w:type="pct"/>
            <w:tcBorders>
              <w:left w:val="single" w:sz="2" w:space="0" w:color="auto"/>
              <w:right w:val="single" w:sz="2" w:space="0" w:color="auto"/>
            </w:tcBorders>
            <w:shd w:val="clear" w:color="auto" w:fill="auto"/>
            <w:noWrap/>
            <w:vAlign w:val="bottom"/>
          </w:tcPr>
          <w:p w14:paraId="60863A8B" w14:textId="480533DA"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17 593 054</w:t>
            </w:r>
          </w:p>
        </w:tc>
        <w:tc>
          <w:tcPr>
            <w:tcW w:w="740" w:type="pct"/>
            <w:tcBorders>
              <w:left w:val="single" w:sz="2" w:space="0" w:color="auto"/>
              <w:right w:val="single" w:sz="2" w:space="0" w:color="auto"/>
            </w:tcBorders>
            <w:shd w:val="clear" w:color="auto" w:fill="auto"/>
            <w:noWrap/>
            <w:vAlign w:val="bottom"/>
          </w:tcPr>
          <w:p w14:paraId="1880CE6D" w14:textId="2A961804"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55 957 465</w:t>
            </w:r>
          </w:p>
        </w:tc>
        <w:tc>
          <w:tcPr>
            <w:tcW w:w="504" w:type="pct"/>
            <w:tcBorders>
              <w:left w:val="single" w:sz="4" w:space="0" w:color="auto"/>
              <w:right w:val="single" w:sz="8" w:space="0" w:color="7F7F7F" w:themeColor="text1" w:themeTint="80"/>
            </w:tcBorders>
            <w:shd w:val="clear" w:color="auto" w:fill="auto"/>
            <w:noWrap/>
            <w:vAlign w:val="bottom"/>
          </w:tcPr>
          <w:p w14:paraId="207BDC9A" w14:textId="10D52504"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318,07</w:t>
            </w:r>
          </w:p>
        </w:tc>
      </w:tr>
      <w:tr w:rsidR="0023351F" w:rsidRPr="0023351F" w14:paraId="256B0C81" w14:textId="77777777" w:rsidTr="00D07D18">
        <w:trPr>
          <w:trHeight w:val="304"/>
        </w:trPr>
        <w:tc>
          <w:tcPr>
            <w:tcW w:w="2334" w:type="pct"/>
            <w:tcBorders>
              <w:left w:val="single" w:sz="8" w:space="0" w:color="7F7F7F" w:themeColor="text1" w:themeTint="80"/>
              <w:right w:val="single" w:sz="4" w:space="0" w:color="auto"/>
            </w:tcBorders>
            <w:shd w:val="clear" w:color="auto" w:fill="auto"/>
            <w:noWrap/>
            <w:vAlign w:val="bottom"/>
          </w:tcPr>
          <w:p w14:paraId="61E11366"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z toho: výzkum, vývoj a inovace</w:t>
            </w:r>
          </w:p>
        </w:tc>
        <w:tc>
          <w:tcPr>
            <w:tcW w:w="711" w:type="pct"/>
            <w:tcBorders>
              <w:left w:val="single" w:sz="2" w:space="0" w:color="auto"/>
              <w:right w:val="single" w:sz="2" w:space="0" w:color="auto"/>
            </w:tcBorders>
            <w:shd w:val="clear" w:color="auto" w:fill="auto"/>
            <w:noWrap/>
            <w:vAlign w:val="bottom"/>
          </w:tcPr>
          <w:p w14:paraId="12B21848" w14:textId="158835B0"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8 593</w:t>
            </w:r>
          </w:p>
        </w:tc>
        <w:tc>
          <w:tcPr>
            <w:tcW w:w="711" w:type="pct"/>
            <w:tcBorders>
              <w:left w:val="single" w:sz="2" w:space="0" w:color="auto"/>
              <w:right w:val="single" w:sz="2" w:space="0" w:color="auto"/>
            </w:tcBorders>
            <w:shd w:val="clear" w:color="auto" w:fill="auto"/>
            <w:noWrap/>
            <w:vAlign w:val="bottom"/>
          </w:tcPr>
          <w:p w14:paraId="555A4F08" w14:textId="4B71C74B"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30 471</w:t>
            </w:r>
          </w:p>
        </w:tc>
        <w:tc>
          <w:tcPr>
            <w:tcW w:w="740" w:type="pct"/>
            <w:tcBorders>
              <w:left w:val="single" w:sz="2" w:space="0" w:color="auto"/>
              <w:right w:val="single" w:sz="2" w:space="0" w:color="auto"/>
            </w:tcBorders>
            <w:shd w:val="clear" w:color="auto" w:fill="auto"/>
            <w:noWrap/>
            <w:vAlign w:val="bottom"/>
          </w:tcPr>
          <w:p w14:paraId="0496CDB0" w14:textId="3DAE1E51"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10 000</w:t>
            </w:r>
          </w:p>
        </w:tc>
        <w:tc>
          <w:tcPr>
            <w:tcW w:w="504" w:type="pct"/>
            <w:tcBorders>
              <w:left w:val="single" w:sz="4" w:space="0" w:color="auto"/>
              <w:right w:val="single" w:sz="8" w:space="0" w:color="7F7F7F" w:themeColor="text1" w:themeTint="80"/>
            </w:tcBorders>
            <w:shd w:val="clear" w:color="auto" w:fill="auto"/>
            <w:noWrap/>
            <w:vAlign w:val="bottom"/>
          </w:tcPr>
          <w:p w14:paraId="285D7C01" w14:textId="0432BDC7"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32,82</w:t>
            </w:r>
          </w:p>
        </w:tc>
      </w:tr>
      <w:tr w:rsidR="0023351F" w:rsidRPr="00D070B8" w14:paraId="008879F2" w14:textId="77777777" w:rsidTr="00D07D18">
        <w:trPr>
          <w:trHeight w:val="330"/>
        </w:trPr>
        <w:tc>
          <w:tcPr>
            <w:tcW w:w="2334" w:type="pct"/>
            <w:tcBorders>
              <w:left w:val="single" w:sz="8" w:space="0" w:color="7F7F7F" w:themeColor="text1" w:themeTint="80"/>
              <w:bottom w:val="single" w:sz="4" w:space="0" w:color="auto"/>
              <w:right w:val="single" w:sz="4" w:space="0" w:color="auto"/>
            </w:tcBorders>
            <w:shd w:val="clear" w:color="auto" w:fill="auto"/>
            <w:noWrap/>
            <w:vAlign w:val="bottom"/>
          </w:tcPr>
          <w:p w14:paraId="16CB780C" w14:textId="77777777" w:rsidR="0023351F" w:rsidRPr="0023351F" w:rsidRDefault="0023351F" w:rsidP="0023351F">
            <w:pPr>
              <w:spacing w:line="240" w:lineRule="auto"/>
              <w:rPr>
                <w:rFonts w:eastAsia="Times New Roman" w:cs="Times New Roman"/>
                <w:lang w:eastAsia="cs-CZ"/>
              </w:rPr>
            </w:pPr>
            <w:r w:rsidRPr="0023351F">
              <w:rPr>
                <w:rFonts w:eastAsia="Times New Roman" w:cs="Times New Roman"/>
                <w:lang w:eastAsia="cs-CZ"/>
              </w:rPr>
              <w:t>prostředky EU</w:t>
            </w:r>
          </w:p>
        </w:tc>
        <w:tc>
          <w:tcPr>
            <w:tcW w:w="711" w:type="pct"/>
            <w:tcBorders>
              <w:left w:val="single" w:sz="2" w:space="0" w:color="auto"/>
              <w:bottom w:val="single" w:sz="4" w:space="0" w:color="auto"/>
              <w:right w:val="single" w:sz="2" w:space="0" w:color="auto"/>
            </w:tcBorders>
            <w:shd w:val="clear" w:color="auto" w:fill="auto"/>
            <w:noWrap/>
            <w:vAlign w:val="bottom"/>
          </w:tcPr>
          <w:p w14:paraId="16C92D44" w14:textId="0BA9250A"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28 172 432</w:t>
            </w:r>
          </w:p>
        </w:tc>
        <w:tc>
          <w:tcPr>
            <w:tcW w:w="711" w:type="pct"/>
            <w:tcBorders>
              <w:left w:val="single" w:sz="2" w:space="0" w:color="auto"/>
              <w:bottom w:val="single" w:sz="4" w:space="0" w:color="auto"/>
              <w:right w:val="single" w:sz="2" w:space="0" w:color="auto"/>
            </w:tcBorders>
            <w:shd w:val="clear" w:color="auto" w:fill="auto"/>
            <w:noWrap/>
            <w:vAlign w:val="bottom"/>
          </w:tcPr>
          <w:p w14:paraId="3EDA596D" w14:textId="2C806824"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24 676 044</w:t>
            </w:r>
          </w:p>
        </w:tc>
        <w:tc>
          <w:tcPr>
            <w:tcW w:w="740" w:type="pct"/>
            <w:tcBorders>
              <w:left w:val="single" w:sz="2" w:space="0" w:color="auto"/>
              <w:bottom w:val="single" w:sz="4" w:space="0" w:color="auto"/>
              <w:right w:val="single" w:sz="2" w:space="0" w:color="auto"/>
            </w:tcBorders>
            <w:shd w:val="clear" w:color="auto" w:fill="auto"/>
            <w:noWrap/>
            <w:vAlign w:val="bottom"/>
          </w:tcPr>
          <w:p w14:paraId="59A58EA0" w14:textId="78E0D698"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37 336 376</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14:paraId="3F5D7CC5" w14:textId="585184CA" w:rsidR="0023351F" w:rsidRPr="0023351F" w:rsidRDefault="0023351F" w:rsidP="0023351F">
            <w:pPr>
              <w:jc w:val="right"/>
              <w:rPr>
                <w:rFonts w:eastAsia="Times New Roman" w:cs="Times New Roman"/>
                <w:lang w:eastAsia="cs-CZ"/>
              </w:rPr>
            </w:pPr>
            <w:r w:rsidRPr="0023351F">
              <w:rPr>
                <w:rFonts w:eastAsia="Times New Roman" w:cs="Times New Roman"/>
                <w:lang w:eastAsia="cs-CZ"/>
              </w:rPr>
              <w:t>151,31</w:t>
            </w:r>
          </w:p>
        </w:tc>
      </w:tr>
    </w:tbl>
    <w:p w14:paraId="3B1BA05F" w14:textId="15A311BA" w:rsidR="00D715B4" w:rsidRPr="003E175B" w:rsidRDefault="0023351F" w:rsidP="00D715B4">
      <w:pPr>
        <w:pStyle w:val="Styl1"/>
      </w:pPr>
      <w:bookmarkStart w:id="197" w:name="_Toc489274107"/>
      <w:bookmarkStart w:id="198" w:name="_Toc305406307"/>
      <w:bookmarkStart w:id="199" w:name="_Toc305406313"/>
      <w:bookmarkStart w:id="200" w:name="_Toc462314406"/>
      <w:r w:rsidRPr="003E175B">
        <w:t>Kapitálové výdaje jsou navrhovány v celkové výši 93 293 841 tis. Kč. Částka představuje výdaje na financování akcí zabezpečujících dosažení cílů programů reprodukce majetku vedených v databázi EDS/SMVS, výdaje EU, které jsou určeny na nové programovací období 2021-2027 a prostředky určené na výzkum a vývoj, které jsou od roku 2022 administrovány v systému ZED, tzv. zjednodušená evidence dotací</w:t>
      </w:r>
      <w:r w:rsidR="00D715B4" w:rsidRPr="003E175B">
        <w:t>.</w:t>
      </w:r>
    </w:p>
    <w:p w14:paraId="2DE427BE" w14:textId="7D43929E" w:rsidR="00D715B4" w:rsidRPr="00B54D00" w:rsidRDefault="00D715B4" w:rsidP="00D715B4">
      <w:pPr>
        <w:pStyle w:val="Styl1"/>
      </w:pPr>
      <w:r w:rsidRPr="00142055">
        <w:t xml:space="preserve">Podrobnější charakteristika </w:t>
      </w:r>
      <w:r w:rsidRPr="00B54D00">
        <w:t>kapitálových výdajů je obsažena v kapitole 3.3.1 Investiční transfery veřejným výzkumným institucím, v kapitole 3.3.2 Kapitálov</w:t>
      </w:r>
      <w:r w:rsidR="005A0D00">
        <w:t>é</w:t>
      </w:r>
      <w:r w:rsidRPr="00B54D00">
        <w:t xml:space="preserve"> výdaje (prostředky EU – programovací období 2021-2027 a prostředky SR k EU), vedené mimo EDS/</w:t>
      </w:r>
      <w:r w:rsidR="009067C4" w:rsidRPr="00B54D00">
        <w:t>SMVS,</w:t>
      </w:r>
      <w:r w:rsidR="000F459C" w:rsidRPr="00B54D00">
        <w:t xml:space="preserve"> </w:t>
      </w:r>
      <w:r w:rsidR="000F459C" w:rsidRPr="00B54D00">
        <w:br/>
      </w:r>
      <w:r w:rsidRPr="00B54D00">
        <w:t xml:space="preserve">v kapitole 3.4. Výdaje vedené v informačním systému programového financování EDS/SMVS a v kapitole 3.5 Prostředky fondů EU.  </w:t>
      </w:r>
    </w:p>
    <w:p w14:paraId="2B8BB682" w14:textId="77777777" w:rsidR="002A440F" w:rsidRPr="00D070B8" w:rsidRDefault="002A440F" w:rsidP="004B2F70">
      <w:pPr>
        <w:spacing w:before="120" w:after="80" w:line="240" w:lineRule="auto"/>
        <w:rPr>
          <w:rFonts w:eastAsia="Times New Roman" w:cs="Times New Roman"/>
          <w:i/>
          <w:color w:val="FF0000"/>
          <w:sz w:val="20"/>
          <w:szCs w:val="20"/>
          <w:highlight w:val="yellow"/>
          <w:lang w:eastAsia="cs-CZ"/>
        </w:rPr>
      </w:pPr>
    </w:p>
    <w:p w14:paraId="5513286F" w14:textId="18CE8A1F" w:rsidR="004B2F70" w:rsidRPr="00953E0D" w:rsidRDefault="004B2F70" w:rsidP="004B2F70">
      <w:pPr>
        <w:pStyle w:val="Titulek"/>
      </w:pPr>
      <w:bookmarkStart w:id="201" w:name="_Toc179888384"/>
      <w:r w:rsidRPr="00142055">
        <w:lastRenderedPageBreak/>
        <w:t xml:space="preserve">Graf č. </w:t>
      </w:r>
      <w:r w:rsidRPr="00142055">
        <w:rPr>
          <w:noProof/>
        </w:rPr>
        <w:fldChar w:fldCharType="begin"/>
      </w:r>
      <w:r w:rsidRPr="00142055">
        <w:rPr>
          <w:noProof/>
        </w:rPr>
        <w:instrText xml:space="preserve"> SEQ Graf_č. \* ARABIC </w:instrText>
      </w:r>
      <w:r w:rsidRPr="00142055">
        <w:rPr>
          <w:noProof/>
        </w:rPr>
        <w:fldChar w:fldCharType="separate"/>
      </w:r>
      <w:r w:rsidR="003B0B01" w:rsidRPr="00142055">
        <w:rPr>
          <w:noProof/>
        </w:rPr>
        <w:t>8</w:t>
      </w:r>
      <w:r w:rsidRPr="00142055">
        <w:rPr>
          <w:noProof/>
        </w:rPr>
        <w:fldChar w:fldCharType="end"/>
      </w:r>
      <w:r w:rsidRPr="00142055">
        <w:t xml:space="preserve"> Členění kapitálových výdajů</w:t>
      </w:r>
      <w:bookmarkEnd w:id="201"/>
    </w:p>
    <w:p w14:paraId="5B031446" w14:textId="3F4366E7" w:rsidR="004B2F70" w:rsidRPr="00AA1D3E" w:rsidRDefault="00A905EE" w:rsidP="004B2F70">
      <w:pPr>
        <w:spacing w:before="120" w:after="80" w:line="240" w:lineRule="auto"/>
        <w:rPr>
          <w:rFonts w:eastAsia="Times New Roman" w:cs="Times New Roman"/>
          <w:noProof/>
          <w:color w:val="FF0000"/>
          <w:szCs w:val="24"/>
          <w:lang w:eastAsia="cs-CZ"/>
        </w:rPr>
      </w:pPr>
      <w:r w:rsidRPr="00AA1D3E">
        <w:rPr>
          <w:rFonts w:eastAsia="Times New Roman" w:cs="Times New Roman"/>
          <w:noProof/>
          <w:color w:val="FF0000"/>
          <w:szCs w:val="24"/>
          <w:lang w:eastAsia="cs-CZ"/>
        </w:rPr>
        <w:drawing>
          <wp:inline distT="0" distB="0" distL="0" distR="0" wp14:anchorId="6DB2B835" wp14:editId="2C84ED2B">
            <wp:extent cx="5760085" cy="2616200"/>
            <wp:effectExtent l="0" t="0" r="12065" b="12700"/>
            <wp:docPr id="459642453" name="Graf 45964245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02D9520" w14:textId="77777777" w:rsidR="008A1F72" w:rsidRPr="00655512" w:rsidRDefault="008A1F72" w:rsidP="00910074">
      <w:pPr>
        <w:pStyle w:val="Nadpis3"/>
      </w:pPr>
      <w:bookmarkStart w:id="202" w:name="_Toc179964104"/>
      <w:r w:rsidRPr="00655512">
        <w:t>Investiční transfery veřejným výzkumným institucím</w:t>
      </w:r>
      <w:bookmarkEnd w:id="197"/>
      <w:bookmarkEnd w:id="202"/>
    </w:p>
    <w:p w14:paraId="2AAA16AE" w14:textId="08833F10" w:rsidR="00AF00D3" w:rsidRPr="00655512" w:rsidRDefault="00AF00D3" w:rsidP="00AF00D3">
      <w:pPr>
        <w:pStyle w:val="Styl1"/>
      </w:pPr>
      <w:bookmarkStart w:id="203" w:name="_Toc305406308"/>
      <w:bookmarkStart w:id="204" w:name="_Toc462314401"/>
      <w:bookmarkStart w:id="205" w:name="_Toc489274108"/>
      <w:bookmarkEnd w:id="198"/>
      <w:r w:rsidRPr="00655512">
        <w:t>Investiční transfer veřejným výzkumným institucím je pro rok 202</w:t>
      </w:r>
      <w:r w:rsidR="00655512" w:rsidRPr="00655512">
        <w:t>5</w:t>
      </w:r>
      <w:r w:rsidRPr="00655512">
        <w:t xml:space="preserve"> navržen ve výši  </w:t>
      </w:r>
      <w:r w:rsidRPr="00655512">
        <w:br/>
      </w:r>
      <w:r w:rsidR="00655512" w:rsidRPr="00655512">
        <w:t>10 000</w:t>
      </w:r>
      <w:r w:rsidRPr="00655512">
        <w:t xml:space="preserve"> tis. Kč. Tento transfer je určen pro Centrum dopravního výzkumu, v.v.i. </w:t>
      </w:r>
    </w:p>
    <w:p w14:paraId="24327C04" w14:textId="46E82CA3" w:rsidR="004B2F70" w:rsidRPr="00655512" w:rsidRDefault="00AF00D3" w:rsidP="00AF00D3">
      <w:pPr>
        <w:pStyle w:val="Styl1"/>
        <w:rPr>
          <w:color w:val="FF0000"/>
        </w:rPr>
      </w:pPr>
      <w:r w:rsidRPr="00655512">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14:paraId="3FCC7B52" w14:textId="406B9974" w:rsidR="004B2F70" w:rsidRPr="00E226CC" w:rsidRDefault="004B2F70" w:rsidP="004B2F70">
      <w:pPr>
        <w:pStyle w:val="Titulek"/>
        <w:rPr>
          <w:noProof/>
        </w:rPr>
      </w:pPr>
      <w:r w:rsidRPr="00E226CC">
        <w:t xml:space="preserve">Tabulka č. </w:t>
      </w:r>
      <w:r w:rsidRPr="00E226CC">
        <w:rPr>
          <w:noProof/>
        </w:rPr>
        <w:fldChar w:fldCharType="begin"/>
      </w:r>
      <w:r w:rsidRPr="00E226CC">
        <w:rPr>
          <w:noProof/>
        </w:rPr>
        <w:instrText xml:space="preserve"> SEQ Tabulka \* ARABIC </w:instrText>
      </w:r>
      <w:r w:rsidRPr="00E226CC">
        <w:rPr>
          <w:noProof/>
        </w:rPr>
        <w:fldChar w:fldCharType="separate"/>
      </w:r>
      <w:r w:rsidR="003B0B01" w:rsidRPr="00E226CC">
        <w:rPr>
          <w:noProof/>
        </w:rPr>
        <w:t>31</w:t>
      </w:r>
      <w:r w:rsidRPr="00E226CC">
        <w:rPr>
          <w:noProof/>
        </w:rPr>
        <w:fldChar w:fldCharType="end"/>
      </w:r>
      <w:r w:rsidRPr="00E226CC">
        <w:rPr>
          <w:noProof/>
        </w:rPr>
        <w:t xml:space="preserve"> </w:t>
      </w:r>
      <w:r w:rsidR="00234AB8" w:rsidRPr="00E226CC">
        <w:rPr>
          <w:noProof/>
        </w:rPr>
        <w:t>Ivestiční transfery veřejným výzkumným institucím (v tis. Kč)</w:t>
      </w:r>
    </w:p>
    <w:tbl>
      <w:tblPr>
        <w:tblStyle w:val="Svtltabulkasmkou1zvraznn54"/>
        <w:tblW w:w="91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61"/>
        <w:gridCol w:w="1260"/>
        <w:gridCol w:w="1278"/>
        <w:gridCol w:w="1124"/>
      </w:tblGrid>
      <w:tr w:rsidR="00DB66E9" w:rsidRPr="00E226CC" w14:paraId="0D867692" w14:textId="77777777" w:rsidTr="00D07D18">
        <w:tc>
          <w:tcPr>
            <w:tcW w:w="408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31E3021"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8294053"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Skutečnost</w:t>
            </w:r>
          </w:p>
          <w:p w14:paraId="71957DED" w14:textId="06AF2682"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202</w:t>
            </w:r>
            <w:r w:rsidR="00E226CC" w:rsidRPr="00E226CC">
              <w:rPr>
                <w:rFonts w:eastAsia="Times New Roman" w:cs="Times New Roman"/>
                <w:b/>
                <w:szCs w:val="24"/>
                <w:lang w:eastAsia="cs-CZ"/>
              </w:rPr>
              <w:t>3</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F0CDBC5"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Schválený</w:t>
            </w:r>
          </w:p>
          <w:p w14:paraId="7B57D2FA"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rozpočet</w:t>
            </w:r>
          </w:p>
          <w:p w14:paraId="7345CCC9" w14:textId="2298F596"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202</w:t>
            </w:r>
            <w:r w:rsidR="00E226CC" w:rsidRPr="00E226CC">
              <w:rPr>
                <w:rFonts w:eastAsia="Times New Roman" w:cs="Times New Roman"/>
                <w:b/>
                <w:szCs w:val="24"/>
                <w:lang w:eastAsia="cs-CZ"/>
              </w:rPr>
              <w:t>4</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CE208C"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Návrh</w:t>
            </w:r>
          </w:p>
          <w:p w14:paraId="19C3797F"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rozpočtu</w:t>
            </w:r>
          </w:p>
          <w:p w14:paraId="7B18C06B" w14:textId="1394DB44"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202</w:t>
            </w:r>
            <w:r w:rsidR="00E226CC" w:rsidRPr="00E226CC">
              <w:rPr>
                <w:rFonts w:eastAsia="Times New Roman" w:cs="Times New Roman"/>
                <w:b/>
                <w:szCs w:val="24"/>
                <w:lang w:eastAsia="cs-CZ"/>
              </w:rPr>
              <w:t>5</w:t>
            </w:r>
          </w:p>
        </w:tc>
        <w:tc>
          <w:tcPr>
            <w:tcW w:w="112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9ACD6A"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Index</w:t>
            </w:r>
          </w:p>
          <w:p w14:paraId="70C76825" w14:textId="2FC10A52"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202</w:t>
            </w:r>
            <w:r w:rsidR="00E226CC" w:rsidRPr="00E226CC">
              <w:rPr>
                <w:rFonts w:eastAsia="Times New Roman" w:cs="Times New Roman"/>
                <w:b/>
                <w:szCs w:val="24"/>
                <w:lang w:eastAsia="cs-CZ"/>
              </w:rPr>
              <w:t>5</w:t>
            </w:r>
            <w:r w:rsidRPr="00E226CC">
              <w:rPr>
                <w:rFonts w:eastAsia="Times New Roman" w:cs="Times New Roman"/>
                <w:b/>
                <w:szCs w:val="24"/>
                <w:lang w:eastAsia="cs-CZ"/>
              </w:rPr>
              <w:t>/</w:t>
            </w:r>
            <w:r w:rsidRPr="00E226CC">
              <w:rPr>
                <w:rFonts w:eastAsia="Times New Roman" w:cs="Times New Roman"/>
                <w:b/>
                <w:szCs w:val="24"/>
                <w:lang w:eastAsia="cs-CZ"/>
              </w:rPr>
              <w:br/>
              <w:t>202</w:t>
            </w:r>
            <w:r w:rsidR="00E226CC" w:rsidRPr="00E226CC">
              <w:rPr>
                <w:rFonts w:eastAsia="Times New Roman" w:cs="Times New Roman"/>
                <w:b/>
                <w:szCs w:val="24"/>
                <w:lang w:eastAsia="cs-CZ"/>
              </w:rPr>
              <w:t>4</w:t>
            </w:r>
          </w:p>
          <w:p w14:paraId="2CF35166" w14:textId="77777777" w:rsidR="00DB66E9" w:rsidRPr="00E226CC" w:rsidRDefault="00DB66E9" w:rsidP="00D07D18">
            <w:pPr>
              <w:jc w:val="center"/>
              <w:rPr>
                <w:rFonts w:eastAsia="Times New Roman" w:cs="Times New Roman"/>
                <w:b/>
                <w:szCs w:val="24"/>
                <w:lang w:eastAsia="cs-CZ"/>
              </w:rPr>
            </w:pPr>
            <w:r w:rsidRPr="00E226CC">
              <w:rPr>
                <w:rFonts w:eastAsia="Times New Roman" w:cs="Times New Roman"/>
                <w:b/>
                <w:szCs w:val="24"/>
                <w:lang w:eastAsia="cs-CZ"/>
              </w:rPr>
              <w:t>(v %)</w:t>
            </w:r>
          </w:p>
        </w:tc>
      </w:tr>
      <w:tr w:rsidR="00DB66E9" w:rsidRPr="00E226CC" w14:paraId="12C0C1AF" w14:textId="77777777" w:rsidTr="00D07D18">
        <w:tc>
          <w:tcPr>
            <w:tcW w:w="4082" w:type="dxa"/>
            <w:tcBorders>
              <w:top w:val="single" w:sz="4" w:space="0" w:color="7F7F7F" w:themeColor="text1" w:themeTint="80"/>
            </w:tcBorders>
            <w:shd w:val="clear" w:color="auto" w:fill="auto"/>
          </w:tcPr>
          <w:p w14:paraId="7A7F8192" w14:textId="77777777" w:rsidR="00DB66E9" w:rsidRPr="00E226CC" w:rsidRDefault="00DB66E9" w:rsidP="00D07D18">
            <w:pPr>
              <w:jc w:val="center"/>
              <w:rPr>
                <w:rFonts w:eastAsia="Times New Roman" w:cs="Times New Roman"/>
                <w:szCs w:val="24"/>
                <w:lang w:eastAsia="cs-CZ"/>
              </w:rPr>
            </w:pPr>
            <w:r w:rsidRPr="00E226CC">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14:paraId="089AC9A2" w14:textId="77777777" w:rsidR="00DB66E9" w:rsidRPr="00E226CC" w:rsidRDefault="00DB66E9" w:rsidP="00D07D18">
            <w:pPr>
              <w:jc w:val="center"/>
              <w:rPr>
                <w:rFonts w:eastAsia="Times New Roman" w:cs="Times New Roman"/>
                <w:szCs w:val="24"/>
                <w:lang w:eastAsia="cs-CZ"/>
              </w:rPr>
            </w:pPr>
            <w:r w:rsidRPr="00E226CC">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14:paraId="35360E9D" w14:textId="77777777" w:rsidR="00DB66E9" w:rsidRPr="00E226CC" w:rsidRDefault="00DB66E9" w:rsidP="00D07D18">
            <w:pPr>
              <w:jc w:val="center"/>
              <w:rPr>
                <w:rFonts w:eastAsia="Times New Roman" w:cs="Times New Roman"/>
                <w:szCs w:val="24"/>
                <w:lang w:eastAsia="cs-CZ"/>
              </w:rPr>
            </w:pPr>
            <w:r w:rsidRPr="00E226CC">
              <w:rPr>
                <w:rFonts w:eastAsia="Times New Roman" w:cs="Times New Roman"/>
                <w:szCs w:val="24"/>
                <w:lang w:eastAsia="cs-CZ"/>
              </w:rPr>
              <w:t>2</w:t>
            </w:r>
          </w:p>
        </w:tc>
        <w:tc>
          <w:tcPr>
            <w:tcW w:w="1278" w:type="dxa"/>
            <w:tcBorders>
              <w:top w:val="single" w:sz="4" w:space="0" w:color="7F7F7F" w:themeColor="text1" w:themeTint="80"/>
            </w:tcBorders>
            <w:shd w:val="clear" w:color="auto" w:fill="auto"/>
          </w:tcPr>
          <w:p w14:paraId="75DB70CD" w14:textId="77777777" w:rsidR="00DB66E9" w:rsidRPr="00E226CC" w:rsidRDefault="00DB66E9" w:rsidP="00D07D18">
            <w:pPr>
              <w:jc w:val="center"/>
              <w:rPr>
                <w:rFonts w:eastAsia="Times New Roman" w:cs="Times New Roman"/>
                <w:szCs w:val="24"/>
                <w:lang w:eastAsia="cs-CZ"/>
              </w:rPr>
            </w:pPr>
            <w:r w:rsidRPr="00E226CC">
              <w:rPr>
                <w:rFonts w:eastAsia="Times New Roman" w:cs="Times New Roman"/>
                <w:szCs w:val="24"/>
                <w:lang w:eastAsia="cs-CZ"/>
              </w:rPr>
              <w:t>3</w:t>
            </w:r>
          </w:p>
        </w:tc>
        <w:tc>
          <w:tcPr>
            <w:tcW w:w="1124" w:type="dxa"/>
            <w:tcBorders>
              <w:top w:val="single" w:sz="4" w:space="0" w:color="7F7F7F" w:themeColor="text1" w:themeTint="80"/>
            </w:tcBorders>
            <w:shd w:val="clear" w:color="auto" w:fill="auto"/>
          </w:tcPr>
          <w:p w14:paraId="7E836B85" w14:textId="77777777" w:rsidR="00DB66E9" w:rsidRPr="00E226CC" w:rsidRDefault="00DB66E9" w:rsidP="00D07D18">
            <w:pPr>
              <w:jc w:val="center"/>
              <w:rPr>
                <w:rFonts w:eastAsia="Times New Roman" w:cs="Times New Roman"/>
                <w:szCs w:val="24"/>
                <w:lang w:eastAsia="cs-CZ"/>
              </w:rPr>
            </w:pPr>
            <w:r w:rsidRPr="00E226CC">
              <w:rPr>
                <w:rFonts w:eastAsia="Times New Roman" w:cs="Times New Roman"/>
                <w:szCs w:val="24"/>
                <w:lang w:eastAsia="cs-CZ"/>
              </w:rPr>
              <w:t>4</w:t>
            </w:r>
          </w:p>
        </w:tc>
      </w:tr>
      <w:tr w:rsidR="00E226CC" w:rsidRPr="00E226CC" w14:paraId="1A151A9F" w14:textId="77777777" w:rsidTr="00CF4D28">
        <w:trPr>
          <w:trHeight w:val="334"/>
        </w:trPr>
        <w:tc>
          <w:tcPr>
            <w:tcW w:w="4082" w:type="dxa"/>
            <w:shd w:val="clear" w:color="auto" w:fill="auto"/>
          </w:tcPr>
          <w:p w14:paraId="07D30D80" w14:textId="77777777" w:rsidR="00E226CC" w:rsidRPr="00E226CC" w:rsidRDefault="00E226CC" w:rsidP="00E226CC">
            <w:pPr>
              <w:spacing w:before="40"/>
              <w:rPr>
                <w:rFonts w:eastAsia="Times New Roman" w:cs="Times New Roman"/>
                <w:b/>
                <w:lang w:eastAsia="cs-CZ"/>
              </w:rPr>
            </w:pPr>
            <w:r w:rsidRPr="00E226CC">
              <w:rPr>
                <w:rFonts w:eastAsia="Times New Roman" w:cs="Times New Roman"/>
                <w:b/>
                <w:lang w:eastAsia="cs-CZ"/>
              </w:rPr>
              <w:t xml:space="preserve">Výdaje na výzkum, vývoj a inovace </w:t>
            </w:r>
          </w:p>
          <w:p w14:paraId="46B9A072" w14:textId="77777777" w:rsidR="00E226CC" w:rsidRPr="00E226CC" w:rsidRDefault="00E226CC" w:rsidP="00E226CC">
            <w:pPr>
              <w:rPr>
                <w:rFonts w:eastAsia="Times New Roman" w:cs="Times New Roman"/>
                <w:lang w:eastAsia="cs-CZ"/>
              </w:rPr>
            </w:pPr>
            <w:r w:rsidRPr="00E226CC">
              <w:rPr>
                <w:rFonts w:eastAsia="Times New Roman" w:cs="Times New Roman"/>
                <w:lang w:eastAsia="cs-CZ"/>
              </w:rPr>
              <w:t>(v tom):</w:t>
            </w:r>
          </w:p>
        </w:tc>
        <w:tc>
          <w:tcPr>
            <w:tcW w:w="1361" w:type="dxa"/>
            <w:shd w:val="clear" w:color="auto" w:fill="auto"/>
          </w:tcPr>
          <w:p w14:paraId="5A4D110D" w14:textId="20BB329F" w:rsidR="00E226CC" w:rsidRPr="00E226CC" w:rsidRDefault="00E226CC" w:rsidP="00E226CC">
            <w:pPr>
              <w:jc w:val="right"/>
              <w:rPr>
                <w:rFonts w:eastAsia="Times New Roman" w:cs="Times New Roman"/>
                <w:b/>
                <w:lang w:eastAsia="cs-CZ"/>
              </w:rPr>
            </w:pPr>
            <w:r w:rsidRPr="00E226CC">
              <w:rPr>
                <w:rFonts w:eastAsia="Times New Roman" w:cs="Times New Roman"/>
                <w:b/>
                <w:lang w:eastAsia="cs-CZ"/>
              </w:rPr>
              <w:t>8 593</w:t>
            </w:r>
          </w:p>
        </w:tc>
        <w:tc>
          <w:tcPr>
            <w:tcW w:w="1260" w:type="dxa"/>
            <w:shd w:val="clear" w:color="auto" w:fill="auto"/>
          </w:tcPr>
          <w:p w14:paraId="5993FF2E" w14:textId="181B44E7" w:rsidR="00E226CC" w:rsidRPr="00E226CC" w:rsidRDefault="00E226CC" w:rsidP="00E226CC">
            <w:pPr>
              <w:jc w:val="right"/>
              <w:rPr>
                <w:rFonts w:eastAsia="Times New Roman" w:cs="Times New Roman"/>
                <w:b/>
                <w:lang w:eastAsia="cs-CZ"/>
              </w:rPr>
            </w:pPr>
            <w:r w:rsidRPr="00E226CC">
              <w:rPr>
                <w:rFonts w:eastAsia="Times New Roman" w:cs="Times New Roman"/>
                <w:b/>
                <w:lang w:eastAsia="cs-CZ"/>
              </w:rPr>
              <w:t>30 471</w:t>
            </w:r>
          </w:p>
        </w:tc>
        <w:tc>
          <w:tcPr>
            <w:tcW w:w="1278" w:type="dxa"/>
            <w:shd w:val="clear" w:color="auto" w:fill="auto"/>
          </w:tcPr>
          <w:p w14:paraId="1DB1714A" w14:textId="4FFF568C" w:rsidR="00E226CC" w:rsidRPr="00E226CC" w:rsidRDefault="00E226CC" w:rsidP="00E226CC">
            <w:pPr>
              <w:jc w:val="right"/>
              <w:rPr>
                <w:rFonts w:eastAsia="Times New Roman" w:cs="Times New Roman"/>
                <w:b/>
                <w:lang w:eastAsia="cs-CZ"/>
              </w:rPr>
            </w:pPr>
            <w:r w:rsidRPr="00E226CC">
              <w:rPr>
                <w:rFonts w:eastAsia="Times New Roman" w:cs="Times New Roman"/>
                <w:b/>
                <w:lang w:eastAsia="cs-CZ"/>
              </w:rPr>
              <w:t>10 000</w:t>
            </w:r>
          </w:p>
        </w:tc>
        <w:tc>
          <w:tcPr>
            <w:tcW w:w="1124" w:type="dxa"/>
            <w:shd w:val="clear" w:color="auto" w:fill="auto"/>
          </w:tcPr>
          <w:p w14:paraId="3B53D4BD" w14:textId="7877A7F9" w:rsidR="00E226CC" w:rsidRPr="00E226CC" w:rsidRDefault="00E226CC" w:rsidP="00E226CC">
            <w:pPr>
              <w:jc w:val="right"/>
              <w:rPr>
                <w:rFonts w:eastAsia="Times New Roman" w:cs="Times New Roman"/>
                <w:b/>
                <w:lang w:eastAsia="cs-CZ"/>
              </w:rPr>
            </w:pPr>
            <w:r w:rsidRPr="00E226CC">
              <w:rPr>
                <w:rFonts w:eastAsia="Times New Roman" w:cs="Times New Roman"/>
                <w:b/>
                <w:lang w:eastAsia="cs-CZ"/>
              </w:rPr>
              <w:t>32,82</w:t>
            </w:r>
          </w:p>
        </w:tc>
      </w:tr>
      <w:tr w:rsidR="00E226CC" w:rsidRPr="00E226CC" w14:paraId="3E2197A5" w14:textId="77777777" w:rsidTr="00D07D18">
        <w:tc>
          <w:tcPr>
            <w:tcW w:w="4082" w:type="dxa"/>
            <w:shd w:val="clear" w:color="auto" w:fill="auto"/>
          </w:tcPr>
          <w:p w14:paraId="36AB15F0" w14:textId="77777777" w:rsidR="00E226CC" w:rsidRPr="00E226CC" w:rsidRDefault="00E226CC" w:rsidP="00E226CC">
            <w:pPr>
              <w:rPr>
                <w:rFonts w:eastAsia="Times New Roman" w:cs="Times New Roman"/>
                <w:lang w:eastAsia="cs-CZ"/>
              </w:rPr>
            </w:pPr>
            <w:r w:rsidRPr="00E226CC">
              <w:rPr>
                <w:rFonts w:eastAsia="Times New Roman" w:cs="Times New Roman"/>
                <w:lang w:eastAsia="cs-CZ"/>
              </w:rPr>
              <w:t>institucionální podpora</w:t>
            </w:r>
          </w:p>
        </w:tc>
        <w:tc>
          <w:tcPr>
            <w:tcW w:w="1361" w:type="dxa"/>
            <w:shd w:val="clear" w:color="auto" w:fill="auto"/>
          </w:tcPr>
          <w:p w14:paraId="5C75594C" w14:textId="761ABBB6" w:rsidR="00E226CC" w:rsidRPr="00E226CC" w:rsidRDefault="00E226CC" w:rsidP="00E226CC">
            <w:pPr>
              <w:jc w:val="right"/>
              <w:rPr>
                <w:rFonts w:eastAsia="Times New Roman" w:cs="Times New Roman"/>
                <w:lang w:eastAsia="cs-CZ"/>
              </w:rPr>
            </w:pPr>
            <w:r w:rsidRPr="00E226CC">
              <w:rPr>
                <w:rFonts w:eastAsia="Times New Roman" w:cs="Times New Roman"/>
                <w:lang w:eastAsia="cs-CZ"/>
              </w:rPr>
              <w:t>8 593</w:t>
            </w:r>
          </w:p>
        </w:tc>
        <w:tc>
          <w:tcPr>
            <w:tcW w:w="1260" w:type="dxa"/>
            <w:shd w:val="clear" w:color="auto" w:fill="auto"/>
          </w:tcPr>
          <w:p w14:paraId="1CEFB2E5" w14:textId="6F66B9BE" w:rsidR="00E226CC" w:rsidRPr="00E226CC" w:rsidRDefault="00E226CC" w:rsidP="00E226CC">
            <w:pPr>
              <w:jc w:val="right"/>
              <w:rPr>
                <w:rFonts w:eastAsia="Times New Roman" w:cs="Times New Roman"/>
                <w:lang w:eastAsia="cs-CZ"/>
              </w:rPr>
            </w:pPr>
            <w:r w:rsidRPr="00E226CC">
              <w:rPr>
                <w:rFonts w:eastAsia="Times New Roman" w:cs="Times New Roman"/>
                <w:lang w:eastAsia="cs-CZ"/>
              </w:rPr>
              <w:t>30 471</w:t>
            </w:r>
          </w:p>
        </w:tc>
        <w:tc>
          <w:tcPr>
            <w:tcW w:w="1278" w:type="dxa"/>
            <w:shd w:val="clear" w:color="auto" w:fill="auto"/>
          </w:tcPr>
          <w:p w14:paraId="32AEBF74" w14:textId="74D1CA67" w:rsidR="00E226CC" w:rsidRPr="00E226CC" w:rsidRDefault="00E226CC" w:rsidP="00E226CC">
            <w:pPr>
              <w:jc w:val="right"/>
              <w:rPr>
                <w:rFonts w:eastAsia="Times New Roman" w:cs="Times New Roman"/>
                <w:lang w:eastAsia="cs-CZ"/>
              </w:rPr>
            </w:pPr>
            <w:r w:rsidRPr="00E226CC">
              <w:rPr>
                <w:rFonts w:eastAsia="Times New Roman" w:cs="Times New Roman"/>
                <w:lang w:eastAsia="cs-CZ"/>
              </w:rPr>
              <w:t>10 000</w:t>
            </w:r>
          </w:p>
        </w:tc>
        <w:tc>
          <w:tcPr>
            <w:tcW w:w="1124" w:type="dxa"/>
            <w:shd w:val="clear" w:color="auto" w:fill="auto"/>
          </w:tcPr>
          <w:p w14:paraId="74F38AD2" w14:textId="7C87C132" w:rsidR="00E226CC" w:rsidRPr="00E226CC" w:rsidRDefault="00E226CC" w:rsidP="00E226CC">
            <w:pPr>
              <w:jc w:val="right"/>
              <w:rPr>
                <w:rFonts w:eastAsia="Times New Roman" w:cs="Times New Roman"/>
                <w:lang w:eastAsia="cs-CZ"/>
              </w:rPr>
            </w:pPr>
            <w:r w:rsidRPr="00E226CC">
              <w:rPr>
                <w:rFonts w:eastAsia="Times New Roman" w:cs="Times New Roman"/>
                <w:lang w:eastAsia="cs-CZ"/>
              </w:rPr>
              <w:t>32,82</w:t>
            </w:r>
          </w:p>
        </w:tc>
      </w:tr>
    </w:tbl>
    <w:p w14:paraId="33207A85" w14:textId="386C0E07" w:rsidR="009B05BB" w:rsidRPr="00E226CC" w:rsidRDefault="009B05BB" w:rsidP="000F459C">
      <w:pPr>
        <w:pStyle w:val="Styl1"/>
      </w:pPr>
      <w:r w:rsidRPr="00E226CC">
        <w:t>V porovnání s rokem 202</w:t>
      </w:r>
      <w:r w:rsidR="00E226CC" w:rsidRPr="00E226CC">
        <w:t>4</w:t>
      </w:r>
      <w:r w:rsidRPr="00E226CC">
        <w:t xml:space="preserve"> došlo </w:t>
      </w:r>
      <w:r w:rsidR="00E226CC" w:rsidRPr="00E226CC">
        <w:t>k ponížení</w:t>
      </w:r>
      <w:r w:rsidRPr="00E226CC">
        <w:t xml:space="preserve"> investičních institucionálních prostředků                         o </w:t>
      </w:r>
      <w:r w:rsidR="00E226CC" w:rsidRPr="00E226CC">
        <w:t xml:space="preserve">20 </w:t>
      </w:r>
      <w:r w:rsidRPr="00E226CC">
        <w:t>471 tis. Kč.</w:t>
      </w:r>
      <w:r w:rsidRPr="00E226CC">
        <w:rPr>
          <w:color w:val="FF0000"/>
        </w:rPr>
        <w:t xml:space="preserve"> </w:t>
      </w:r>
      <w:r w:rsidRPr="00E226CC">
        <w:t xml:space="preserve">Navýšení je provedeno </w:t>
      </w:r>
      <w:r w:rsidR="00E226CC" w:rsidRPr="00E226CC">
        <w:t>ve prospěch</w:t>
      </w:r>
      <w:r w:rsidRPr="00E226CC">
        <w:t xml:space="preserve"> neinvestičních </w:t>
      </w:r>
      <w:r w:rsidR="00727A72" w:rsidRPr="00E226CC">
        <w:t>institucionálních</w:t>
      </w:r>
      <w:r w:rsidRPr="00E226CC">
        <w:t xml:space="preserve"> prostředků. </w:t>
      </w:r>
    </w:p>
    <w:p w14:paraId="000915E4" w14:textId="4859A6E9" w:rsidR="009B05BB" w:rsidRPr="00E226CC" w:rsidRDefault="009B05BB" w:rsidP="000F459C">
      <w:pPr>
        <w:pStyle w:val="Styl1"/>
      </w:pPr>
      <w:r w:rsidRPr="00E226CC">
        <w:rPr>
          <w:b/>
        </w:rPr>
        <w:lastRenderedPageBreak/>
        <w:t xml:space="preserve">Investiční institucionální prostředky ve výši </w:t>
      </w:r>
      <w:r w:rsidR="00E226CC" w:rsidRPr="00E226CC">
        <w:rPr>
          <w:b/>
        </w:rPr>
        <w:t>10 000</w:t>
      </w:r>
      <w:r w:rsidRPr="00E226CC">
        <w:rPr>
          <w:b/>
        </w:rPr>
        <w:t xml:space="preserve"> tis. Kč</w:t>
      </w:r>
      <w:r w:rsidRPr="00E226CC">
        <w:t xml:space="preserve"> budou použity na </w:t>
      </w:r>
      <w:r w:rsidR="006B2037" w:rsidRPr="003C21D8">
        <w:rPr>
          <w:rFonts w:eastAsia="MS Mincho"/>
          <w:lang w:eastAsia="ja-JP"/>
        </w:rPr>
        <w:t xml:space="preserve">doplnění a rozšíření </w:t>
      </w:r>
      <w:r w:rsidR="006B2037">
        <w:rPr>
          <w:rFonts w:eastAsia="MS Mincho"/>
          <w:lang w:eastAsia="ja-JP"/>
        </w:rPr>
        <w:t xml:space="preserve">plánovaného </w:t>
      </w:r>
      <w:r w:rsidR="006B2037" w:rsidRPr="003C21D8">
        <w:rPr>
          <w:rFonts w:eastAsia="MS Mincho"/>
          <w:lang w:eastAsia="ja-JP"/>
        </w:rPr>
        <w:t>přístrojového vybavení pro efektivní řešení jednotlivých témat výzkumu. Jedná se o pořízení</w:t>
      </w:r>
      <w:r w:rsidR="006B2037">
        <w:rPr>
          <w:rFonts w:eastAsia="MS Mincho"/>
          <w:lang w:eastAsia="ja-JP"/>
        </w:rPr>
        <w:t xml:space="preserve"> t</w:t>
      </w:r>
      <w:r w:rsidR="006B2037" w:rsidRPr="00A224F4">
        <w:rPr>
          <w:rFonts w:eastAsia="MS Mincho"/>
          <w:lang w:eastAsia="ja-JP"/>
        </w:rPr>
        <w:t>ermální kamer</w:t>
      </w:r>
      <w:r w:rsidR="006B2037">
        <w:rPr>
          <w:rFonts w:eastAsia="MS Mincho"/>
          <w:lang w:eastAsia="ja-JP"/>
        </w:rPr>
        <w:t>y</w:t>
      </w:r>
      <w:r w:rsidR="006B2037" w:rsidRPr="00A224F4">
        <w:rPr>
          <w:rFonts w:eastAsia="MS Mincho"/>
          <w:lang w:eastAsia="ja-JP"/>
        </w:rPr>
        <w:t xml:space="preserve"> vč. příslušenství</w:t>
      </w:r>
      <w:r w:rsidR="006B2037">
        <w:rPr>
          <w:rFonts w:eastAsia="MS Mincho"/>
          <w:lang w:eastAsia="ja-JP"/>
        </w:rPr>
        <w:t>, v</w:t>
      </w:r>
      <w:r w:rsidR="006B2037" w:rsidRPr="0053321C">
        <w:rPr>
          <w:rFonts w:eastAsia="MS Mincho"/>
          <w:lang w:eastAsia="ja-JP"/>
        </w:rPr>
        <w:t>ýkonov</w:t>
      </w:r>
      <w:r w:rsidR="006B2037">
        <w:rPr>
          <w:rFonts w:eastAsia="MS Mincho"/>
          <w:lang w:eastAsia="ja-JP"/>
        </w:rPr>
        <w:t>ého</w:t>
      </w:r>
      <w:r w:rsidR="006B2037" w:rsidRPr="0053321C">
        <w:rPr>
          <w:rFonts w:eastAsia="MS Mincho"/>
          <w:lang w:eastAsia="ja-JP"/>
        </w:rPr>
        <w:t xml:space="preserve"> analyzátor</w:t>
      </w:r>
      <w:r w:rsidR="006B2037">
        <w:rPr>
          <w:rFonts w:eastAsia="MS Mincho"/>
          <w:lang w:eastAsia="ja-JP"/>
        </w:rPr>
        <w:t>u a hmotnostního</w:t>
      </w:r>
      <w:r w:rsidR="006B2037" w:rsidRPr="0053321C">
        <w:rPr>
          <w:rFonts w:eastAsia="MS Mincho"/>
          <w:lang w:eastAsia="ja-JP"/>
        </w:rPr>
        <w:t xml:space="preserve"> průtokoměr</w:t>
      </w:r>
      <w:r w:rsidR="006B2037">
        <w:rPr>
          <w:rFonts w:eastAsia="MS Mincho"/>
          <w:lang w:eastAsia="ja-JP"/>
        </w:rPr>
        <w:t>u.</w:t>
      </w:r>
      <w:r w:rsidR="006B2037" w:rsidRPr="003C21D8">
        <w:rPr>
          <w:rFonts w:eastAsia="MS Mincho"/>
          <w:lang w:eastAsia="ja-JP"/>
        </w:rPr>
        <w:t xml:space="preserve"> Dále také</w:t>
      </w:r>
      <w:r w:rsidR="006B2037">
        <w:rPr>
          <w:rFonts w:eastAsia="MS Mincho"/>
          <w:lang w:eastAsia="ja-JP"/>
        </w:rPr>
        <w:t xml:space="preserve"> budou prostředky investovány do obnovy</w:t>
      </w:r>
      <w:r w:rsidR="006B2037" w:rsidRPr="003C21D8">
        <w:rPr>
          <w:rFonts w:eastAsia="MS Mincho"/>
          <w:lang w:eastAsia="ja-JP"/>
        </w:rPr>
        <w:t xml:space="preserve"> </w:t>
      </w:r>
      <w:r w:rsidR="006B2037">
        <w:rPr>
          <w:rFonts w:eastAsia="MS Mincho"/>
          <w:lang w:eastAsia="ja-JP"/>
        </w:rPr>
        <w:t>IT vybavení a nákupu licencí různých softwarů.</w:t>
      </w:r>
      <w:r w:rsidR="006B2037" w:rsidRPr="00E45A1C">
        <w:rPr>
          <w:rFonts w:eastAsia="MS Mincho"/>
          <w:lang w:eastAsia="ja-JP"/>
        </w:rPr>
        <w:t xml:space="preserve"> </w:t>
      </w:r>
      <w:r w:rsidR="006B2037">
        <w:rPr>
          <w:rFonts w:eastAsia="MS Mincho"/>
          <w:lang w:eastAsia="ja-JP"/>
        </w:rPr>
        <w:t>Z výzkumných důvodu je v plánu nákup užitkového či osobního auta na vodíkový pohon. K tomu jsou v plánu i n</w:t>
      </w:r>
      <w:r w:rsidR="006B2037" w:rsidRPr="003C21D8">
        <w:rPr>
          <w:rFonts w:eastAsia="MS Mincho"/>
          <w:lang w:eastAsia="ja-JP"/>
        </w:rPr>
        <w:t>utné investice zajišťující ochranu a životnost dřívějších investic (typicky údržba nemovitostí, kdy se včasným zásahem do zjištěných závad předchází větš</w:t>
      </w:r>
      <w:r w:rsidR="006B2037" w:rsidRPr="00F600C6">
        <w:rPr>
          <w:rFonts w:eastAsia="MS Mincho"/>
          <w:lang w:eastAsia="ja-JP"/>
        </w:rPr>
        <w:t>ím škodám).</w:t>
      </w:r>
    </w:p>
    <w:p w14:paraId="4EFB00FD" w14:textId="3FED1A77" w:rsidR="005D47B2" w:rsidRPr="00B54D00" w:rsidRDefault="005D47B2" w:rsidP="005D47B2">
      <w:pPr>
        <w:pStyle w:val="Nadpis3"/>
        <w:rPr>
          <w:b w:val="0"/>
          <w:bCs w:val="0"/>
        </w:rPr>
      </w:pPr>
      <w:bookmarkStart w:id="206" w:name="_Toc115787244"/>
      <w:bookmarkStart w:id="207" w:name="_Toc115787834"/>
      <w:bookmarkStart w:id="208" w:name="_Toc115787245"/>
      <w:bookmarkStart w:id="209" w:name="_Toc115787835"/>
      <w:bookmarkStart w:id="210" w:name="_Toc115787246"/>
      <w:bookmarkStart w:id="211" w:name="_Toc115787836"/>
      <w:bookmarkStart w:id="212" w:name="_Toc78386793"/>
      <w:bookmarkStart w:id="213" w:name="_Toc179964105"/>
      <w:bookmarkEnd w:id="206"/>
      <w:bookmarkEnd w:id="207"/>
      <w:bookmarkEnd w:id="208"/>
      <w:bookmarkEnd w:id="209"/>
      <w:bookmarkEnd w:id="210"/>
      <w:bookmarkEnd w:id="211"/>
      <w:r w:rsidRPr="00B54D00">
        <w:t>Kapitálové výdaje (prostředky EU– programovací období 2021-2027 a prostředky SR k EU), vedené mimo programové financování EDS/SMVS</w:t>
      </w:r>
      <w:bookmarkEnd w:id="212"/>
      <w:bookmarkEnd w:id="213"/>
    </w:p>
    <w:p w14:paraId="35A1C1B2" w14:textId="71131194" w:rsidR="00CD6B2B" w:rsidRPr="00D070B8" w:rsidRDefault="00B54D00" w:rsidP="00CD6B2B">
      <w:pPr>
        <w:pStyle w:val="Styl1"/>
        <w:spacing w:after="200"/>
        <w:rPr>
          <w:highlight w:val="yellow"/>
        </w:rPr>
      </w:pPr>
      <w:r w:rsidRPr="0045463B">
        <w:t xml:space="preserve">Ze schváleného závazného objemu pro sestavení návrhu rozpočtu na rok 2025 </w:t>
      </w:r>
      <w:r w:rsidRPr="0045463B">
        <w:br/>
        <w:t xml:space="preserve">je na kapitálové výdaje vedené v informačním systému ZED (mimo prostředků na výzkum                    a vývoj) vyčleněna částka </w:t>
      </w:r>
      <w:r w:rsidRPr="0045463B">
        <w:rPr>
          <w:b/>
        </w:rPr>
        <w:t>37 336 376 tis. Kč</w:t>
      </w:r>
      <w:r w:rsidRPr="0045463B">
        <w:t xml:space="preserve"> na prostředky EU (programovací období 2021-2027). Na prostředky SR (podíl SR k EU) pak částka vyčleněna není</w:t>
      </w:r>
      <w:r>
        <w:t>.</w:t>
      </w:r>
      <w:r w:rsidR="00CD6B2B" w:rsidRPr="00D070B8">
        <w:rPr>
          <w:highlight w:val="yellow"/>
        </w:rPr>
        <w:t xml:space="preserve"> </w:t>
      </w:r>
    </w:p>
    <w:p w14:paraId="199089BB" w14:textId="3807A678" w:rsidR="00CD6B2B" w:rsidRPr="00B54D00" w:rsidRDefault="00CD6B2B" w:rsidP="00CD6B2B">
      <w:pPr>
        <w:pStyle w:val="Styl1"/>
        <w:spacing w:before="200" w:after="120"/>
      </w:pPr>
      <w:r w:rsidRPr="00B54D00">
        <w:t>Členění výdajů podle hospodářsko</w:t>
      </w:r>
      <w:r w:rsidR="00B54D00" w:rsidRPr="00B54D00">
        <w:t>-</w:t>
      </w:r>
      <w:r w:rsidRPr="00B54D00">
        <w:t xml:space="preserve">právní formy konečných příjemců celkem zobrazuje následující tabulka.     </w:t>
      </w:r>
    </w:p>
    <w:p w14:paraId="4B735723" w14:textId="1E812F40" w:rsidR="007271E6" w:rsidRPr="00450A2E" w:rsidRDefault="00316A6C" w:rsidP="007271E6">
      <w:pPr>
        <w:pStyle w:val="Titulek"/>
        <w:rPr>
          <w:noProof/>
        </w:rPr>
      </w:pPr>
      <w:r w:rsidRPr="00450A2E">
        <w:t xml:space="preserve">Tabulka č. </w:t>
      </w:r>
      <w:r w:rsidR="00696CFC" w:rsidRPr="00450A2E">
        <w:fldChar w:fldCharType="begin"/>
      </w:r>
      <w:r w:rsidR="00696CFC" w:rsidRPr="00450A2E">
        <w:instrText xml:space="preserve"> SEQ Tabulka \* ARABIC </w:instrText>
      </w:r>
      <w:r w:rsidR="00696CFC" w:rsidRPr="00450A2E">
        <w:fldChar w:fldCharType="separate"/>
      </w:r>
      <w:r w:rsidR="003B0B01" w:rsidRPr="00450A2E">
        <w:rPr>
          <w:noProof/>
        </w:rPr>
        <w:t>32</w:t>
      </w:r>
      <w:r w:rsidR="00696CFC" w:rsidRPr="00450A2E">
        <w:rPr>
          <w:noProof/>
        </w:rPr>
        <w:fldChar w:fldCharType="end"/>
      </w:r>
      <w:r w:rsidRPr="00450A2E">
        <w:rPr>
          <w:noProof/>
        </w:rPr>
        <w:t xml:space="preserve"> </w:t>
      </w:r>
      <w:r w:rsidR="007271E6" w:rsidRPr="00450A2E">
        <w:rPr>
          <w:noProof/>
        </w:rPr>
        <w:t>Výdaje EU, podíl SR k EU vedené mimo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18"/>
        <w:gridCol w:w="1417"/>
        <w:gridCol w:w="1418"/>
        <w:gridCol w:w="1349"/>
        <w:gridCol w:w="1077"/>
      </w:tblGrid>
      <w:tr w:rsidR="00F7716C" w:rsidRPr="00450A2E" w14:paraId="798CF05B" w14:textId="77777777" w:rsidTr="00D07D18">
        <w:tc>
          <w:tcPr>
            <w:tcW w:w="38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33602D9" w14:textId="777777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Ukazatel</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182016" w14:textId="777777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Skutečnost</w:t>
            </w:r>
          </w:p>
          <w:p w14:paraId="6A93E35A" w14:textId="03A6EBB8"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202</w:t>
            </w:r>
            <w:r w:rsidR="00B54D00" w:rsidRPr="00450A2E">
              <w:rPr>
                <w:rFonts w:eastAsia="Times New Roman" w:cs="Times New Roman"/>
                <w:b/>
                <w:lang w:eastAsia="cs-CZ"/>
              </w:rPr>
              <w:t>3</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85DB19" w14:textId="777777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Schválený rozpočet</w:t>
            </w:r>
          </w:p>
          <w:p w14:paraId="18331B09" w14:textId="62A061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202</w:t>
            </w:r>
            <w:r w:rsidR="00B54D00" w:rsidRPr="00450A2E">
              <w:rPr>
                <w:rFonts w:eastAsia="Times New Roman" w:cs="Times New Roman"/>
                <w:b/>
                <w:lang w:eastAsia="cs-CZ"/>
              </w:rPr>
              <w:t>4</w:t>
            </w:r>
          </w:p>
        </w:tc>
        <w:tc>
          <w:tcPr>
            <w:tcW w:w="134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BA0F0A6" w14:textId="777777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Návrh</w:t>
            </w:r>
          </w:p>
          <w:p w14:paraId="683CFBF9" w14:textId="777777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rozpočtu</w:t>
            </w:r>
          </w:p>
          <w:p w14:paraId="069B806A" w14:textId="3EA62770"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202</w:t>
            </w:r>
            <w:r w:rsidR="00B54D00" w:rsidRPr="00450A2E">
              <w:rPr>
                <w:rFonts w:eastAsia="Times New Roman" w:cs="Times New Roman"/>
                <w:b/>
                <w:lang w:eastAsia="cs-CZ"/>
              </w:rPr>
              <w:t>5</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69A06C7" w14:textId="777777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Index</w:t>
            </w:r>
          </w:p>
          <w:p w14:paraId="2E02B079" w14:textId="0E677599"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202</w:t>
            </w:r>
            <w:r w:rsidR="00B54D00" w:rsidRPr="00450A2E">
              <w:rPr>
                <w:rFonts w:eastAsia="Times New Roman" w:cs="Times New Roman"/>
                <w:b/>
                <w:lang w:eastAsia="cs-CZ"/>
              </w:rPr>
              <w:t>5</w:t>
            </w:r>
            <w:r w:rsidRPr="00450A2E">
              <w:rPr>
                <w:rFonts w:eastAsia="Times New Roman" w:cs="Times New Roman"/>
                <w:b/>
                <w:lang w:eastAsia="cs-CZ"/>
              </w:rPr>
              <w:t>/</w:t>
            </w:r>
            <w:r w:rsidRPr="00450A2E">
              <w:rPr>
                <w:rFonts w:eastAsia="Times New Roman" w:cs="Times New Roman"/>
                <w:b/>
                <w:lang w:eastAsia="cs-CZ"/>
              </w:rPr>
              <w:br/>
              <w:t>202</w:t>
            </w:r>
            <w:r w:rsidR="00B54D00" w:rsidRPr="00450A2E">
              <w:rPr>
                <w:rFonts w:eastAsia="Times New Roman" w:cs="Times New Roman"/>
                <w:b/>
                <w:lang w:eastAsia="cs-CZ"/>
              </w:rPr>
              <w:t>4</w:t>
            </w:r>
          </w:p>
          <w:p w14:paraId="3838E3EE" w14:textId="77777777" w:rsidR="00F7716C" w:rsidRPr="00450A2E" w:rsidRDefault="00F7716C" w:rsidP="00D07D18">
            <w:pPr>
              <w:jc w:val="center"/>
              <w:rPr>
                <w:rFonts w:eastAsia="Times New Roman" w:cs="Times New Roman"/>
                <w:b/>
                <w:lang w:eastAsia="cs-CZ"/>
              </w:rPr>
            </w:pPr>
            <w:r w:rsidRPr="00450A2E">
              <w:rPr>
                <w:rFonts w:eastAsia="Times New Roman" w:cs="Times New Roman"/>
                <w:b/>
                <w:lang w:eastAsia="cs-CZ"/>
              </w:rPr>
              <w:t>(v %)</w:t>
            </w:r>
          </w:p>
        </w:tc>
      </w:tr>
      <w:tr w:rsidR="00F7716C" w:rsidRPr="00450A2E" w14:paraId="2C7E5FFF" w14:textId="77777777" w:rsidTr="00D07D18">
        <w:tc>
          <w:tcPr>
            <w:tcW w:w="3818" w:type="dxa"/>
            <w:tcBorders>
              <w:top w:val="single" w:sz="4" w:space="0" w:color="7F7F7F" w:themeColor="text1" w:themeTint="80"/>
              <w:bottom w:val="single" w:sz="8" w:space="0" w:color="7F7F7F" w:themeColor="text1" w:themeTint="80"/>
            </w:tcBorders>
            <w:shd w:val="clear" w:color="auto" w:fill="auto"/>
          </w:tcPr>
          <w:p w14:paraId="2EEDDD87" w14:textId="77777777" w:rsidR="00F7716C" w:rsidRPr="00450A2E" w:rsidRDefault="00F7716C" w:rsidP="00D07D18">
            <w:pPr>
              <w:jc w:val="center"/>
              <w:rPr>
                <w:rFonts w:eastAsia="Times New Roman" w:cs="Times New Roman"/>
                <w:lang w:eastAsia="cs-CZ"/>
              </w:rPr>
            </w:pPr>
            <w:r w:rsidRPr="00450A2E">
              <w:rPr>
                <w:rFonts w:eastAsia="Times New Roman" w:cs="Times New Roman"/>
                <w:lang w:eastAsia="cs-CZ"/>
              </w:rPr>
              <w:t>a</w:t>
            </w:r>
          </w:p>
        </w:tc>
        <w:tc>
          <w:tcPr>
            <w:tcW w:w="1417" w:type="dxa"/>
            <w:tcBorders>
              <w:top w:val="single" w:sz="4" w:space="0" w:color="7F7F7F" w:themeColor="text1" w:themeTint="80"/>
              <w:bottom w:val="single" w:sz="8" w:space="0" w:color="7F7F7F" w:themeColor="text1" w:themeTint="80"/>
            </w:tcBorders>
            <w:shd w:val="clear" w:color="auto" w:fill="auto"/>
          </w:tcPr>
          <w:p w14:paraId="7658514B" w14:textId="77777777" w:rsidR="00F7716C" w:rsidRPr="00450A2E" w:rsidRDefault="00F7716C" w:rsidP="00D07D18">
            <w:pPr>
              <w:jc w:val="center"/>
              <w:rPr>
                <w:rFonts w:eastAsia="Times New Roman" w:cs="Times New Roman"/>
                <w:lang w:eastAsia="cs-CZ"/>
              </w:rPr>
            </w:pPr>
            <w:r w:rsidRPr="00450A2E">
              <w:rPr>
                <w:rFonts w:eastAsia="Times New Roman" w:cs="Times New Roman"/>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35338E80" w14:textId="77777777" w:rsidR="00F7716C" w:rsidRPr="00450A2E" w:rsidRDefault="00F7716C" w:rsidP="00D07D18">
            <w:pPr>
              <w:jc w:val="center"/>
              <w:rPr>
                <w:rFonts w:eastAsia="Times New Roman" w:cs="Times New Roman"/>
                <w:lang w:eastAsia="cs-CZ"/>
              </w:rPr>
            </w:pPr>
            <w:r w:rsidRPr="00450A2E">
              <w:rPr>
                <w:rFonts w:eastAsia="Times New Roman" w:cs="Times New Roman"/>
                <w:lang w:eastAsia="cs-CZ"/>
              </w:rPr>
              <w:t>2</w:t>
            </w:r>
          </w:p>
        </w:tc>
        <w:tc>
          <w:tcPr>
            <w:tcW w:w="1349" w:type="dxa"/>
            <w:tcBorders>
              <w:top w:val="single" w:sz="4" w:space="0" w:color="7F7F7F" w:themeColor="text1" w:themeTint="80"/>
              <w:bottom w:val="single" w:sz="8" w:space="0" w:color="7F7F7F" w:themeColor="text1" w:themeTint="80"/>
            </w:tcBorders>
            <w:shd w:val="clear" w:color="auto" w:fill="auto"/>
          </w:tcPr>
          <w:p w14:paraId="15EE9FD7" w14:textId="77777777" w:rsidR="00F7716C" w:rsidRPr="00450A2E" w:rsidRDefault="00F7716C" w:rsidP="00D07D18">
            <w:pPr>
              <w:jc w:val="center"/>
              <w:rPr>
                <w:rFonts w:eastAsia="Times New Roman" w:cs="Times New Roman"/>
                <w:lang w:eastAsia="cs-CZ"/>
              </w:rPr>
            </w:pPr>
            <w:r w:rsidRPr="00450A2E">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14:paraId="7E76BEB0" w14:textId="77777777" w:rsidR="00F7716C" w:rsidRPr="00450A2E" w:rsidRDefault="00F7716C" w:rsidP="00D07D18">
            <w:pPr>
              <w:jc w:val="center"/>
              <w:rPr>
                <w:rFonts w:eastAsia="Times New Roman" w:cs="Times New Roman"/>
                <w:lang w:eastAsia="cs-CZ"/>
              </w:rPr>
            </w:pPr>
            <w:r w:rsidRPr="00450A2E">
              <w:rPr>
                <w:rFonts w:eastAsia="Times New Roman" w:cs="Times New Roman"/>
                <w:lang w:eastAsia="cs-CZ"/>
              </w:rPr>
              <w:t>4</w:t>
            </w:r>
          </w:p>
        </w:tc>
      </w:tr>
      <w:tr w:rsidR="00B54D00" w:rsidRPr="00450A2E" w14:paraId="539CF800" w14:textId="77777777" w:rsidTr="00D07D18">
        <w:tc>
          <w:tcPr>
            <w:tcW w:w="3818" w:type="dxa"/>
            <w:tcBorders>
              <w:top w:val="single" w:sz="8" w:space="0" w:color="7F7F7F" w:themeColor="text1" w:themeTint="80"/>
              <w:bottom w:val="single" w:sz="8" w:space="0" w:color="7F7F7F" w:themeColor="text1" w:themeTint="80"/>
            </w:tcBorders>
            <w:shd w:val="clear" w:color="auto" w:fill="auto"/>
          </w:tcPr>
          <w:p w14:paraId="07358F6F" w14:textId="46C0C1A2" w:rsidR="00B54D00" w:rsidRPr="00450A2E" w:rsidRDefault="00B54D00" w:rsidP="00B54D00">
            <w:pPr>
              <w:rPr>
                <w:rFonts w:eastAsia="Times New Roman" w:cs="Times New Roman"/>
                <w:b/>
                <w:lang w:eastAsia="cs-CZ"/>
              </w:rPr>
            </w:pPr>
            <w:r w:rsidRPr="00450A2E">
              <w:rPr>
                <w:rFonts w:eastAsia="Times New Roman" w:cs="Times New Roman"/>
                <w:b/>
                <w:lang w:eastAsia="cs-CZ"/>
              </w:rPr>
              <w:t xml:space="preserve">Kapitálové výdaje – prostředky EU vedené mimo EDS/SMVS </w:t>
            </w:r>
            <w:r w:rsidRPr="00450A2E">
              <w:rPr>
                <w:rFonts w:eastAsia="Times New Roman" w:cs="Times New Roman"/>
                <w:lang w:eastAsia="cs-CZ"/>
              </w:rPr>
              <w:t>(v tom):</w:t>
            </w:r>
          </w:p>
        </w:tc>
        <w:tc>
          <w:tcPr>
            <w:tcW w:w="1417" w:type="dxa"/>
            <w:tcBorders>
              <w:top w:val="single" w:sz="8" w:space="0" w:color="7F7F7F" w:themeColor="text1" w:themeTint="80"/>
              <w:bottom w:val="single" w:sz="8" w:space="0" w:color="7F7F7F" w:themeColor="text1" w:themeTint="80"/>
            </w:tcBorders>
            <w:shd w:val="clear" w:color="auto" w:fill="auto"/>
            <w:vAlign w:val="center"/>
          </w:tcPr>
          <w:p w14:paraId="2CCC47FA" w14:textId="684951E5" w:rsidR="00B54D00" w:rsidRPr="00450A2E" w:rsidRDefault="00B54D00" w:rsidP="00B54D00">
            <w:pPr>
              <w:tabs>
                <w:tab w:val="right" w:pos="1059"/>
              </w:tabs>
              <w:jc w:val="right"/>
              <w:rPr>
                <w:rFonts w:eastAsia="Times New Roman" w:cs="Times New Roman"/>
                <w:b/>
                <w:lang w:eastAsia="cs-CZ"/>
              </w:rPr>
            </w:pPr>
            <w:r w:rsidRPr="00450A2E">
              <w:rPr>
                <w:rFonts w:eastAsia="Times New Roman" w:cs="Times New Roman"/>
                <w:b/>
                <w:lang w:eastAsia="cs-CZ"/>
              </w:rPr>
              <w:tab/>
              <w:t>18 304 744</w:t>
            </w:r>
          </w:p>
        </w:tc>
        <w:tc>
          <w:tcPr>
            <w:tcW w:w="1418" w:type="dxa"/>
            <w:tcBorders>
              <w:top w:val="single" w:sz="8" w:space="0" w:color="7F7F7F" w:themeColor="text1" w:themeTint="80"/>
              <w:bottom w:val="single" w:sz="8" w:space="0" w:color="7F7F7F" w:themeColor="text1" w:themeTint="80"/>
            </w:tcBorders>
            <w:shd w:val="clear" w:color="auto" w:fill="auto"/>
            <w:vAlign w:val="center"/>
          </w:tcPr>
          <w:p w14:paraId="33F21391" w14:textId="7103C4A2" w:rsidR="00B54D00" w:rsidRPr="00450A2E" w:rsidRDefault="00B54D00" w:rsidP="00B54D00">
            <w:pPr>
              <w:jc w:val="right"/>
              <w:rPr>
                <w:rFonts w:eastAsia="Times New Roman" w:cs="Times New Roman"/>
                <w:b/>
                <w:lang w:eastAsia="cs-CZ"/>
              </w:rPr>
            </w:pPr>
            <w:r w:rsidRPr="00450A2E">
              <w:rPr>
                <w:rFonts w:eastAsia="Times New Roman" w:cs="Times New Roman"/>
                <w:b/>
                <w:lang w:eastAsia="cs-CZ"/>
              </w:rPr>
              <w:t>24 523 544</w:t>
            </w:r>
          </w:p>
        </w:tc>
        <w:tc>
          <w:tcPr>
            <w:tcW w:w="1349" w:type="dxa"/>
            <w:tcBorders>
              <w:top w:val="single" w:sz="8" w:space="0" w:color="7F7F7F" w:themeColor="text1" w:themeTint="80"/>
              <w:bottom w:val="single" w:sz="8" w:space="0" w:color="7F7F7F" w:themeColor="text1" w:themeTint="80"/>
            </w:tcBorders>
            <w:shd w:val="clear" w:color="auto" w:fill="auto"/>
            <w:vAlign w:val="center"/>
          </w:tcPr>
          <w:p w14:paraId="68E58208" w14:textId="3E6829DF" w:rsidR="00B54D00" w:rsidRPr="00450A2E" w:rsidRDefault="00B54D00" w:rsidP="00B54D00">
            <w:pPr>
              <w:jc w:val="right"/>
              <w:rPr>
                <w:rFonts w:eastAsia="Times New Roman" w:cs="Times New Roman"/>
                <w:b/>
                <w:lang w:eastAsia="cs-CZ"/>
              </w:rPr>
            </w:pPr>
            <w:r w:rsidRPr="00450A2E">
              <w:rPr>
                <w:rFonts w:eastAsia="Times New Roman" w:cs="Times New Roman"/>
                <w:b/>
                <w:lang w:eastAsia="cs-CZ"/>
              </w:rPr>
              <w:t>37 336 376</w:t>
            </w:r>
          </w:p>
        </w:tc>
        <w:tc>
          <w:tcPr>
            <w:tcW w:w="1077" w:type="dxa"/>
            <w:tcBorders>
              <w:top w:val="single" w:sz="8" w:space="0" w:color="7F7F7F" w:themeColor="text1" w:themeTint="80"/>
              <w:bottom w:val="single" w:sz="8" w:space="0" w:color="7F7F7F" w:themeColor="text1" w:themeTint="80"/>
            </w:tcBorders>
            <w:shd w:val="clear" w:color="auto" w:fill="auto"/>
            <w:vAlign w:val="center"/>
          </w:tcPr>
          <w:p w14:paraId="47BA5D60" w14:textId="5333239F" w:rsidR="00B54D00" w:rsidRPr="00450A2E" w:rsidRDefault="00B54D00" w:rsidP="00B54D00">
            <w:pPr>
              <w:jc w:val="right"/>
              <w:rPr>
                <w:rFonts w:eastAsia="Times New Roman" w:cs="Times New Roman"/>
                <w:b/>
                <w:lang w:eastAsia="cs-CZ"/>
              </w:rPr>
            </w:pPr>
            <w:r w:rsidRPr="00450A2E">
              <w:rPr>
                <w:rFonts w:eastAsia="Times New Roman" w:cs="Times New Roman"/>
                <w:b/>
                <w:lang w:eastAsia="cs-CZ"/>
              </w:rPr>
              <w:t>152,25</w:t>
            </w:r>
          </w:p>
        </w:tc>
      </w:tr>
      <w:tr w:rsidR="00B54D00" w:rsidRPr="00450A2E" w14:paraId="295154BE" w14:textId="77777777" w:rsidTr="00D07D18">
        <w:tc>
          <w:tcPr>
            <w:tcW w:w="3818" w:type="dxa"/>
            <w:tcBorders>
              <w:top w:val="single" w:sz="8" w:space="0" w:color="7F7F7F" w:themeColor="text1" w:themeTint="80"/>
            </w:tcBorders>
            <w:shd w:val="clear" w:color="auto" w:fill="auto"/>
          </w:tcPr>
          <w:p w14:paraId="47E306D2" w14:textId="77777777" w:rsidR="00B54D00" w:rsidRPr="00450A2E" w:rsidRDefault="00B54D00" w:rsidP="00B54D00">
            <w:pPr>
              <w:rPr>
                <w:rFonts w:eastAsia="Times New Roman" w:cs="Times New Roman"/>
                <w:lang w:eastAsia="cs-CZ"/>
              </w:rPr>
            </w:pPr>
            <w:r w:rsidRPr="00450A2E">
              <w:rPr>
                <w:rFonts w:eastAsia="Times New Roman" w:cs="Times New Roman"/>
                <w:lang w:eastAsia="cs-CZ"/>
              </w:rPr>
              <w:t>podnikatelské subjekty</w:t>
            </w:r>
          </w:p>
        </w:tc>
        <w:tc>
          <w:tcPr>
            <w:tcW w:w="1417" w:type="dxa"/>
            <w:tcBorders>
              <w:top w:val="single" w:sz="8" w:space="0" w:color="7F7F7F" w:themeColor="text1" w:themeTint="80"/>
            </w:tcBorders>
            <w:shd w:val="clear" w:color="auto" w:fill="auto"/>
            <w:vAlign w:val="center"/>
          </w:tcPr>
          <w:p w14:paraId="6B897290" w14:textId="1A4797F0"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w:t>
            </w:r>
          </w:p>
        </w:tc>
        <w:tc>
          <w:tcPr>
            <w:tcW w:w="1418" w:type="dxa"/>
            <w:tcBorders>
              <w:top w:val="single" w:sz="8" w:space="0" w:color="7F7F7F" w:themeColor="text1" w:themeTint="80"/>
            </w:tcBorders>
            <w:shd w:val="clear" w:color="auto" w:fill="auto"/>
            <w:vAlign w:val="center"/>
          </w:tcPr>
          <w:p w14:paraId="12FCFB12" w14:textId="5E2A751D"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650 000</w:t>
            </w:r>
          </w:p>
        </w:tc>
        <w:tc>
          <w:tcPr>
            <w:tcW w:w="1349" w:type="dxa"/>
            <w:tcBorders>
              <w:top w:val="single" w:sz="8" w:space="0" w:color="7F7F7F" w:themeColor="text1" w:themeTint="80"/>
            </w:tcBorders>
            <w:shd w:val="clear" w:color="auto" w:fill="auto"/>
            <w:vAlign w:val="center"/>
          </w:tcPr>
          <w:p w14:paraId="0E38A5A7" w14:textId="1265E591"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w:t>
            </w:r>
          </w:p>
        </w:tc>
        <w:tc>
          <w:tcPr>
            <w:tcW w:w="1077" w:type="dxa"/>
            <w:tcBorders>
              <w:top w:val="single" w:sz="8" w:space="0" w:color="7F7F7F" w:themeColor="text1" w:themeTint="80"/>
            </w:tcBorders>
            <w:shd w:val="clear" w:color="auto" w:fill="auto"/>
            <w:vAlign w:val="center"/>
          </w:tcPr>
          <w:p w14:paraId="2E37AF6B" w14:textId="1867FEF3"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0,00</w:t>
            </w:r>
          </w:p>
        </w:tc>
      </w:tr>
      <w:tr w:rsidR="00B54D00" w:rsidRPr="00450A2E" w14:paraId="084F2310" w14:textId="77777777" w:rsidTr="00D07D18">
        <w:tc>
          <w:tcPr>
            <w:tcW w:w="3818" w:type="dxa"/>
            <w:tcBorders>
              <w:bottom w:val="single" w:sz="4" w:space="0" w:color="7F7F7F" w:themeColor="text1" w:themeTint="80"/>
            </w:tcBorders>
            <w:shd w:val="clear" w:color="auto" w:fill="auto"/>
          </w:tcPr>
          <w:p w14:paraId="302CD1B2" w14:textId="77777777" w:rsidR="00B54D00" w:rsidRPr="00450A2E" w:rsidRDefault="00B54D00" w:rsidP="00B54D00">
            <w:pPr>
              <w:rPr>
                <w:rFonts w:eastAsia="Times New Roman" w:cs="Times New Roman"/>
                <w:lang w:eastAsia="cs-CZ"/>
              </w:rPr>
            </w:pPr>
            <w:r w:rsidRPr="00450A2E">
              <w:rPr>
                <w:rFonts w:eastAsia="Times New Roman" w:cs="Times New Roman"/>
                <w:lang w:eastAsia="cs-CZ"/>
              </w:rPr>
              <w:t>státní fondy</w:t>
            </w:r>
          </w:p>
        </w:tc>
        <w:tc>
          <w:tcPr>
            <w:tcW w:w="1417" w:type="dxa"/>
            <w:tcBorders>
              <w:bottom w:val="single" w:sz="4" w:space="0" w:color="7F7F7F" w:themeColor="text1" w:themeTint="80"/>
            </w:tcBorders>
            <w:shd w:val="clear" w:color="auto" w:fill="auto"/>
            <w:vAlign w:val="center"/>
          </w:tcPr>
          <w:p w14:paraId="427556E1" w14:textId="38A3F2FA"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18 304 744</w:t>
            </w:r>
          </w:p>
        </w:tc>
        <w:tc>
          <w:tcPr>
            <w:tcW w:w="1418" w:type="dxa"/>
            <w:tcBorders>
              <w:bottom w:val="single" w:sz="4" w:space="0" w:color="7F7F7F" w:themeColor="text1" w:themeTint="80"/>
            </w:tcBorders>
            <w:shd w:val="clear" w:color="auto" w:fill="auto"/>
            <w:vAlign w:val="center"/>
          </w:tcPr>
          <w:p w14:paraId="2A92DEF0" w14:textId="01B95936"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23 872 728</w:t>
            </w:r>
          </w:p>
        </w:tc>
        <w:tc>
          <w:tcPr>
            <w:tcW w:w="1349" w:type="dxa"/>
            <w:tcBorders>
              <w:bottom w:val="single" w:sz="4" w:space="0" w:color="7F7F7F" w:themeColor="text1" w:themeTint="80"/>
            </w:tcBorders>
            <w:shd w:val="clear" w:color="auto" w:fill="auto"/>
            <w:vAlign w:val="center"/>
          </w:tcPr>
          <w:p w14:paraId="5F7F77ED" w14:textId="21FBB360"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37 336 376</w:t>
            </w:r>
          </w:p>
        </w:tc>
        <w:tc>
          <w:tcPr>
            <w:tcW w:w="1077" w:type="dxa"/>
            <w:tcBorders>
              <w:bottom w:val="single" w:sz="4" w:space="0" w:color="7F7F7F" w:themeColor="text1" w:themeTint="80"/>
            </w:tcBorders>
            <w:shd w:val="clear" w:color="auto" w:fill="auto"/>
            <w:vAlign w:val="center"/>
          </w:tcPr>
          <w:p w14:paraId="382897AA" w14:textId="0AAAD876"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156,40</w:t>
            </w:r>
          </w:p>
        </w:tc>
      </w:tr>
      <w:tr w:rsidR="00B54D00" w:rsidRPr="00450A2E" w14:paraId="686F2D45" w14:textId="77777777" w:rsidTr="00D07D18">
        <w:tc>
          <w:tcPr>
            <w:tcW w:w="3818" w:type="dxa"/>
            <w:tcBorders>
              <w:top w:val="single" w:sz="4" w:space="0" w:color="7F7F7F" w:themeColor="text1" w:themeTint="80"/>
              <w:bottom w:val="single" w:sz="4" w:space="0" w:color="auto"/>
            </w:tcBorders>
            <w:shd w:val="clear" w:color="auto" w:fill="auto"/>
          </w:tcPr>
          <w:p w14:paraId="5F00C92B" w14:textId="63F515BD" w:rsidR="00B54D00" w:rsidRPr="00450A2E" w:rsidRDefault="00B54D00" w:rsidP="00B54D00">
            <w:pPr>
              <w:rPr>
                <w:rFonts w:eastAsia="Times New Roman" w:cs="Times New Roman"/>
                <w:lang w:eastAsia="cs-CZ"/>
              </w:rPr>
            </w:pPr>
            <w:r w:rsidRPr="00450A2E">
              <w:rPr>
                <w:rFonts w:eastAsia="Times New Roman" w:cs="Times New Roman"/>
                <w:lang w:eastAsia="cs-CZ"/>
              </w:rPr>
              <w:t>příspěvkové organizace zřízené jiným zřizovatelem</w:t>
            </w:r>
          </w:p>
        </w:tc>
        <w:tc>
          <w:tcPr>
            <w:tcW w:w="1417" w:type="dxa"/>
            <w:tcBorders>
              <w:top w:val="single" w:sz="4" w:space="0" w:color="7F7F7F" w:themeColor="text1" w:themeTint="80"/>
              <w:bottom w:val="single" w:sz="4" w:space="0" w:color="auto"/>
            </w:tcBorders>
            <w:shd w:val="clear" w:color="auto" w:fill="auto"/>
            <w:vAlign w:val="center"/>
          </w:tcPr>
          <w:p w14:paraId="3C3264D7" w14:textId="2319FED2"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w:t>
            </w:r>
          </w:p>
        </w:tc>
        <w:tc>
          <w:tcPr>
            <w:tcW w:w="1418" w:type="dxa"/>
            <w:tcBorders>
              <w:top w:val="single" w:sz="4" w:space="0" w:color="7F7F7F" w:themeColor="text1" w:themeTint="80"/>
              <w:bottom w:val="single" w:sz="4" w:space="0" w:color="auto"/>
            </w:tcBorders>
            <w:shd w:val="clear" w:color="auto" w:fill="auto"/>
            <w:vAlign w:val="center"/>
          </w:tcPr>
          <w:p w14:paraId="74536D5C" w14:textId="4E82AFF7"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816</w:t>
            </w:r>
          </w:p>
        </w:tc>
        <w:tc>
          <w:tcPr>
            <w:tcW w:w="1349" w:type="dxa"/>
            <w:tcBorders>
              <w:top w:val="single" w:sz="4" w:space="0" w:color="7F7F7F" w:themeColor="text1" w:themeTint="80"/>
              <w:bottom w:val="single" w:sz="4" w:space="0" w:color="auto"/>
            </w:tcBorders>
            <w:shd w:val="clear" w:color="auto" w:fill="auto"/>
            <w:vAlign w:val="center"/>
          </w:tcPr>
          <w:p w14:paraId="3F9759C8" w14:textId="1304CC6A"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w:t>
            </w:r>
          </w:p>
        </w:tc>
        <w:tc>
          <w:tcPr>
            <w:tcW w:w="1077" w:type="dxa"/>
            <w:tcBorders>
              <w:top w:val="single" w:sz="4" w:space="0" w:color="7F7F7F" w:themeColor="text1" w:themeTint="80"/>
              <w:bottom w:val="single" w:sz="4" w:space="0" w:color="auto"/>
            </w:tcBorders>
            <w:shd w:val="clear" w:color="auto" w:fill="auto"/>
            <w:vAlign w:val="center"/>
          </w:tcPr>
          <w:p w14:paraId="2C5C3522" w14:textId="6054FF3E"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0,00</w:t>
            </w:r>
          </w:p>
        </w:tc>
      </w:tr>
      <w:tr w:rsidR="00B54D00" w:rsidRPr="00450A2E" w14:paraId="5023A0F3" w14:textId="77777777" w:rsidTr="00D07D18">
        <w:tc>
          <w:tcPr>
            <w:tcW w:w="3818" w:type="dxa"/>
            <w:tcBorders>
              <w:top w:val="single" w:sz="4" w:space="0" w:color="auto"/>
              <w:bottom w:val="single" w:sz="4" w:space="0" w:color="auto"/>
            </w:tcBorders>
            <w:shd w:val="clear" w:color="auto" w:fill="auto"/>
          </w:tcPr>
          <w:p w14:paraId="03852281" w14:textId="6FA0BFAC" w:rsidR="00B54D00" w:rsidRPr="00450A2E" w:rsidRDefault="00B54D00" w:rsidP="00B54D00">
            <w:pPr>
              <w:rPr>
                <w:rFonts w:eastAsia="Times New Roman" w:cs="Times New Roman"/>
                <w:b/>
                <w:lang w:eastAsia="cs-CZ"/>
              </w:rPr>
            </w:pPr>
            <w:r w:rsidRPr="00450A2E">
              <w:rPr>
                <w:rFonts w:eastAsia="Times New Roman" w:cs="Times New Roman"/>
                <w:b/>
                <w:lang w:eastAsia="cs-CZ"/>
              </w:rPr>
              <w:t xml:space="preserve">Kapitálové výdaje – prostředky SR (podíl k EU) vedené mimo EDS/SMVS </w:t>
            </w:r>
            <w:r w:rsidRPr="00450A2E">
              <w:rPr>
                <w:rFonts w:eastAsia="Times New Roman" w:cs="Times New Roman"/>
                <w:lang w:eastAsia="cs-CZ"/>
              </w:rPr>
              <w:t>(v tom):</w:t>
            </w:r>
          </w:p>
        </w:tc>
        <w:tc>
          <w:tcPr>
            <w:tcW w:w="1417" w:type="dxa"/>
            <w:tcBorders>
              <w:top w:val="single" w:sz="4" w:space="0" w:color="auto"/>
              <w:bottom w:val="single" w:sz="4" w:space="0" w:color="auto"/>
            </w:tcBorders>
            <w:shd w:val="clear" w:color="auto" w:fill="auto"/>
            <w:vAlign w:val="center"/>
          </w:tcPr>
          <w:p w14:paraId="25896437" w14:textId="6276CA2F" w:rsidR="00B54D00" w:rsidRPr="00450A2E" w:rsidRDefault="00B54D00" w:rsidP="00B54D00">
            <w:pPr>
              <w:tabs>
                <w:tab w:val="right" w:pos="1059"/>
              </w:tabs>
              <w:jc w:val="right"/>
              <w:rPr>
                <w:rFonts w:eastAsia="Times New Roman" w:cs="Times New Roman"/>
                <w:b/>
                <w:lang w:eastAsia="cs-CZ"/>
              </w:rPr>
            </w:pPr>
            <w:r w:rsidRPr="00450A2E">
              <w:rPr>
                <w:rFonts w:eastAsia="Times New Roman" w:cs="Times New Roman"/>
                <w:b/>
                <w:lang w:eastAsia="cs-CZ"/>
              </w:rPr>
              <w:tab/>
              <w:t>0</w:t>
            </w:r>
          </w:p>
        </w:tc>
        <w:tc>
          <w:tcPr>
            <w:tcW w:w="1418" w:type="dxa"/>
            <w:tcBorders>
              <w:top w:val="single" w:sz="4" w:space="0" w:color="auto"/>
              <w:bottom w:val="single" w:sz="4" w:space="0" w:color="auto"/>
            </w:tcBorders>
            <w:shd w:val="clear" w:color="auto" w:fill="auto"/>
            <w:vAlign w:val="center"/>
          </w:tcPr>
          <w:p w14:paraId="22D6520C" w14:textId="20A7CE27" w:rsidR="00B54D00" w:rsidRPr="00450A2E" w:rsidRDefault="00B54D00" w:rsidP="00B54D00">
            <w:pPr>
              <w:jc w:val="right"/>
              <w:rPr>
                <w:rFonts w:eastAsia="Times New Roman" w:cs="Times New Roman"/>
                <w:b/>
                <w:lang w:eastAsia="cs-CZ"/>
              </w:rPr>
            </w:pPr>
            <w:r w:rsidRPr="00450A2E">
              <w:rPr>
                <w:rFonts w:eastAsia="Times New Roman" w:cs="Times New Roman"/>
                <w:b/>
                <w:lang w:eastAsia="cs-CZ"/>
              </w:rPr>
              <w:t>1 008</w:t>
            </w:r>
          </w:p>
        </w:tc>
        <w:tc>
          <w:tcPr>
            <w:tcW w:w="1349" w:type="dxa"/>
            <w:tcBorders>
              <w:top w:val="single" w:sz="4" w:space="0" w:color="auto"/>
              <w:bottom w:val="single" w:sz="4" w:space="0" w:color="auto"/>
            </w:tcBorders>
            <w:shd w:val="clear" w:color="auto" w:fill="auto"/>
            <w:vAlign w:val="center"/>
          </w:tcPr>
          <w:p w14:paraId="13165574" w14:textId="6C1E2B4F" w:rsidR="00B54D00" w:rsidRPr="00450A2E" w:rsidRDefault="00B54D00" w:rsidP="00B54D00">
            <w:pPr>
              <w:jc w:val="right"/>
              <w:rPr>
                <w:rFonts w:eastAsia="Times New Roman" w:cs="Times New Roman"/>
                <w:b/>
                <w:lang w:eastAsia="cs-CZ"/>
              </w:rPr>
            </w:pPr>
            <w:r w:rsidRPr="00450A2E">
              <w:rPr>
                <w:rFonts w:eastAsia="Times New Roman" w:cs="Times New Roman"/>
                <w:b/>
                <w:lang w:eastAsia="cs-CZ"/>
              </w:rPr>
              <w:t>0</w:t>
            </w:r>
          </w:p>
        </w:tc>
        <w:tc>
          <w:tcPr>
            <w:tcW w:w="1077" w:type="dxa"/>
            <w:tcBorders>
              <w:top w:val="single" w:sz="4" w:space="0" w:color="auto"/>
              <w:bottom w:val="single" w:sz="4" w:space="0" w:color="auto"/>
            </w:tcBorders>
            <w:shd w:val="clear" w:color="auto" w:fill="auto"/>
            <w:vAlign w:val="center"/>
          </w:tcPr>
          <w:p w14:paraId="5AD8F45E" w14:textId="60C1382A" w:rsidR="00B54D00" w:rsidRPr="00450A2E" w:rsidRDefault="00B54D00" w:rsidP="00B54D00">
            <w:pPr>
              <w:jc w:val="right"/>
              <w:rPr>
                <w:rFonts w:eastAsia="Times New Roman" w:cs="Times New Roman"/>
                <w:b/>
                <w:lang w:eastAsia="cs-CZ"/>
              </w:rPr>
            </w:pPr>
            <w:r w:rsidRPr="00450A2E">
              <w:rPr>
                <w:rFonts w:eastAsia="Times New Roman" w:cs="Times New Roman"/>
                <w:b/>
                <w:lang w:eastAsia="cs-CZ"/>
              </w:rPr>
              <w:t>0,00</w:t>
            </w:r>
          </w:p>
        </w:tc>
      </w:tr>
      <w:tr w:rsidR="00B54D00" w:rsidRPr="00D070B8" w14:paraId="5171E31B" w14:textId="77777777" w:rsidTr="00D07D18">
        <w:tc>
          <w:tcPr>
            <w:tcW w:w="3818" w:type="dxa"/>
            <w:tcBorders>
              <w:top w:val="single" w:sz="4" w:space="0" w:color="auto"/>
            </w:tcBorders>
            <w:shd w:val="clear" w:color="auto" w:fill="auto"/>
          </w:tcPr>
          <w:p w14:paraId="01E26C36" w14:textId="2F78D031" w:rsidR="00B54D00" w:rsidRPr="00450A2E" w:rsidRDefault="00B54D00" w:rsidP="00B54D00">
            <w:pPr>
              <w:rPr>
                <w:rFonts w:eastAsia="Times New Roman" w:cs="Times New Roman"/>
                <w:lang w:eastAsia="cs-CZ"/>
              </w:rPr>
            </w:pPr>
            <w:r w:rsidRPr="00450A2E">
              <w:rPr>
                <w:rFonts w:eastAsia="Times New Roman" w:cs="Times New Roman"/>
                <w:lang w:eastAsia="cs-CZ"/>
              </w:rPr>
              <w:t>příspěvkové organizace zřízené jiným zřizovatelem</w:t>
            </w:r>
          </w:p>
        </w:tc>
        <w:tc>
          <w:tcPr>
            <w:tcW w:w="1417" w:type="dxa"/>
            <w:tcBorders>
              <w:top w:val="single" w:sz="4" w:space="0" w:color="auto"/>
            </w:tcBorders>
            <w:shd w:val="clear" w:color="auto" w:fill="auto"/>
            <w:vAlign w:val="center"/>
          </w:tcPr>
          <w:p w14:paraId="665E169A" w14:textId="30DD3F3E"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w:t>
            </w:r>
          </w:p>
        </w:tc>
        <w:tc>
          <w:tcPr>
            <w:tcW w:w="1418" w:type="dxa"/>
            <w:tcBorders>
              <w:top w:val="single" w:sz="4" w:space="0" w:color="auto"/>
            </w:tcBorders>
            <w:shd w:val="clear" w:color="auto" w:fill="auto"/>
            <w:vAlign w:val="center"/>
          </w:tcPr>
          <w:p w14:paraId="4295FA9F" w14:textId="71894E86"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1 008</w:t>
            </w:r>
          </w:p>
        </w:tc>
        <w:tc>
          <w:tcPr>
            <w:tcW w:w="1349" w:type="dxa"/>
            <w:tcBorders>
              <w:top w:val="single" w:sz="4" w:space="0" w:color="auto"/>
            </w:tcBorders>
            <w:shd w:val="clear" w:color="auto" w:fill="auto"/>
            <w:vAlign w:val="center"/>
          </w:tcPr>
          <w:p w14:paraId="0EBC8D17" w14:textId="12E00540"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w:t>
            </w:r>
          </w:p>
        </w:tc>
        <w:tc>
          <w:tcPr>
            <w:tcW w:w="1077" w:type="dxa"/>
            <w:tcBorders>
              <w:top w:val="single" w:sz="4" w:space="0" w:color="auto"/>
            </w:tcBorders>
            <w:shd w:val="clear" w:color="auto" w:fill="auto"/>
            <w:vAlign w:val="center"/>
          </w:tcPr>
          <w:p w14:paraId="727D7156" w14:textId="33734D7E" w:rsidR="00B54D00" w:rsidRPr="00450A2E" w:rsidRDefault="00B54D00" w:rsidP="00B54D00">
            <w:pPr>
              <w:jc w:val="right"/>
              <w:rPr>
                <w:rFonts w:eastAsia="Times New Roman" w:cs="Times New Roman"/>
                <w:lang w:eastAsia="cs-CZ"/>
              </w:rPr>
            </w:pPr>
            <w:r w:rsidRPr="00450A2E">
              <w:rPr>
                <w:rFonts w:eastAsia="Times New Roman" w:cs="Times New Roman"/>
                <w:lang w:eastAsia="cs-CZ"/>
              </w:rPr>
              <w:t>0,00</w:t>
            </w:r>
          </w:p>
        </w:tc>
      </w:tr>
    </w:tbl>
    <w:p w14:paraId="130A8EBF" w14:textId="0A765E71" w:rsidR="009C51D9" w:rsidRPr="00450A2E" w:rsidRDefault="009C51D9" w:rsidP="009C51D9">
      <w:pPr>
        <w:pStyle w:val="Styl1"/>
        <w:spacing w:after="200"/>
        <w:rPr>
          <w:rStyle w:val="FontStyle27"/>
          <w:sz w:val="24"/>
          <w:szCs w:val="24"/>
        </w:rPr>
      </w:pPr>
      <w:r w:rsidRPr="00450A2E">
        <w:t>Finanční prostředky jsou určeny na společné projekty EU a ČR (</w:t>
      </w:r>
      <w:r w:rsidR="00255BE0" w:rsidRPr="00450A2E">
        <w:t>P</w:t>
      </w:r>
      <w:r w:rsidRPr="00450A2E">
        <w:t xml:space="preserve">rogram Doprava 2021+ </w:t>
      </w:r>
      <w:r w:rsidR="00450A2E" w:rsidRPr="00450A2E">
        <w:t xml:space="preserve">a </w:t>
      </w:r>
      <w:r w:rsidRPr="00450A2E">
        <w:t>Komunitární programy – Nástroj pro propojení Evropy 2021+).</w:t>
      </w:r>
      <w:r w:rsidRPr="00450A2E">
        <w:rPr>
          <w:rStyle w:val="FontStyle27"/>
          <w:sz w:val="24"/>
          <w:szCs w:val="24"/>
        </w:rPr>
        <w:t xml:space="preserve">  </w:t>
      </w:r>
    </w:p>
    <w:p w14:paraId="3BE4FAE3" w14:textId="77777777" w:rsidR="00450A2E" w:rsidRPr="00A83ABB" w:rsidRDefault="00450A2E" w:rsidP="00450A2E">
      <w:pPr>
        <w:pStyle w:val="Styl1"/>
        <w:spacing w:after="200"/>
        <w:rPr>
          <w:rStyle w:val="FontStyle27"/>
          <w:sz w:val="24"/>
          <w:szCs w:val="24"/>
        </w:rPr>
      </w:pPr>
      <w:r w:rsidRPr="00A83ABB">
        <w:t xml:space="preserve">Prostředky EU (investiční) vedené v ZED určené </w:t>
      </w:r>
      <w:r w:rsidRPr="00A83ABB">
        <w:rPr>
          <w:b/>
        </w:rPr>
        <w:t xml:space="preserve">pro Státní fond dopravní infrastruktury </w:t>
      </w:r>
      <w:r w:rsidRPr="00A83ABB">
        <w:rPr>
          <w:b/>
        </w:rPr>
        <w:br/>
      </w:r>
      <w:r w:rsidRPr="00A83ABB">
        <w:t>(v rámci dotace pro společné programy EU a ČR)</w:t>
      </w:r>
      <w:r w:rsidRPr="00A83ABB">
        <w:rPr>
          <w:b/>
        </w:rPr>
        <w:t xml:space="preserve"> jsou navrženy pro rozpočtový rok 2025 v celkové výši 37 336 376 tis. Kč</w:t>
      </w:r>
      <w:r w:rsidRPr="00A83ABB">
        <w:t xml:space="preserve">. Finanční prostředky jsou určeny: </w:t>
      </w:r>
      <w:r w:rsidRPr="00A83ABB">
        <w:rPr>
          <w:rStyle w:val="FontStyle27"/>
          <w:sz w:val="24"/>
          <w:szCs w:val="24"/>
        </w:rPr>
        <w:t xml:space="preserve"> </w:t>
      </w:r>
    </w:p>
    <w:p w14:paraId="5A79B7DF" w14:textId="77777777" w:rsidR="00450A2E" w:rsidRPr="00A83ABB" w:rsidRDefault="00450A2E" w:rsidP="00450A2E">
      <w:pPr>
        <w:pStyle w:val="Odstavecseseznamem"/>
        <w:numPr>
          <w:ilvl w:val="0"/>
          <w:numId w:val="30"/>
        </w:numPr>
        <w:spacing w:before="120"/>
      </w:pPr>
      <w:r w:rsidRPr="00A83ABB">
        <w:t>na Program Doprava 2021+ (ERDF) ve výši 2 </w:t>
      </w:r>
      <w:r>
        <w:t>646</w:t>
      </w:r>
      <w:r w:rsidRPr="00A83ABB">
        <w:t xml:space="preserve"> </w:t>
      </w:r>
      <w:r>
        <w:t>710</w:t>
      </w:r>
      <w:r w:rsidRPr="00A83ABB">
        <w:t xml:space="preserve"> tis. Kč (priorita 2, opatření č. 7 Silniční infrastruktura (mimo TEN-T)),</w:t>
      </w:r>
    </w:p>
    <w:p w14:paraId="0A8FC4F3" w14:textId="77777777" w:rsidR="00450A2E" w:rsidRPr="00A83ABB" w:rsidRDefault="00450A2E" w:rsidP="00450A2E">
      <w:pPr>
        <w:pStyle w:val="Odstavecseseznamem"/>
        <w:numPr>
          <w:ilvl w:val="0"/>
          <w:numId w:val="30"/>
        </w:numPr>
        <w:spacing w:before="120"/>
        <w:ind w:left="714" w:hanging="357"/>
      </w:pPr>
      <w:r w:rsidRPr="00A83ABB">
        <w:lastRenderedPageBreak/>
        <w:t xml:space="preserve">na Program Doprava 2021+ (CF) ve výši </w:t>
      </w:r>
      <w:r>
        <w:t>27</w:t>
      </w:r>
      <w:r w:rsidRPr="00A83ABB">
        <w:t> </w:t>
      </w:r>
      <w:r>
        <w:t>58</w:t>
      </w:r>
      <w:r w:rsidRPr="00A83ABB">
        <w:t xml:space="preserve">0 </w:t>
      </w:r>
      <w:r>
        <w:t>969</w:t>
      </w:r>
      <w:r w:rsidRPr="00A83ABB">
        <w:t xml:space="preserve"> tis. Kč (priorita 1 opatření č. 1- </w:t>
      </w:r>
      <w:r w:rsidRPr="00A83ABB">
        <w:br/>
        <w:t xml:space="preserve">č. </w:t>
      </w:r>
      <w:r>
        <w:t>6 a</w:t>
      </w:r>
      <w:r w:rsidRPr="00A83ABB">
        <w:t xml:space="preserve"> priorita 3 opatření č. </w:t>
      </w:r>
      <w:r w:rsidRPr="00A83ABB">
        <w:rPr>
          <w:rFonts w:ascii="Times New Roman CE" w:hAnsi="Times New Roman CE" w:cs="Times New Roman CE"/>
        </w:rPr>
        <w:t>8 - Infrastruktura městské drážní dopravy</w:t>
      </w:r>
      <w:r w:rsidRPr="00A83ABB">
        <w:t xml:space="preserve">), </w:t>
      </w:r>
    </w:p>
    <w:p w14:paraId="48835713" w14:textId="1B25E4AC" w:rsidR="00450A2E" w:rsidRDefault="00450A2E" w:rsidP="00450A2E">
      <w:pPr>
        <w:pStyle w:val="Odstavecseseznamem"/>
        <w:numPr>
          <w:ilvl w:val="0"/>
          <w:numId w:val="30"/>
        </w:numPr>
        <w:spacing w:before="120"/>
        <w:ind w:left="714" w:hanging="357"/>
      </w:pPr>
      <w:r w:rsidRPr="00A83ABB">
        <w:t>na Komunitární programy – Nástroj pro propojení Evropy 2021+ (projekty CEF</w:t>
      </w:r>
      <w:r>
        <w:t>2</w:t>
      </w:r>
      <w:r w:rsidRPr="00A83ABB">
        <w:t>) ve výši 7 1</w:t>
      </w:r>
      <w:r>
        <w:t>08</w:t>
      </w:r>
      <w:r w:rsidRPr="00A83ABB">
        <w:t xml:space="preserve"> </w:t>
      </w:r>
      <w:r>
        <w:t>69</w:t>
      </w:r>
      <w:r w:rsidRPr="00A83ABB">
        <w:t xml:space="preserve">7 tis. Kč. </w:t>
      </w:r>
    </w:p>
    <w:p w14:paraId="1EAD045F" w14:textId="17AF4066" w:rsidR="009C51D9" w:rsidRPr="00D070B8" w:rsidRDefault="009C51D9" w:rsidP="00450A2E">
      <w:pPr>
        <w:pStyle w:val="Odstavecseseznamem"/>
        <w:spacing w:before="120"/>
        <w:ind w:left="714"/>
        <w:rPr>
          <w:highlight w:val="yellow"/>
        </w:rPr>
      </w:pPr>
      <w:r w:rsidRPr="00D070B8">
        <w:rPr>
          <w:highlight w:val="yellow"/>
        </w:rPr>
        <w:t xml:space="preserve"> </w:t>
      </w:r>
    </w:p>
    <w:p w14:paraId="5A245CEA" w14:textId="77777777" w:rsidR="00BB459E" w:rsidRPr="002B4812" w:rsidRDefault="00BB459E" w:rsidP="00D1426E">
      <w:pPr>
        <w:pStyle w:val="Nadpis2"/>
        <w:spacing w:before="160" w:after="160"/>
      </w:pPr>
      <w:bookmarkStart w:id="214" w:name="_Toc115787248"/>
      <w:bookmarkStart w:id="215" w:name="_Toc115787838"/>
      <w:bookmarkStart w:id="216" w:name="_Toc179964106"/>
      <w:bookmarkEnd w:id="214"/>
      <w:bookmarkEnd w:id="215"/>
      <w:r w:rsidRPr="002B4812">
        <w:t>Výdaje vedené v informačním systému programového financování EDS/SMVS</w:t>
      </w:r>
      <w:bookmarkEnd w:id="203"/>
      <w:bookmarkEnd w:id="204"/>
      <w:bookmarkEnd w:id="205"/>
      <w:bookmarkEnd w:id="216"/>
      <w:r w:rsidRPr="002B4812">
        <w:t xml:space="preserve"> </w:t>
      </w:r>
    </w:p>
    <w:p w14:paraId="161C93C1" w14:textId="386343D8" w:rsidR="00943D26" w:rsidRPr="002B4812" w:rsidRDefault="002B4812" w:rsidP="00943D26">
      <w:pPr>
        <w:pStyle w:val="Styl1"/>
        <w:spacing w:before="160" w:after="160"/>
      </w:pPr>
      <w:bookmarkStart w:id="217" w:name="_Toc304375451"/>
      <w:bookmarkStart w:id="218" w:name="_Toc305406309"/>
      <w:bookmarkStart w:id="219" w:name="_Toc462314402"/>
      <w:bookmarkStart w:id="220" w:name="_Toc489274109"/>
      <w:r w:rsidRPr="002B4812">
        <w:t xml:space="preserve">Ze schváleného závazného objemu pro sestavení návrhu rozpočtu na rok 2025 </w:t>
      </w:r>
      <w:r w:rsidRPr="002B4812">
        <w:br/>
        <w:t xml:space="preserve">je na </w:t>
      </w:r>
      <w:r w:rsidRPr="002B4812">
        <w:rPr>
          <w:b/>
        </w:rPr>
        <w:t xml:space="preserve">výdaje vedené v informačním systému programového financování EDS/SMVS (výdaje určené na financování programů) vyčleněna částka v celkové výši  </w:t>
      </w:r>
      <w:r w:rsidRPr="002B4812">
        <w:rPr>
          <w:b/>
        </w:rPr>
        <w:br/>
        <w:t>82 087 335 tis. Kč</w:t>
      </w:r>
      <w:r w:rsidRPr="002B4812">
        <w:t>, v tom kapitálové výdaje 55 947 466 tis. Kč, běžné výdaje 26 139 869 tis. Kč</w:t>
      </w:r>
      <w:r w:rsidRPr="002B4812">
        <w:rPr>
          <w:color w:val="FF0000"/>
        </w:rPr>
        <w:t xml:space="preserve">. </w:t>
      </w:r>
      <w:r w:rsidRPr="002B4812">
        <w:t xml:space="preserve">Z celkové částky 82 087 335 tis. Kč jsou prostředky státního rozpočtu </w:t>
      </w:r>
      <w:r w:rsidR="00A327D7">
        <w:t>82 087 335</w:t>
      </w:r>
      <w:r w:rsidRPr="002B4812">
        <w:t xml:space="preserve"> tis. Kč a prostředky fondů EU 0 tis. Kč. Členění výdajů vedených v informačním systému programového financování EDS/SMVS podle hospodářsko-právní formy konečných příjemců celkem zobrazuje následující tabulka</w:t>
      </w:r>
      <w:r w:rsidR="00943D26" w:rsidRPr="002B4812">
        <w:t xml:space="preserve">.                                                                                              </w:t>
      </w:r>
    </w:p>
    <w:p w14:paraId="5CE03C73" w14:textId="2CD5A45D" w:rsidR="004B2F70" w:rsidRPr="002B4812" w:rsidRDefault="004B2F70" w:rsidP="004B2F70">
      <w:pPr>
        <w:pStyle w:val="Titulek"/>
        <w:rPr>
          <w:noProof/>
        </w:rPr>
      </w:pPr>
      <w:r w:rsidRPr="002B4812">
        <w:t xml:space="preserve">Tabulka č. </w:t>
      </w:r>
      <w:r w:rsidRPr="002B4812">
        <w:rPr>
          <w:noProof/>
        </w:rPr>
        <w:fldChar w:fldCharType="begin"/>
      </w:r>
      <w:r w:rsidRPr="002B4812">
        <w:rPr>
          <w:noProof/>
        </w:rPr>
        <w:instrText xml:space="preserve"> SEQ Tabulka \* ARABIC </w:instrText>
      </w:r>
      <w:r w:rsidRPr="002B4812">
        <w:rPr>
          <w:noProof/>
        </w:rPr>
        <w:fldChar w:fldCharType="separate"/>
      </w:r>
      <w:r w:rsidR="003B0B01" w:rsidRPr="002B4812">
        <w:rPr>
          <w:noProof/>
        </w:rPr>
        <w:t>33</w:t>
      </w:r>
      <w:r w:rsidRPr="002B4812">
        <w:rPr>
          <w:noProof/>
        </w:rPr>
        <w:fldChar w:fldCharType="end"/>
      </w:r>
      <w:r w:rsidRPr="002B4812">
        <w:rPr>
          <w:noProof/>
        </w:rPr>
        <w:t xml:space="preserve"> Výdaje vedené v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959"/>
        <w:gridCol w:w="1347"/>
        <w:gridCol w:w="1335"/>
        <w:gridCol w:w="1361"/>
        <w:gridCol w:w="1077"/>
      </w:tblGrid>
      <w:tr w:rsidR="00C101B2" w:rsidRPr="002B4812" w14:paraId="18420355" w14:textId="77777777" w:rsidTr="00D07D18">
        <w:trPr>
          <w:tblHeader/>
        </w:trPr>
        <w:tc>
          <w:tcPr>
            <w:tcW w:w="395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1299D6" w14:textId="7777777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Ukazatel</w:t>
            </w:r>
          </w:p>
        </w:tc>
        <w:tc>
          <w:tcPr>
            <w:tcW w:w="134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A485D5" w14:textId="7777777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Skutečnost</w:t>
            </w:r>
          </w:p>
          <w:p w14:paraId="58AEF3C0" w14:textId="1A607B2C"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202</w:t>
            </w:r>
            <w:r w:rsidR="002B4812" w:rsidRPr="002B4812">
              <w:rPr>
                <w:rFonts w:eastAsia="Times New Roman" w:cs="Times New Roman"/>
                <w:b/>
                <w:lang w:eastAsia="cs-CZ"/>
              </w:rPr>
              <w:t>3</w:t>
            </w:r>
          </w:p>
        </w:tc>
        <w:tc>
          <w:tcPr>
            <w:tcW w:w="133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AC9EF81" w14:textId="7777777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Schválený rozpočet</w:t>
            </w:r>
          </w:p>
          <w:p w14:paraId="3FF61123" w14:textId="035F57B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202</w:t>
            </w:r>
            <w:r w:rsidR="002B4812" w:rsidRPr="002B4812">
              <w:rPr>
                <w:rFonts w:eastAsia="Times New Roman" w:cs="Times New Roman"/>
                <w:b/>
                <w:lang w:eastAsia="cs-CZ"/>
              </w:rPr>
              <w:t>4</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DFC4D6B" w14:textId="7777777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Návrh</w:t>
            </w:r>
          </w:p>
          <w:p w14:paraId="3332FCAE" w14:textId="7777777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rozpočtu</w:t>
            </w:r>
          </w:p>
          <w:p w14:paraId="46146DE3" w14:textId="6118DEC9"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202</w:t>
            </w:r>
            <w:r w:rsidR="002B4812" w:rsidRPr="002B4812">
              <w:rPr>
                <w:rFonts w:eastAsia="Times New Roman" w:cs="Times New Roman"/>
                <w:b/>
                <w:lang w:eastAsia="cs-CZ"/>
              </w:rPr>
              <w:t>5</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8C86CAB" w14:textId="7777777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Index</w:t>
            </w:r>
          </w:p>
          <w:p w14:paraId="5BFD8F5F" w14:textId="52EEFBA6"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202</w:t>
            </w:r>
            <w:r w:rsidR="002B4812" w:rsidRPr="002B4812">
              <w:rPr>
                <w:rFonts w:eastAsia="Times New Roman" w:cs="Times New Roman"/>
                <w:b/>
                <w:lang w:eastAsia="cs-CZ"/>
              </w:rPr>
              <w:t>5</w:t>
            </w:r>
            <w:r w:rsidRPr="002B4812">
              <w:rPr>
                <w:rFonts w:eastAsia="Times New Roman" w:cs="Times New Roman"/>
                <w:b/>
                <w:lang w:eastAsia="cs-CZ"/>
              </w:rPr>
              <w:t>/</w:t>
            </w:r>
            <w:r w:rsidRPr="002B4812">
              <w:rPr>
                <w:rFonts w:eastAsia="Times New Roman" w:cs="Times New Roman"/>
                <w:b/>
                <w:lang w:eastAsia="cs-CZ"/>
              </w:rPr>
              <w:br/>
              <w:t>202</w:t>
            </w:r>
            <w:r w:rsidR="002B4812" w:rsidRPr="002B4812">
              <w:rPr>
                <w:rFonts w:eastAsia="Times New Roman" w:cs="Times New Roman"/>
                <w:b/>
                <w:lang w:eastAsia="cs-CZ"/>
              </w:rPr>
              <w:t>4</w:t>
            </w:r>
          </w:p>
          <w:p w14:paraId="297212A5" w14:textId="77777777" w:rsidR="00C101B2" w:rsidRPr="002B4812" w:rsidRDefault="00C101B2" w:rsidP="00D07D18">
            <w:pPr>
              <w:jc w:val="center"/>
              <w:rPr>
                <w:rFonts w:eastAsia="Times New Roman" w:cs="Times New Roman"/>
                <w:b/>
                <w:lang w:eastAsia="cs-CZ"/>
              </w:rPr>
            </w:pPr>
            <w:r w:rsidRPr="002B4812">
              <w:rPr>
                <w:rFonts w:eastAsia="Times New Roman" w:cs="Times New Roman"/>
                <w:b/>
                <w:lang w:eastAsia="cs-CZ"/>
              </w:rPr>
              <w:t>(v %)</w:t>
            </w:r>
          </w:p>
        </w:tc>
      </w:tr>
      <w:tr w:rsidR="00C101B2" w:rsidRPr="002B4812" w14:paraId="63C57A40" w14:textId="77777777" w:rsidTr="00D07D18">
        <w:trPr>
          <w:tblHeader/>
        </w:trPr>
        <w:tc>
          <w:tcPr>
            <w:tcW w:w="3959" w:type="dxa"/>
            <w:tcBorders>
              <w:top w:val="single" w:sz="4" w:space="0" w:color="7F7F7F" w:themeColor="text1" w:themeTint="80"/>
              <w:bottom w:val="single" w:sz="8" w:space="0" w:color="7F7F7F" w:themeColor="text1" w:themeTint="80"/>
            </w:tcBorders>
            <w:shd w:val="clear" w:color="auto" w:fill="auto"/>
          </w:tcPr>
          <w:p w14:paraId="3786A0FB" w14:textId="77777777" w:rsidR="00C101B2" w:rsidRPr="002B4812" w:rsidRDefault="00C101B2" w:rsidP="00D07D18">
            <w:pPr>
              <w:jc w:val="center"/>
              <w:rPr>
                <w:rFonts w:eastAsia="Times New Roman" w:cs="Times New Roman"/>
                <w:lang w:eastAsia="cs-CZ"/>
              </w:rPr>
            </w:pPr>
            <w:r w:rsidRPr="002B4812">
              <w:rPr>
                <w:rFonts w:eastAsia="Times New Roman" w:cs="Times New Roman"/>
                <w:lang w:eastAsia="cs-CZ"/>
              </w:rPr>
              <w:t>a</w:t>
            </w:r>
          </w:p>
        </w:tc>
        <w:tc>
          <w:tcPr>
            <w:tcW w:w="1347" w:type="dxa"/>
            <w:tcBorders>
              <w:top w:val="single" w:sz="4" w:space="0" w:color="7F7F7F" w:themeColor="text1" w:themeTint="80"/>
              <w:bottom w:val="single" w:sz="8" w:space="0" w:color="7F7F7F" w:themeColor="text1" w:themeTint="80"/>
            </w:tcBorders>
            <w:shd w:val="clear" w:color="auto" w:fill="auto"/>
          </w:tcPr>
          <w:p w14:paraId="42DA9380" w14:textId="77777777" w:rsidR="00C101B2" w:rsidRPr="002B4812" w:rsidRDefault="00C101B2" w:rsidP="00D07D18">
            <w:pPr>
              <w:jc w:val="center"/>
              <w:rPr>
                <w:rFonts w:eastAsia="Times New Roman" w:cs="Times New Roman"/>
                <w:lang w:eastAsia="cs-CZ"/>
              </w:rPr>
            </w:pPr>
            <w:r w:rsidRPr="002B4812">
              <w:rPr>
                <w:rFonts w:eastAsia="Times New Roman" w:cs="Times New Roman"/>
                <w:lang w:eastAsia="cs-CZ"/>
              </w:rPr>
              <w:t>1</w:t>
            </w:r>
          </w:p>
        </w:tc>
        <w:tc>
          <w:tcPr>
            <w:tcW w:w="1335" w:type="dxa"/>
            <w:tcBorders>
              <w:top w:val="single" w:sz="4" w:space="0" w:color="7F7F7F" w:themeColor="text1" w:themeTint="80"/>
              <w:bottom w:val="single" w:sz="8" w:space="0" w:color="7F7F7F" w:themeColor="text1" w:themeTint="80"/>
            </w:tcBorders>
            <w:shd w:val="clear" w:color="auto" w:fill="auto"/>
          </w:tcPr>
          <w:p w14:paraId="565978EE" w14:textId="77777777" w:rsidR="00C101B2" w:rsidRPr="002B4812" w:rsidRDefault="00C101B2" w:rsidP="00D07D18">
            <w:pPr>
              <w:jc w:val="center"/>
              <w:rPr>
                <w:rFonts w:eastAsia="Times New Roman" w:cs="Times New Roman"/>
                <w:lang w:eastAsia="cs-CZ"/>
              </w:rPr>
            </w:pPr>
            <w:r w:rsidRPr="002B4812">
              <w:rPr>
                <w:rFonts w:eastAsia="Times New Roman" w:cs="Times New Roman"/>
                <w:lang w:eastAsia="cs-CZ"/>
              </w:rPr>
              <w:t>2</w:t>
            </w:r>
          </w:p>
        </w:tc>
        <w:tc>
          <w:tcPr>
            <w:tcW w:w="1361" w:type="dxa"/>
            <w:tcBorders>
              <w:top w:val="single" w:sz="4" w:space="0" w:color="7F7F7F" w:themeColor="text1" w:themeTint="80"/>
              <w:bottom w:val="single" w:sz="8" w:space="0" w:color="7F7F7F" w:themeColor="text1" w:themeTint="80"/>
            </w:tcBorders>
            <w:shd w:val="clear" w:color="auto" w:fill="auto"/>
          </w:tcPr>
          <w:p w14:paraId="41811DB9" w14:textId="77777777" w:rsidR="00C101B2" w:rsidRPr="002B4812" w:rsidRDefault="00C101B2" w:rsidP="00D07D18">
            <w:pPr>
              <w:jc w:val="center"/>
              <w:rPr>
                <w:rFonts w:eastAsia="Times New Roman" w:cs="Times New Roman"/>
                <w:lang w:eastAsia="cs-CZ"/>
              </w:rPr>
            </w:pPr>
            <w:r w:rsidRPr="002B4812">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14:paraId="115E2531" w14:textId="77777777" w:rsidR="00C101B2" w:rsidRPr="002B4812" w:rsidRDefault="00C101B2" w:rsidP="00D07D18">
            <w:pPr>
              <w:jc w:val="center"/>
              <w:rPr>
                <w:rFonts w:eastAsia="Times New Roman" w:cs="Times New Roman"/>
                <w:lang w:eastAsia="cs-CZ"/>
              </w:rPr>
            </w:pPr>
            <w:r w:rsidRPr="002B4812">
              <w:rPr>
                <w:rFonts w:eastAsia="Times New Roman" w:cs="Times New Roman"/>
                <w:lang w:eastAsia="cs-CZ"/>
              </w:rPr>
              <w:t>4</w:t>
            </w:r>
          </w:p>
        </w:tc>
      </w:tr>
      <w:tr w:rsidR="002B4812" w:rsidRPr="002B4812" w14:paraId="7711E0C4" w14:textId="77777777" w:rsidTr="00D07D18">
        <w:trPr>
          <w:tblHeader/>
        </w:trPr>
        <w:tc>
          <w:tcPr>
            <w:tcW w:w="3959" w:type="dxa"/>
            <w:tcBorders>
              <w:top w:val="single" w:sz="8" w:space="0" w:color="7F7F7F" w:themeColor="text1" w:themeTint="80"/>
              <w:bottom w:val="single" w:sz="8" w:space="0" w:color="7F7F7F" w:themeColor="text1" w:themeTint="80"/>
            </w:tcBorders>
            <w:shd w:val="clear" w:color="auto" w:fill="auto"/>
          </w:tcPr>
          <w:p w14:paraId="29EFE4F5" w14:textId="77777777" w:rsidR="002B4812" w:rsidRPr="002B4812" w:rsidRDefault="002B4812" w:rsidP="002B4812">
            <w:pPr>
              <w:rPr>
                <w:rFonts w:eastAsia="Times New Roman" w:cs="Times New Roman"/>
                <w:b/>
                <w:lang w:eastAsia="cs-CZ"/>
              </w:rPr>
            </w:pPr>
            <w:r w:rsidRPr="002B4812">
              <w:rPr>
                <w:rFonts w:eastAsia="Times New Roman" w:cs="Times New Roman"/>
                <w:b/>
                <w:lang w:eastAsia="cs-CZ"/>
              </w:rPr>
              <w:t xml:space="preserve">Výdaje vedené v EDS/SMVS </w:t>
            </w:r>
            <w:r w:rsidRPr="002B4812">
              <w:rPr>
                <w:rFonts w:eastAsia="Times New Roman" w:cs="Times New Roman"/>
                <w:lang w:eastAsia="cs-CZ"/>
              </w:rPr>
              <w:t>(v tom):</w:t>
            </w:r>
          </w:p>
        </w:tc>
        <w:tc>
          <w:tcPr>
            <w:tcW w:w="1347" w:type="dxa"/>
            <w:tcBorders>
              <w:top w:val="single" w:sz="8" w:space="0" w:color="7F7F7F" w:themeColor="text1" w:themeTint="80"/>
              <w:bottom w:val="single" w:sz="8" w:space="0" w:color="7F7F7F" w:themeColor="text1" w:themeTint="80"/>
            </w:tcBorders>
            <w:shd w:val="clear" w:color="auto" w:fill="auto"/>
            <w:vAlign w:val="center"/>
          </w:tcPr>
          <w:p w14:paraId="732F6092" w14:textId="36A3E4AD" w:rsidR="002B4812" w:rsidRPr="002B4812" w:rsidRDefault="002B4812" w:rsidP="002B4812">
            <w:pPr>
              <w:tabs>
                <w:tab w:val="right" w:pos="720"/>
              </w:tabs>
              <w:jc w:val="right"/>
              <w:rPr>
                <w:rFonts w:eastAsia="Times New Roman" w:cs="Times New Roman"/>
                <w:b/>
                <w:lang w:eastAsia="cs-CZ"/>
              </w:rPr>
            </w:pPr>
            <w:r w:rsidRPr="002B4812">
              <w:rPr>
                <w:rFonts w:eastAsia="Times New Roman" w:cs="Times New Roman"/>
                <w:b/>
                <w:color w:val="FF0000"/>
                <w:lang w:eastAsia="cs-CZ"/>
              </w:rPr>
              <w:tab/>
            </w:r>
            <w:r w:rsidRPr="002B4812">
              <w:rPr>
                <w:rFonts w:eastAsia="Times New Roman" w:cs="Times New Roman"/>
                <w:b/>
                <w:lang w:eastAsia="cs-CZ"/>
              </w:rPr>
              <w:t>71 507 925</w:t>
            </w:r>
          </w:p>
        </w:tc>
        <w:tc>
          <w:tcPr>
            <w:tcW w:w="1335" w:type="dxa"/>
            <w:tcBorders>
              <w:top w:val="single" w:sz="8" w:space="0" w:color="7F7F7F" w:themeColor="text1" w:themeTint="80"/>
              <w:bottom w:val="single" w:sz="8" w:space="0" w:color="7F7F7F" w:themeColor="text1" w:themeTint="80"/>
            </w:tcBorders>
            <w:shd w:val="clear" w:color="auto" w:fill="auto"/>
            <w:vAlign w:val="center"/>
          </w:tcPr>
          <w:p w14:paraId="7B98AB82" w14:textId="3A0AF5F9" w:rsidR="002B4812" w:rsidRPr="002B4812" w:rsidRDefault="002B4812" w:rsidP="002B4812">
            <w:pPr>
              <w:jc w:val="right"/>
              <w:rPr>
                <w:rFonts w:eastAsia="Times New Roman" w:cs="Times New Roman"/>
                <w:b/>
                <w:lang w:eastAsia="cs-CZ"/>
              </w:rPr>
            </w:pPr>
            <w:r w:rsidRPr="002B4812">
              <w:rPr>
                <w:rFonts w:eastAsia="Times New Roman" w:cs="Times New Roman"/>
                <w:b/>
                <w:lang w:eastAsia="cs-CZ"/>
              </w:rPr>
              <w:t>57 865 239</w:t>
            </w:r>
          </w:p>
        </w:tc>
        <w:tc>
          <w:tcPr>
            <w:tcW w:w="1361" w:type="dxa"/>
            <w:tcBorders>
              <w:top w:val="single" w:sz="8" w:space="0" w:color="7F7F7F" w:themeColor="text1" w:themeTint="80"/>
              <w:bottom w:val="single" w:sz="8" w:space="0" w:color="7F7F7F" w:themeColor="text1" w:themeTint="80"/>
            </w:tcBorders>
            <w:shd w:val="clear" w:color="auto" w:fill="auto"/>
            <w:vAlign w:val="center"/>
          </w:tcPr>
          <w:p w14:paraId="2AF89EC7" w14:textId="646D443E" w:rsidR="002B4812" w:rsidRPr="002B4812" w:rsidRDefault="002B4812" w:rsidP="002B4812">
            <w:pPr>
              <w:jc w:val="right"/>
              <w:rPr>
                <w:rFonts w:eastAsia="Times New Roman" w:cs="Times New Roman"/>
                <w:b/>
                <w:lang w:eastAsia="cs-CZ"/>
              </w:rPr>
            </w:pPr>
            <w:r w:rsidRPr="002B4812">
              <w:rPr>
                <w:rFonts w:eastAsia="Times New Roman" w:cs="Times New Roman"/>
                <w:b/>
                <w:lang w:eastAsia="cs-CZ"/>
              </w:rPr>
              <w:t>82 087 335</w:t>
            </w:r>
          </w:p>
        </w:tc>
        <w:tc>
          <w:tcPr>
            <w:tcW w:w="1077" w:type="dxa"/>
            <w:tcBorders>
              <w:top w:val="single" w:sz="8" w:space="0" w:color="7F7F7F" w:themeColor="text1" w:themeTint="80"/>
              <w:bottom w:val="single" w:sz="8" w:space="0" w:color="7F7F7F" w:themeColor="text1" w:themeTint="80"/>
            </w:tcBorders>
            <w:shd w:val="clear" w:color="auto" w:fill="auto"/>
            <w:vAlign w:val="center"/>
          </w:tcPr>
          <w:p w14:paraId="1EEFF836" w14:textId="00534D3B" w:rsidR="002B4812" w:rsidRPr="002B4812" w:rsidRDefault="002B4812" w:rsidP="002B4812">
            <w:pPr>
              <w:jc w:val="right"/>
              <w:rPr>
                <w:rFonts w:eastAsia="Times New Roman" w:cs="Times New Roman"/>
                <w:b/>
                <w:lang w:eastAsia="cs-CZ"/>
              </w:rPr>
            </w:pPr>
            <w:r w:rsidRPr="002B4812">
              <w:rPr>
                <w:rFonts w:eastAsia="Times New Roman" w:cs="Times New Roman"/>
                <w:b/>
                <w:lang w:eastAsia="cs-CZ"/>
              </w:rPr>
              <w:t>141,86</w:t>
            </w:r>
          </w:p>
        </w:tc>
      </w:tr>
      <w:tr w:rsidR="002B4812" w:rsidRPr="002B4812" w14:paraId="0FAB482C" w14:textId="77777777" w:rsidTr="00D07D18">
        <w:trPr>
          <w:tblHeader/>
        </w:trPr>
        <w:tc>
          <w:tcPr>
            <w:tcW w:w="3959" w:type="dxa"/>
            <w:tcBorders>
              <w:top w:val="single" w:sz="8" w:space="0" w:color="7F7F7F" w:themeColor="text1" w:themeTint="80"/>
            </w:tcBorders>
            <w:shd w:val="clear" w:color="auto" w:fill="auto"/>
          </w:tcPr>
          <w:p w14:paraId="03E8C567" w14:textId="77777777" w:rsidR="002B4812" w:rsidRPr="002B4812" w:rsidRDefault="002B4812" w:rsidP="002B4812">
            <w:pPr>
              <w:rPr>
                <w:rFonts w:eastAsia="Times New Roman" w:cs="Times New Roman"/>
                <w:lang w:eastAsia="cs-CZ"/>
              </w:rPr>
            </w:pPr>
            <w:r w:rsidRPr="002B4812">
              <w:rPr>
                <w:rFonts w:eastAsia="Times New Roman" w:cs="Times New Roman"/>
                <w:lang w:eastAsia="cs-CZ"/>
              </w:rPr>
              <w:t>organizační složky státu</w:t>
            </w:r>
          </w:p>
        </w:tc>
        <w:tc>
          <w:tcPr>
            <w:tcW w:w="1347" w:type="dxa"/>
            <w:tcBorders>
              <w:top w:val="single" w:sz="8" w:space="0" w:color="7F7F7F" w:themeColor="text1" w:themeTint="80"/>
            </w:tcBorders>
            <w:shd w:val="clear" w:color="auto" w:fill="auto"/>
            <w:vAlign w:val="center"/>
          </w:tcPr>
          <w:p w14:paraId="13E9C02F" w14:textId="5A2F42C3"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291 967</w:t>
            </w:r>
          </w:p>
        </w:tc>
        <w:tc>
          <w:tcPr>
            <w:tcW w:w="1335" w:type="dxa"/>
            <w:tcBorders>
              <w:top w:val="single" w:sz="8" w:space="0" w:color="7F7F7F" w:themeColor="text1" w:themeTint="80"/>
            </w:tcBorders>
            <w:shd w:val="clear" w:color="auto" w:fill="auto"/>
            <w:vAlign w:val="center"/>
          </w:tcPr>
          <w:p w14:paraId="097E94A8" w14:textId="2C762054"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273 424</w:t>
            </w:r>
          </w:p>
        </w:tc>
        <w:tc>
          <w:tcPr>
            <w:tcW w:w="1361" w:type="dxa"/>
            <w:tcBorders>
              <w:top w:val="single" w:sz="8" w:space="0" w:color="7F7F7F" w:themeColor="text1" w:themeTint="80"/>
            </w:tcBorders>
            <w:shd w:val="clear" w:color="auto" w:fill="auto"/>
            <w:vAlign w:val="center"/>
          </w:tcPr>
          <w:p w14:paraId="5819B2BE" w14:textId="347D5117"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 xml:space="preserve">272 184 </w:t>
            </w:r>
          </w:p>
        </w:tc>
        <w:tc>
          <w:tcPr>
            <w:tcW w:w="1077" w:type="dxa"/>
            <w:tcBorders>
              <w:top w:val="single" w:sz="8" w:space="0" w:color="7F7F7F" w:themeColor="text1" w:themeTint="80"/>
            </w:tcBorders>
            <w:shd w:val="clear" w:color="auto" w:fill="auto"/>
            <w:vAlign w:val="center"/>
          </w:tcPr>
          <w:p w14:paraId="6CEB0853" w14:textId="04852FD5"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99,55</w:t>
            </w:r>
          </w:p>
        </w:tc>
      </w:tr>
      <w:tr w:rsidR="002B4812" w:rsidRPr="002B4812" w14:paraId="4583BAAD" w14:textId="77777777" w:rsidTr="00D07D18">
        <w:trPr>
          <w:tblHeader/>
        </w:trPr>
        <w:tc>
          <w:tcPr>
            <w:tcW w:w="3959" w:type="dxa"/>
            <w:shd w:val="clear" w:color="auto" w:fill="auto"/>
          </w:tcPr>
          <w:p w14:paraId="38FC88BE" w14:textId="77777777" w:rsidR="002B4812" w:rsidRPr="002B4812" w:rsidRDefault="002B4812" w:rsidP="002B4812">
            <w:pPr>
              <w:rPr>
                <w:rFonts w:eastAsia="Times New Roman" w:cs="Times New Roman"/>
                <w:lang w:eastAsia="cs-CZ"/>
              </w:rPr>
            </w:pPr>
            <w:r w:rsidRPr="002B4812">
              <w:rPr>
                <w:rFonts w:eastAsia="Times New Roman" w:cs="Times New Roman"/>
                <w:lang w:eastAsia="cs-CZ"/>
              </w:rPr>
              <w:t>příspěvkové a podobné organizace</w:t>
            </w:r>
          </w:p>
        </w:tc>
        <w:tc>
          <w:tcPr>
            <w:tcW w:w="1347" w:type="dxa"/>
            <w:shd w:val="clear" w:color="auto" w:fill="auto"/>
            <w:vAlign w:val="center"/>
          </w:tcPr>
          <w:p w14:paraId="4B16A2CF" w14:textId="0BCB4858"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434 042</w:t>
            </w:r>
          </w:p>
        </w:tc>
        <w:tc>
          <w:tcPr>
            <w:tcW w:w="1335" w:type="dxa"/>
            <w:shd w:val="clear" w:color="auto" w:fill="auto"/>
            <w:vAlign w:val="center"/>
          </w:tcPr>
          <w:p w14:paraId="3E70CB79" w14:textId="5C7BE93F"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15 609</w:t>
            </w:r>
          </w:p>
        </w:tc>
        <w:tc>
          <w:tcPr>
            <w:tcW w:w="1361" w:type="dxa"/>
            <w:shd w:val="clear" w:color="auto" w:fill="auto"/>
            <w:vAlign w:val="center"/>
          </w:tcPr>
          <w:p w14:paraId="083AA67F" w14:textId="30BD620B"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10 205</w:t>
            </w:r>
          </w:p>
        </w:tc>
        <w:tc>
          <w:tcPr>
            <w:tcW w:w="1077" w:type="dxa"/>
            <w:shd w:val="clear" w:color="auto" w:fill="auto"/>
            <w:vAlign w:val="center"/>
          </w:tcPr>
          <w:p w14:paraId="4D11F8D4" w14:textId="4B458DAE"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65,38</w:t>
            </w:r>
          </w:p>
        </w:tc>
      </w:tr>
      <w:tr w:rsidR="002B4812" w:rsidRPr="002B4812" w14:paraId="032B1B84" w14:textId="77777777" w:rsidTr="00D07D18">
        <w:trPr>
          <w:tblHeader/>
        </w:trPr>
        <w:tc>
          <w:tcPr>
            <w:tcW w:w="3959" w:type="dxa"/>
            <w:shd w:val="clear" w:color="auto" w:fill="auto"/>
          </w:tcPr>
          <w:p w14:paraId="699D5AA2" w14:textId="77777777" w:rsidR="002B4812" w:rsidRPr="002B4812" w:rsidRDefault="002B4812" w:rsidP="002B4812">
            <w:pPr>
              <w:rPr>
                <w:rFonts w:eastAsia="Times New Roman" w:cs="Times New Roman"/>
                <w:lang w:eastAsia="cs-CZ"/>
              </w:rPr>
            </w:pPr>
            <w:r w:rsidRPr="002B4812">
              <w:rPr>
                <w:rFonts w:eastAsia="Times New Roman" w:cs="Times New Roman"/>
                <w:lang w:eastAsia="cs-CZ"/>
              </w:rPr>
              <w:t>podnikatelské subjekty</w:t>
            </w:r>
          </w:p>
        </w:tc>
        <w:tc>
          <w:tcPr>
            <w:tcW w:w="1347" w:type="dxa"/>
            <w:shd w:val="clear" w:color="auto" w:fill="auto"/>
            <w:vAlign w:val="center"/>
          </w:tcPr>
          <w:p w14:paraId="54AAE63F" w14:textId="6582CD7A"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978 544</w:t>
            </w:r>
          </w:p>
        </w:tc>
        <w:tc>
          <w:tcPr>
            <w:tcW w:w="1335" w:type="dxa"/>
            <w:shd w:val="clear" w:color="auto" w:fill="auto"/>
            <w:vAlign w:val="center"/>
          </w:tcPr>
          <w:p w14:paraId="3B4FE038" w14:textId="51B0098F"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0</w:t>
            </w:r>
          </w:p>
        </w:tc>
        <w:tc>
          <w:tcPr>
            <w:tcW w:w="1361" w:type="dxa"/>
            <w:shd w:val="clear" w:color="auto" w:fill="auto"/>
            <w:vAlign w:val="center"/>
          </w:tcPr>
          <w:p w14:paraId="02599C50" w14:textId="5ED9A97C"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0</w:t>
            </w:r>
          </w:p>
        </w:tc>
        <w:tc>
          <w:tcPr>
            <w:tcW w:w="1077" w:type="dxa"/>
            <w:shd w:val="clear" w:color="auto" w:fill="auto"/>
            <w:vAlign w:val="center"/>
          </w:tcPr>
          <w:p w14:paraId="42CE65FB" w14:textId="61D1FA8C"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x</w:t>
            </w:r>
          </w:p>
        </w:tc>
      </w:tr>
      <w:tr w:rsidR="002B4812" w:rsidRPr="002B4812" w14:paraId="1B4FA14F" w14:textId="77777777" w:rsidTr="00D07D18">
        <w:trPr>
          <w:tblHeader/>
        </w:trPr>
        <w:tc>
          <w:tcPr>
            <w:tcW w:w="3959" w:type="dxa"/>
            <w:shd w:val="clear" w:color="auto" w:fill="auto"/>
          </w:tcPr>
          <w:p w14:paraId="27CB4C74" w14:textId="77777777" w:rsidR="002B4812" w:rsidRPr="002B4812" w:rsidRDefault="002B4812" w:rsidP="002B4812">
            <w:pPr>
              <w:rPr>
                <w:rFonts w:eastAsia="Times New Roman" w:cs="Times New Roman"/>
                <w:lang w:eastAsia="cs-CZ"/>
              </w:rPr>
            </w:pPr>
            <w:r w:rsidRPr="002B4812">
              <w:rPr>
                <w:rFonts w:eastAsia="Times New Roman" w:cs="Times New Roman"/>
                <w:lang w:eastAsia="cs-CZ"/>
              </w:rPr>
              <w:t>neziskové a podobné organizace</w:t>
            </w:r>
          </w:p>
        </w:tc>
        <w:tc>
          <w:tcPr>
            <w:tcW w:w="1347" w:type="dxa"/>
            <w:shd w:val="clear" w:color="auto" w:fill="auto"/>
            <w:vAlign w:val="center"/>
          </w:tcPr>
          <w:p w14:paraId="3D40CC25" w14:textId="5A2CFB16"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2 176</w:t>
            </w:r>
          </w:p>
        </w:tc>
        <w:tc>
          <w:tcPr>
            <w:tcW w:w="1335" w:type="dxa"/>
            <w:shd w:val="clear" w:color="auto" w:fill="auto"/>
            <w:vAlign w:val="center"/>
          </w:tcPr>
          <w:p w14:paraId="79E4754A" w14:textId="21BD0C4A"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0</w:t>
            </w:r>
          </w:p>
        </w:tc>
        <w:tc>
          <w:tcPr>
            <w:tcW w:w="1361" w:type="dxa"/>
            <w:shd w:val="clear" w:color="auto" w:fill="auto"/>
            <w:vAlign w:val="center"/>
          </w:tcPr>
          <w:p w14:paraId="4C748D85" w14:textId="7EF11E7C"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0</w:t>
            </w:r>
          </w:p>
        </w:tc>
        <w:tc>
          <w:tcPr>
            <w:tcW w:w="1077" w:type="dxa"/>
            <w:shd w:val="clear" w:color="auto" w:fill="auto"/>
            <w:vAlign w:val="center"/>
          </w:tcPr>
          <w:p w14:paraId="2E66080D" w14:textId="372C8C1A"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x</w:t>
            </w:r>
          </w:p>
        </w:tc>
      </w:tr>
      <w:tr w:rsidR="002B4812" w:rsidRPr="002B4812" w14:paraId="06922C82" w14:textId="77777777" w:rsidTr="00D07D18">
        <w:trPr>
          <w:tblHeader/>
        </w:trPr>
        <w:tc>
          <w:tcPr>
            <w:tcW w:w="3959" w:type="dxa"/>
            <w:shd w:val="clear" w:color="auto" w:fill="auto"/>
          </w:tcPr>
          <w:p w14:paraId="58EC0B38" w14:textId="77777777" w:rsidR="002B4812" w:rsidRPr="002B4812" w:rsidRDefault="002B4812" w:rsidP="002B4812">
            <w:pPr>
              <w:rPr>
                <w:rFonts w:eastAsia="Times New Roman" w:cs="Times New Roman"/>
                <w:lang w:eastAsia="cs-CZ"/>
              </w:rPr>
            </w:pPr>
            <w:r w:rsidRPr="002B4812">
              <w:rPr>
                <w:rFonts w:eastAsia="Times New Roman" w:cs="Times New Roman"/>
                <w:lang w:eastAsia="cs-CZ"/>
              </w:rPr>
              <w:t>státní fondy</w:t>
            </w:r>
          </w:p>
        </w:tc>
        <w:tc>
          <w:tcPr>
            <w:tcW w:w="1347" w:type="dxa"/>
            <w:shd w:val="clear" w:color="auto" w:fill="auto"/>
            <w:vAlign w:val="center"/>
          </w:tcPr>
          <w:p w14:paraId="72775408" w14:textId="11C3F767"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69 801 196</w:t>
            </w:r>
          </w:p>
        </w:tc>
        <w:tc>
          <w:tcPr>
            <w:tcW w:w="1335" w:type="dxa"/>
            <w:shd w:val="clear" w:color="auto" w:fill="auto"/>
            <w:vAlign w:val="center"/>
          </w:tcPr>
          <w:p w14:paraId="66DFBE4D" w14:textId="0A71EE74"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57 576 206</w:t>
            </w:r>
          </w:p>
        </w:tc>
        <w:tc>
          <w:tcPr>
            <w:tcW w:w="1361" w:type="dxa"/>
            <w:shd w:val="clear" w:color="auto" w:fill="auto"/>
            <w:vAlign w:val="center"/>
          </w:tcPr>
          <w:p w14:paraId="30947281" w14:textId="4F233504"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81 804 946</w:t>
            </w:r>
          </w:p>
        </w:tc>
        <w:tc>
          <w:tcPr>
            <w:tcW w:w="1077" w:type="dxa"/>
            <w:shd w:val="clear" w:color="auto" w:fill="auto"/>
            <w:vAlign w:val="center"/>
          </w:tcPr>
          <w:p w14:paraId="49F9933B" w14:textId="1C8453E2" w:rsidR="002B4812" w:rsidRPr="002B4812" w:rsidRDefault="002B4812" w:rsidP="002B4812">
            <w:pPr>
              <w:jc w:val="right"/>
              <w:rPr>
                <w:rFonts w:eastAsia="Times New Roman" w:cs="Times New Roman"/>
                <w:lang w:eastAsia="cs-CZ"/>
              </w:rPr>
            </w:pPr>
            <w:r w:rsidRPr="002B4812">
              <w:rPr>
                <w:rFonts w:eastAsia="Times New Roman" w:cs="Times New Roman"/>
                <w:lang w:eastAsia="cs-CZ"/>
              </w:rPr>
              <w:t>142,08</w:t>
            </w:r>
          </w:p>
        </w:tc>
      </w:tr>
    </w:tbl>
    <w:p w14:paraId="22BD049C" w14:textId="6CCFEB89" w:rsidR="00E740A3" w:rsidRPr="002B4812" w:rsidRDefault="002B4812" w:rsidP="00E740A3">
      <w:pPr>
        <w:pStyle w:val="Styl1"/>
        <w:spacing w:after="120"/>
        <w:rPr>
          <w:rFonts w:eastAsiaTheme="minorHAnsi" w:cstheme="minorBidi"/>
          <w:szCs w:val="22"/>
        </w:rPr>
      </w:pPr>
      <w:bookmarkStart w:id="221" w:name="_Toc115787310"/>
      <w:bookmarkStart w:id="222" w:name="_Toc115787900"/>
      <w:bookmarkEnd w:id="221"/>
      <w:bookmarkEnd w:id="222"/>
      <w:r w:rsidRPr="002B4812">
        <w:t xml:space="preserve">Výdaje vedené v informačním systému programového financování EDS/SMVS jsou oproti schválenému rozpočtu na rok 2024 vyšší o 24 222 096 tis. Kč, tj. o 41,86 %. Ke zvýšení dochází především u prostředků určených pro Státní fond dopravní infrastruktury, a to </w:t>
      </w:r>
      <w:r w:rsidR="00E740A3" w:rsidRPr="002B4812">
        <w:t>u prostředků určených na krytí deficitu SFDI</w:t>
      </w:r>
      <w:r w:rsidRPr="002B4812">
        <w:t>.</w:t>
      </w:r>
    </w:p>
    <w:p w14:paraId="78FF1DD4" w14:textId="5ECB7F7D" w:rsidR="007E1BD7" w:rsidRPr="00040A62" w:rsidRDefault="00BB459E" w:rsidP="007E1BD7">
      <w:pPr>
        <w:pStyle w:val="Nadpis3"/>
        <w:spacing w:before="120"/>
      </w:pPr>
      <w:bookmarkStart w:id="223" w:name="_Toc179964107"/>
      <w:r w:rsidRPr="00040A62">
        <w:t>Organizační složky státu</w:t>
      </w:r>
      <w:bookmarkEnd w:id="217"/>
      <w:bookmarkEnd w:id="218"/>
      <w:bookmarkEnd w:id="219"/>
      <w:bookmarkEnd w:id="220"/>
      <w:bookmarkEnd w:id="223"/>
    </w:p>
    <w:p w14:paraId="76BB7508" w14:textId="51B3C9D5" w:rsidR="001250B6" w:rsidRPr="00040A62" w:rsidRDefault="00040A62" w:rsidP="000F459C">
      <w:pPr>
        <w:pStyle w:val="Styl1"/>
      </w:pPr>
      <w:bookmarkStart w:id="224" w:name="_Toc304375452"/>
      <w:bookmarkStart w:id="225" w:name="_Toc305406310"/>
      <w:bookmarkStart w:id="226" w:name="_Toc462314403"/>
      <w:bookmarkStart w:id="227" w:name="_Toc489274110"/>
      <w:r w:rsidRPr="00040A62">
        <w:t>Výdaje vedené v EDS/SMVS jsou pro rozpočtový rok 2025 u organizačních složek státu</w:t>
      </w:r>
      <w:r w:rsidRPr="00040A62">
        <w:rPr>
          <w:b/>
          <w:bCs/>
        </w:rPr>
        <w:t xml:space="preserve"> </w:t>
      </w:r>
      <w:r w:rsidRPr="00040A62">
        <w:t>navrženy v celkové výši 272 184 tis. Kč. Druhové členění výdajů vykazuje následující tabulka</w:t>
      </w:r>
      <w:r w:rsidR="007E1BD7" w:rsidRPr="00040A62">
        <w:t xml:space="preserve">.     </w:t>
      </w:r>
    </w:p>
    <w:p w14:paraId="6B11647F" w14:textId="254D39D4" w:rsidR="007E1BD7" w:rsidRPr="00040A62" w:rsidRDefault="007E1BD7" w:rsidP="007E1BD7">
      <w:pPr>
        <w:keepNext/>
        <w:spacing w:before="120" w:after="120" w:line="240" w:lineRule="auto"/>
        <w:rPr>
          <w:rFonts w:eastAsia="Times New Roman" w:cs="Times New Roman"/>
          <w:b/>
          <w:bCs/>
          <w:noProof/>
          <w:sz w:val="20"/>
          <w:szCs w:val="20"/>
          <w:lang w:eastAsia="cs-CZ"/>
        </w:rPr>
      </w:pPr>
      <w:r w:rsidRPr="00040A62">
        <w:rPr>
          <w:rFonts w:eastAsia="Times New Roman" w:cs="Times New Roman"/>
          <w:b/>
          <w:bCs/>
          <w:sz w:val="20"/>
          <w:szCs w:val="20"/>
          <w:lang w:eastAsia="cs-CZ"/>
        </w:rPr>
        <w:t xml:space="preserve">Tabulka č. </w:t>
      </w:r>
      <w:r w:rsidRPr="00040A62">
        <w:rPr>
          <w:rFonts w:eastAsia="Times New Roman" w:cs="Times New Roman"/>
          <w:b/>
          <w:bCs/>
          <w:sz w:val="20"/>
          <w:szCs w:val="20"/>
          <w:lang w:eastAsia="cs-CZ"/>
        </w:rPr>
        <w:fldChar w:fldCharType="begin"/>
      </w:r>
      <w:r w:rsidRPr="00040A62">
        <w:rPr>
          <w:rFonts w:eastAsia="Times New Roman" w:cs="Times New Roman"/>
          <w:b/>
          <w:bCs/>
          <w:sz w:val="20"/>
          <w:szCs w:val="20"/>
          <w:lang w:eastAsia="cs-CZ"/>
        </w:rPr>
        <w:instrText xml:space="preserve"> SEQ Tabulka \* ARABIC </w:instrText>
      </w:r>
      <w:r w:rsidRPr="00040A62">
        <w:rPr>
          <w:rFonts w:eastAsia="Times New Roman" w:cs="Times New Roman"/>
          <w:b/>
          <w:bCs/>
          <w:sz w:val="20"/>
          <w:szCs w:val="20"/>
          <w:lang w:eastAsia="cs-CZ"/>
        </w:rPr>
        <w:fldChar w:fldCharType="separate"/>
      </w:r>
      <w:r w:rsidR="003B0B01" w:rsidRPr="00040A62">
        <w:rPr>
          <w:rFonts w:eastAsia="Times New Roman" w:cs="Times New Roman"/>
          <w:b/>
          <w:bCs/>
          <w:noProof/>
          <w:sz w:val="20"/>
          <w:szCs w:val="20"/>
          <w:lang w:eastAsia="cs-CZ"/>
        </w:rPr>
        <w:t>34</w:t>
      </w:r>
      <w:r w:rsidRPr="00040A62">
        <w:rPr>
          <w:rFonts w:eastAsia="Times New Roman" w:cs="Times New Roman"/>
          <w:b/>
          <w:bCs/>
          <w:noProof/>
          <w:sz w:val="20"/>
          <w:szCs w:val="20"/>
          <w:lang w:eastAsia="cs-CZ"/>
        </w:rPr>
        <w:fldChar w:fldCharType="end"/>
      </w:r>
      <w:r w:rsidRPr="00040A62">
        <w:rPr>
          <w:rFonts w:eastAsia="Times New Roman" w:cs="Times New Roman"/>
          <w:b/>
          <w:bCs/>
          <w:noProof/>
          <w:sz w:val="20"/>
          <w:szCs w:val="20"/>
          <w:lang w:eastAsia="cs-CZ"/>
        </w:rPr>
        <w:t xml:space="preserve"> Výdaje organizačních složek státu vedené v EDS/SMVS (v tis. Kč)</w:t>
      </w:r>
    </w:p>
    <w:tbl>
      <w:tblPr>
        <w:tblStyle w:val="Svtltabulkasmkou1zvraznn53"/>
        <w:tblW w:w="500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3"/>
        <w:gridCol w:w="1376"/>
        <w:gridCol w:w="1375"/>
        <w:gridCol w:w="1375"/>
        <w:gridCol w:w="1076"/>
      </w:tblGrid>
      <w:tr w:rsidR="007E1BD7" w:rsidRPr="00040A62" w14:paraId="3D2F4F44" w14:textId="77777777" w:rsidTr="001E02BC">
        <w:tc>
          <w:tcPr>
            <w:tcW w:w="212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494FE7"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Ukazatel</w:t>
            </w:r>
          </w:p>
        </w:tc>
        <w:tc>
          <w:tcPr>
            <w:tcW w:w="76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88B1CD2"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Skutečnost</w:t>
            </w:r>
          </w:p>
          <w:p w14:paraId="4BDD7E34" w14:textId="4B01E0B1"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202</w:t>
            </w:r>
            <w:r w:rsidR="00352F28">
              <w:rPr>
                <w:rFonts w:eastAsia="Times New Roman" w:cs="Times New Roman"/>
                <w:b/>
                <w:lang w:eastAsia="cs-CZ"/>
              </w:rPr>
              <w:t>3</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B3F6989"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Schválený rozpočet</w:t>
            </w:r>
          </w:p>
          <w:p w14:paraId="1AC05BAD" w14:textId="39FCD9C8"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202</w:t>
            </w:r>
            <w:r w:rsidR="00352F28">
              <w:rPr>
                <w:rFonts w:eastAsia="Times New Roman" w:cs="Times New Roman"/>
                <w:b/>
                <w:lang w:eastAsia="cs-CZ"/>
              </w:rPr>
              <w:t>4</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089CA72"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Návrh</w:t>
            </w:r>
          </w:p>
          <w:p w14:paraId="21286603"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rozpočtu</w:t>
            </w:r>
          </w:p>
          <w:p w14:paraId="25DE3877" w14:textId="6F2849B8"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202</w:t>
            </w:r>
            <w:r w:rsidR="00352F28">
              <w:rPr>
                <w:rFonts w:eastAsia="Times New Roman" w:cs="Times New Roman"/>
                <w:b/>
                <w:lang w:eastAsia="cs-CZ"/>
              </w:rPr>
              <w:t>5</w:t>
            </w:r>
          </w:p>
        </w:tc>
        <w:tc>
          <w:tcPr>
            <w:tcW w:w="5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928E99F"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Index</w:t>
            </w:r>
          </w:p>
          <w:p w14:paraId="1197620A" w14:textId="4E04A4F8"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202</w:t>
            </w:r>
            <w:r w:rsidR="00352F28">
              <w:rPr>
                <w:rFonts w:eastAsia="Times New Roman" w:cs="Times New Roman"/>
                <w:b/>
                <w:lang w:eastAsia="cs-CZ"/>
              </w:rPr>
              <w:t>5</w:t>
            </w:r>
            <w:r w:rsidRPr="00040A62">
              <w:rPr>
                <w:rFonts w:eastAsia="Times New Roman" w:cs="Times New Roman"/>
                <w:b/>
                <w:lang w:eastAsia="cs-CZ"/>
              </w:rPr>
              <w:t>/</w:t>
            </w:r>
            <w:r w:rsidRPr="00040A62">
              <w:rPr>
                <w:rFonts w:eastAsia="Times New Roman" w:cs="Times New Roman"/>
                <w:b/>
                <w:lang w:eastAsia="cs-CZ"/>
              </w:rPr>
              <w:br/>
              <w:t>202</w:t>
            </w:r>
            <w:r w:rsidR="00352F28">
              <w:rPr>
                <w:rFonts w:eastAsia="Times New Roman" w:cs="Times New Roman"/>
                <w:b/>
                <w:lang w:eastAsia="cs-CZ"/>
              </w:rPr>
              <w:t>4</w:t>
            </w:r>
          </w:p>
          <w:p w14:paraId="7798D4F9"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(v %)</w:t>
            </w:r>
          </w:p>
        </w:tc>
      </w:tr>
      <w:tr w:rsidR="007E1BD7" w:rsidRPr="00040A62" w14:paraId="6C98D488" w14:textId="77777777" w:rsidTr="001E02BC">
        <w:tc>
          <w:tcPr>
            <w:tcW w:w="2128" w:type="pct"/>
            <w:tcBorders>
              <w:top w:val="single" w:sz="4" w:space="0" w:color="7F7F7F" w:themeColor="text1" w:themeTint="80"/>
              <w:bottom w:val="single" w:sz="8" w:space="0" w:color="7F7F7F" w:themeColor="text1" w:themeTint="80"/>
            </w:tcBorders>
            <w:shd w:val="clear" w:color="auto" w:fill="auto"/>
          </w:tcPr>
          <w:p w14:paraId="5B00B274" w14:textId="77777777" w:rsidR="007E1BD7" w:rsidRPr="00040A62" w:rsidRDefault="007E1BD7" w:rsidP="001E02BC">
            <w:pPr>
              <w:jc w:val="center"/>
              <w:rPr>
                <w:rFonts w:eastAsia="Times New Roman" w:cs="Times New Roman"/>
                <w:lang w:eastAsia="cs-CZ"/>
              </w:rPr>
            </w:pPr>
            <w:r w:rsidRPr="00040A62">
              <w:rPr>
                <w:rFonts w:eastAsia="Times New Roman" w:cs="Times New Roman"/>
                <w:lang w:eastAsia="cs-CZ"/>
              </w:rPr>
              <w:t>a</w:t>
            </w:r>
          </w:p>
        </w:tc>
        <w:tc>
          <w:tcPr>
            <w:tcW w:w="760" w:type="pct"/>
            <w:tcBorders>
              <w:top w:val="single" w:sz="4" w:space="0" w:color="7F7F7F" w:themeColor="text1" w:themeTint="80"/>
              <w:bottom w:val="single" w:sz="8" w:space="0" w:color="7F7F7F" w:themeColor="text1" w:themeTint="80"/>
            </w:tcBorders>
            <w:shd w:val="clear" w:color="auto" w:fill="auto"/>
          </w:tcPr>
          <w:p w14:paraId="44CAE24F" w14:textId="77777777" w:rsidR="007E1BD7" w:rsidRPr="00040A62" w:rsidRDefault="007E1BD7" w:rsidP="001E02BC">
            <w:pPr>
              <w:jc w:val="center"/>
              <w:rPr>
                <w:rFonts w:eastAsia="Times New Roman" w:cs="Times New Roman"/>
                <w:lang w:eastAsia="cs-CZ"/>
              </w:rPr>
            </w:pPr>
            <w:r w:rsidRPr="00040A62">
              <w:rPr>
                <w:rFonts w:eastAsia="Times New Roman" w:cs="Times New Roman"/>
                <w:lang w:eastAsia="cs-CZ"/>
              </w:rPr>
              <w:t>1</w:t>
            </w:r>
          </w:p>
        </w:tc>
        <w:tc>
          <w:tcPr>
            <w:tcW w:w="759" w:type="pct"/>
            <w:tcBorders>
              <w:top w:val="single" w:sz="4" w:space="0" w:color="7F7F7F" w:themeColor="text1" w:themeTint="80"/>
              <w:bottom w:val="single" w:sz="8" w:space="0" w:color="7F7F7F" w:themeColor="text1" w:themeTint="80"/>
            </w:tcBorders>
            <w:shd w:val="clear" w:color="auto" w:fill="auto"/>
          </w:tcPr>
          <w:p w14:paraId="3658C631" w14:textId="77777777" w:rsidR="007E1BD7" w:rsidRPr="00040A62" w:rsidRDefault="007E1BD7" w:rsidP="001E02BC">
            <w:pPr>
              <w:jc w:val="center"/>
              <w:rPr>
                <w:rFonts w:eastAsia="Times New Roman" w:cs="Times New Roman"/>
                <w:lang w:eastAsia="cs-CZ"/>
              </w:rPr>
            </w:pPr>
            <w:r w:rsidRPr="00040A62">
              <w:rPr>
                <w:rFonts w:eastAsia="Times New Roman" w:cs="Times New Roman"/>
                <w:lang w:eastAsia="cs-CZ"/>
              </w:rPr>
              <w:t>2</w:t>
            </w:r>
          </w:p>
        </w:tc>
        <w:tc>
          <w:tcPr>
            <w:tcW w:w="759" w:type="pct"/>
            <w:tcBorders>
              <w:top w:val="single" w:sz="4" w:space="0" w:color="7F7F7F" w:themeColor="text1" w:themeTint="80"/>
              <w:bottom w:val="single" w:sz="8" w:space="0" w:color="7F7F7F" w:themeColor="text1" w:themeTint="80"/>
            </w:tcBorders>
            <w:shd w:val="clear" w:color="auto" w:fill="auto"/>
          </w:tcPr>
          <w:p w14:paraId="06B8294F" w14:textId="77777777" w:rsidR="007E1BD7" w:rsidRPr="00040A62" w:rsidRDefault="007E1BD7" w:rsidP="001E02BC">
            <w:pPr>
              <w:jc w:val="center"/>
              <w:rPr>
                <w:rFonts w:eastAsia="Times New Roman" w:cs="Times New Roman"/>
                <w:lang w:eastAsia="cs-CZ"/>
              </w:rPr>
            </w:pPr>
            <w:r w:rsidRPr="00040A62">
              <w:rPr>
                <w:rFonts w:eastAsia="Times New Roman" w:cs="Times New Roman"/>
                <w:lang w:eastAsia="cs-CZ"/>
              </w:rPr>
              <w:t>3</w:t>
            </w:r>
          </w:p>
        </w:tc>
        <w:tc>
          <w:tcPr>
            <w:tcW w:w="594" w:type="pct"/>
            <w:tcBorders>
              <w:top w:val="single" w:sz="4" w:space="0" w:color="7F7F7F" w:themeColor="text1" w:themeTint="80"/>
              <w:bottom w:val="single" w:sz="8" w:space="0" w:color="7F7F7F" w:themeColor="text1" w:themeTint="80"/>
            </w:tcBorders>
            <w:shd w:val="clear" w:color="auto" w:fill="auto"/>
          </w:tcPr>
          <w:p w14:paraId="62157791" w14:textId="77777777" w:rsidR="007E1BD7" w:rsidRPr="00040A62" w:rsidRDefault="007E1BD7" w:rsidP="001E02BC">
            <w:pPr>
              <w:jc w:val="center"/>
              <w:rPr>
                <w:rFonts w:eastAsia="Times New Roman" w:cs="Times New Roman"/>
                <w:lang w:eastAsia="cs-CZ"/>
              </w:rPr>
            </w:pPr>
            <w:r w:rsidRPr="00040A62">
              <w:rPr>
                <w:rFonts w:eastAsia="Times New Roman" w:cs="Times New Roman"/>
                <w:lang w:eastAsia="cs-CZ"/>
              </w:rPr>
              <w:t>4</w:t>
            </w:r>
          </w:p>
        </w:tc>
      </w:tr>
      <w:tr w:rsidR="00040A62" w:rsidRPr="00040A62" w14:paraId="2C008DBA" w14:textId="77777777" w:rsidTr="001E02BC">
        <w:tc>
          <w:tcPr>
            <w:tcW w:w="2128" w:type="pct"/>
            <w:tcBorders>
              <w:top w:val="single" w:sz="8" w:space="0" w:color="7F7F7F" w:themeColor="text1" w:themeTint="80"/>
              <w:bottom w:val="single" w:sz="4" w:space="0" w:color="auto"/>
            </w:tcBorders>
            <w:shd w:val="clear" w:color="auto" w:fill="auto"/>
          </w:tcPr>
          <w:p w14:paraId="3E1E63F6" w14:textId="77777777" w:rsidR="00040A62" w:rsidRPr="00040A62" w:rsidRDefault="00040A62" w:rsidP="00040A62">
            <w:pPr>
              <w:jc w:val="left"/>
              <w:rPr>
                <w:rFonts w:eastAsia="Times New Roman" w:cs="Times New Roman"/>
                <w:b/>
                <w:lang w:eastAsia="cs-CZ"/>
              </w:rPr>
            </w:pPr>
            <w:r w:rsidRPr="00040A62">
              <w:rPr>
                <w:rFonts w:eastAsia="Times New Roman" w:cs="Times New Roman"/>
                <w:b/>
                <w:lang w:eastAsia="cs-CZ"/>
              </w:rPr>
              <w:t xml:space="preserve">Organizační složky státu celkem </w:t>
            </w:r>
            <w:r w:rsidRPr="00040A62">
              <w:rPr>
                <w:rFonts w:eastAsia="Times New Roman" w:cs="Times New Roman"/>
                <w:b/>
                <w:lang w:eastAsia="cs-CZ"/>
              </w:rPr>
              <w:br/>
            </w:r>
            <w:r w:rsidRPr="00040A62">
              <w:rPr>
                <w:rFonts w:eastAsia="Times New Roman" w:cs="Times New Roman"/>
                <w:lang w:eastAsia="cs-CZ"/>
              </w:rPr>
              <w:t>v tom:</w:t>
            </w:r>
            <w:r w:rsidRPr="00040A62">
              <w:rPr>
                <w:rFonts w:eastAsia="Times New Roman" w:cs="Times New Roman"/>
                <w:b/>
                <w:lang w:eastAsia="cs-CZ"/>
              </w:rPr>
              <w:t xml:space="preserve"> </w:t>
            </w:r>
          </w:p>
        </w:tc>
        <w:tc>
          <w:tcPr>
            <w:tcW w:w="760" w:type="pct"/>
            <w:tcBorders>
              <w:top w:val="single" w:sz="8" w:space="0" w:color="7F7F7F" w:themeColor="text1" w:themeTint="80"/>
              <w:bottom w:val="single" w:sz="4" w:space="0" w:color="auto"/>
            </w:tcBorders>
            <w:shd w:val="clear" w:color="auto" w:fill="auto"/>
            <w:vAlign w:val="center"/>
          </w:tcPr>
          <w:p w14:paraId="2EEDA644" w14:textId="735BFC51" w:rsidR="00040A62" w:rsidRPr="00040A62" w:rsidRDefault="00040A62" w:rsidP="00040A62">
            <w:pPr>
              <w:jc w:val="right"/>
              <w:rPr>
                <w:rFonts w:eastAsia="Times New Roman" w:cs="Times New Roman"/>
                <w:b/>
                <w:lang w:eastAsia="cs-CZ"/>
              </w:rPr>
            </w:pPr>
            <w:r w:rsidRPr="00040A62">
              <w:rPr>
                <w:rFonts w:eastAsia="Times New Roman" w:cs="Times New Roman"/>
                <w:b/>
                <w:lang w:eastAsia="cs-CZ"/>
              </w:rPr>
              <w:t>291 967</w:t>
            </w:r>
          </w:p>
        </w:tc>
        <w:tc>
          <w:tcPr>
            <w:tcW w:w="759" w:type="pct"/>
            <w:tcBorders>
              <w:top w:val="single" w:sz="8" w:space="0" w:color="7F7F7F" w:themeColor="text1" w:themeTint="80"/>
              <w:bottom w:val="single" w:sz="4" w:space="0" w:color="auto"/>
            </w:tcBorders>
            <w:shd w:val="clear" w:color="auto" w:fill="auto"/>
            <w:vAlign w:val="center"/>
          </w:tcPr>
          <w:p w14:paraId="6E1046A2" w14:textId="2F7B3CB3" w:rsidR="00040A62" w:rsidRPr="00040A62" w:rsidRDefault="00040A62" w:rsidP="00040A62">
            <w:pPr>
              <w:jc w:val="right"/>
              <w:rPr>
                <w:rFonts w:eastAsia="Times New Roman" w:cs="Times New Roman"/>
                <w:b/>
                <w:lang w:eastAsia="cs-CZ"/>
              </w:rPr>
            </w:pPr>
            <w:r w:rsidRPr="00040A62">
              <w:rPr>
                <w:rFonts w:eastAsia="Times New Roman" w:cs="Times New Roman"/>
                <w:b/>
                <w:lang w:eastAsia="cs-CZ"/>
              </w:rPr>
              <w:t xml:space="preserve">273 424 </w:t>
            </w:r>
          </w:p>
        </w:tc>
        <w:tc>
          <w:tcPr>
            <w:tcW w:w="759" w:type="pct"/>
            <w:tcBorders>
              <w:top w:val="single" w:sz="8" w:space="0" w:color="7F7F7F" w:themeColor="text1" w:themeTint="80"/>
              <w:bottom w:val="single" w:sz="4" w:space="0" w:color="auto"/>
            </w:tcBorders>
            <w:shd w:val="clear" w:color="auto" w:fill="auto"/>
            <w:vAlign w:val="center"/>
          </w:tcPr>
          <w:p w14:paraId="01729D15" w14:textId="63A38904" w:rsidR="00040A62" w:rsidRPr="00040A62" w:rsidRDefault="00040A62" w:rsidP="00040A62">
            <w:pPr>
              <w:jc w:val="right"/>
              <w:rPr>
                <w:rFonts w:eastAsia="Times New Roman" w:cs="Times New Roman"/>
                <w:b/>
                <w:lang w:eastAsia="cs-CZ"/>
              </w:rPr>
            </w:pPr>
            <w:r w:rsidRPr="00040A62">
              <w:rPr>
                <w:rFonts w:eastAsia="Times New Roman" w:cs="Times New Roman"/>
                <w:b/>
                <w:lang w:eastAsia="cs-CZ"/>
              </w:rPr>
              <w:t>272 184</w:t>
            </w:r>
          </w:p>
        </w:tc>
        <w:tc>
          <w:tcPr>
            <w:tcW w:w="594" w:type="pct"/>
            <w:tcBorders>
              <w:top w:val="single" w:sz="8" w:space="0" w:color="7F7F7F" w:themeColor="text1" w:themeTint="80"/>
              <w:bottom w:val="single" w:sz="4" w:space="0" w:color="auto"/>
            </w:tcBorders>
            <w:shd w:val="clear" w:color="auto" w:fill="auto"/>
            <w:vAlign w:val="center"/>
          </w:tcPr>
          <w:p w14:paraId="2500D538" w14:textId="1FF3E040" w:rsidR="00040A62" w:rsidRPr="00040A62" w:rsidRDefault="00040A62" w:rsidP="00040A62">
            <w:pPr>
              <w:jc w:val="right"/>
              <w:rPr>
                <w:rFonts w:eastAsia="Times New Roman" w:cs="Times New Roman"/>
                <w:b/>
                <w:lang w:eastAsia="cs-CZ"/>
              </w:rPr>
            </w:pPr>
            <w:r w:rsidRPr="00040A62">
              <w:rPr>
                <w:rFonts w:eastAsia="Times New Roman" w:cs="Times New Roman"/>
                <w:b/>
                <w:lang w:eastAsia="cs-CZ"/>
              </w:rPr>
              <w:t>99,55</w:t>
            </w:r>
          </w:p>
        </w:tc>
      </w:tr>
      <w:tr w:rsidR="00040A62" w:rsidRPr="00040A62" w14:paraId="0411FE07" w14:textId="77777777" w:rsidTr="001E02BC">
        <w:tc>
          <w:tcPr>
            <w:tcW w:w="2128" w:type="pct"/>
            <w:tcBorders>
              <w:top w:val="single" w:sz="4" w:space="0" w:color="auto"/>
              <w:bottom w:val="nil"/>
            </w:tcBorders>
            <w:shd w:val="clear" w:color="auto" w:fill="auto"/>
          </w:tcPr>
          <w:p w14:paraId="2C49E962" w14:textId="77777777" w:rsidR="00040A62" w:rsidRPr="00040A62" w:rsidRDefault="00040A62" w:rsidP="00040A62">
            <w:pPr>
              <w:rPr>
                <w:rFonts w:eastAsia="Times New Roman" w:cs="Times New Roman"/>
                <w:lang w:eastAsia="cs-CZ"/>
              </w:rPr>
            </w:pPr>
            <w:r w:rsidRPr="00040A62">
              <w:rPr>
                <w:rFonts w:eastAsia="Times New Roman" w:cs="Times New Roman"/>
                <w:lang w:eastAsia="cs-CZ"/>
              </w:rPr>
              <w:lastRenderedPageBreak/>
              <w:t>běžné výdaje v tom:</w:t>
            </w:r>
          </w:p>
        </w:tc>
        <w:tc>
          <w:tcPr>
            <w:tcW w:w="760" w:type="pct"/>
            <w:tcBorders>
              <w:top w:val="single" w:sz="4" w:space="0" w:color="auto"/>
              <w:bottom w:val="nil"/>
            </w:tcBorders>
            <w:shd w:val="clear" w:color="auto" w:fill="auto"/>
            <w:vAlign w:val="center"/>
          </w:tcPr>
          <w:p w14:paraId="2A8B1767" w14:textId="091799B2"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153 307</w:t>
            </w:r>
          </w:p>
        </w:tc>
        <w:tc>
          <w:tcPr>
            <w:tcW w:w="759" w:type="pct"/>
            <w:tcBorders>
              <w:top w:val="single" w:sz="4" w:space="0" w:color="auto"/>
              <w:bottom w:val="nil"/>
            </w:tcBorders>
            <w:shd w:val="clear" w:color="auto" w:fill="auto"/>
            <w:vAlign w:val="center"/>
          </w:tcPr>
          <w:p w14:paraId="350D8E7E" w14:textId="082D4B78"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98 556</w:t>
            </w:r>
          </w:p>
        </w:tc>
        <w:tc>
          <w:tcPr>
            <w:tcW w:w="759" w:type="pct"/>
            <w:tcBorders>
              <w:top w:val="single" w:sz="4" w:space="0" w:color="auto"/>
              <w:bottom w:val="nil"/>
            </w:tcBorders>
            <w:shd w:val="clear" w:color="auto" w:fill="auto"/>
            <w:vAlign w:val="center"/>
          </w:tcPr>
          <w:p w14:paraId="64203F37" w14:textId="52DEE891"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139 869</w:t>
            </w:r>
          </w:p>
        </w:tc>
        <w:tc>
          <w:tcPr>
            <w:tcW w:w="594" w:type="pct"/>
            <w:tcBorders>
              <w:top w:val="single" w:sz="4" w:space="0" w:color="auto"/>
              <w:bottom w:val="nil"/>
            </w:tcBorders>
            <w:shd w:val="clear" w:color="auto" w:fill="auto"/>
            <w:vAlign w:val="center"/>
          </w:tcPr>
          <w:p w14:paraId="44261575" w14:textId="52732B72"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141,92</w:t>
            </w:r>
          </w:p>
        </w:tc>
      </w:tr>
      <w:tr w:rsidR="00040A62" w:rsidRPr="00040A62" w14:paraId="5C8CDAA2" w14:textId="77777777" w:rsidTr="001E02BC">
        <w:tc>
          <w:tcPr>
            <w:tcW w:w="2128" w:type="pct"/>
            <w:tcBorders>
              <w:top w:val="nil"/>
              <w:bottom w:val="nil"/>
              <w:right w:val="single" w:sz="4" w:space="0" w:color="7F7F7F" w:themeColor="text1" w:themeTint="80"/>
            </w:tcBorders>
            <w:shd w:val="clear" w:color="auto" w:fill="auto"/>
          </w:tcPr>
          <w:p w14:paraId="414B01D3" w14:textId="77777777" w:rsidR="00040A62" w:rsidRPr="00040A62" w:rsidRDefault="00040A62" w:rsidP="00040A62">
            <w:pPr>
              <w:rPr>
                <w:rFonts w:eastAsia="Times New Roman" w:cs="Times New Roman"/>
                <w:i/>
                <w:lang w:eastAsia="cs-CZ"/>
              </w:rPr>
            </w:pPr>
            <w:r w:rsidRPr="00040A62">
              <w:rPr>
                <w:rFonts w:eastAsia="Times New Roman" w:cs="Times New Roman"/>
                <w:i/>
                <w:lang w:eastAsia="cs-CZ"/>
              </w:rPr>
              <w:t xml:space="preserve">      prostředky SR</w:t>
            </w:r>
          </w:p>
        </w:tc>
        <w:tc>
          <w:tcPr>
            <w:tcW w:w="760"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7591C6BA" w14:textId="3D96910E"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153 074</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7481CDEB" w14:textId="5973486B"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98 556</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32C5B66B" w14:textId="4DC99AB2"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139 869</w:t>
            </w:r>
          </w:p>
        </w:tc>
        <w:tc>
          <w:tcPr>
            <w:tcW w:w="594" w:type="pct"/>
            <w:tcBorders>
              <w:top w:val="nil"/>
              <w:left w:val="single" w:sz="2" w:space="0" w:color="7F7F7F" w:themeColor="text1" w:themeTint="80"/>
              <w:bottom w:val="nil"/>
            </w:tcBorders>
            <w:shd w:val="clear" w:color="auto" w:fill="auto"/>
            <w:vAlign w:val="center"/>
          </w:tcPr>
          <w:p w14:paraId="65F3FF0F" w14:textId="24DD6FBD"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141,92</w:t>
            </w:r>
          </w:p>
        </w:tc>
      </w:tr>
      <w:tr w:rsidR="00040A62" w:rsidRPr="00040A62" w14:paraId="10D38A08" w14:textId="77777777" w:rsidTr="001E02BC">
        <w:trPr>
          <w:trHeight w:val="372"/>
        </w:trPr>
        <w:tc>
          <w:tcPr>
            <w:tcW w:w="2128" w:type="pct"/>
            <w:tcBorders>
              <w:top w:val="nil"/>
              <w:bottom w:val="single" w:sz="4" w:space="0" w:color="7F7F7F" w:themeColor="text1" w:themeTint="80"/>
              <w:right w:val="single" w:sz="4" w:space="0" w:color="7F7F7F" w:themeColor="text1" w:themeTint="80"/>
            </w:tcBorders>
            <w:shd w:val="clear" w:color="auto" w:fill="auto"/>
          </w:tcPr>
          <w:p w14:paraId="22AC602E" w14:textId="77777777" w:rsidR="00040A62" w:rsidRPr="00040A62" w:rsidRDefault="00040A62" w:rsidP="00040A62">
            <w:pPr>
              <w:rPr>
                <w:rFonts w:eastAsia="Times New Roman" w:cs="Times New Roman"/>
                <w:i/>
                <w:lang w:eastAsia="cs-CZ"/>
              </w:rPr>
            </w:pPr>
            <w:r w:rsidRPr="00040A62">
              <w:rPr>
                <w:rFonts w:eastAsia="Times New Roman" w:cs="Times New Roman"/>
                <w:i/>
                <w:lang w:eastAsia="cs-CZ"/>
              </w:rPr>
              <w:t xml:space="preserve">      prostředky EU</w:t>
            </w:r>
          </w:p>
        </w:tc>
        <w:tc>
          <w:tcPr>
            <w:tcW w:w="760"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49F28AB2" w14:textId="4F41B327"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233</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78BF9B2A" w14:textId="7F177DDF"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0</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69B0858E" w14:textId="40C50837"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0</w:t>
            </w:r>
          </w:p>
        </w:tc>
        <w:tc>
          <w:tcPr>
            <w:tcW w:w="594" w:type="pct"/>
            <w:tcBorders>
              <w:top w:val="nil"/>
              <w:left w:val="single" w:sz="2" w:space="0" w:color="7F7F7F" w:themeColor="text1" w:themeTint="80"/>
              <w:bottom w:val="single" w:sz="2" w:space="0" w:color="7F7F7F" w:themeColor="text1" w:themeTint="80"/>
            </w:tcBorders>
            <w:shd w:val="clear" w:color="auto" w:fill="auto"/>
            <w:vAlign w:val="center"/>
          </w:tcPr>
          <w:p w14:paraId="3400769F" w14:textId="5D3F886F"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x</w:t>
            </w:r>
          </w:p>
        </w:tc>
      </w:tr>
      <w:tr w:rsidR="00040A62" w:rsidRPr="00040A62" w14:paraId="583CC6C8" w14:textId="77777777" w:rsidTr="001E02BC">
        <w:tc>
          <w:tcPr>
            <w:tcW w:w="2128" w:type="pct"/>
            <w:tcBorders>
              <w:top w:val="single" w:sz="4" w:space="0" w:color="7F7F7F" w:themeColor="text1" w:themeTint="80"/>
              <w:bottom w:val="nil"/>
            </w:tcBorders>
            <w:shd w:val="clear" w:color="auto" w:fill="auto"/>
          </w:tcPr>
          <w:p w14:paraId="1E630756" w14:textId="77777777" w:rsidR="00040A62" w:rsidRPr="00040A62" w:rsidRDefault="00040A62" w:rsidP="00040A62">
            <w:pPr>
              <w:spacing w:before="60"/>
              <w:rPr>
                <w:rFonts w:eastAsia="Times New Roman" w:cs="Times New Roman"/>
                <w:lang w:eastAsia="cs-CZ"/>
              </w:rPr>
            </w:pPr>
            <w:r w:rsidRPr="00040A62">
              <w:rPr>
                <w:rFonts w:eastAsia="Times New Roman" w:cs="Times New Roman"/>
                <w:lang w:eastAsia="cs-CZ"/>
              </w:rPr>
              <w:t>kapitálové výdaje v tom:</w:t>
            </w:r>
          </w:p>
        </w:tc>
        <w:tc>
          <w:tcPr>
            <w:tcW w:w="760" w:type="pct"/>
            <w:tcBorders>
              <w:top w:val="single" w:sz="2" w:space="0" w:color="7F7F7F" w:themeColor="text1" w:themeTint="80"/>
              <w:bottom w:val="nil"/>
            </w:tcBorders>
            <w:shd w:val="clear" w:color="auto" w:fill="auto"/>
            <w:vAlign w:val="center"/>
          </w:tcPr>
          <w:p w14:paraId="581D2B15" w14:textId="6CCB41CC" w:rsidR="00040A62" w:rsidRPr="00040A62" w:rsidRDefault="00040A62" w:rsidP="00040A62">
            <w:pPr>
              <w:spacing w:before="60"/>
              <w:jc w:val="right"/>
              <w:rPr>
                <w:rFonts w:eastAsia="Times New Roman" w:cs="Times New Roman"/>
                <w:lang w:eastAsia="cs-CZ"/>
              </w:rPr>
            </w:pPr>
            <w:r w:rsidRPr="00040A62">
              <w:rPr>
                <w:rFonts w:eastAsia="Times New Roman" w:cs="Times New Roman"/>
                <w:lang w:eastAsia="cs-CZ"/>
              </w:rPr>
              <w:t>138 660</w:t>
            </w:r>
          </w:p>
        </w:tc>
        <w:tc>
          <w:tcPr>
            <w:tcW w:w="759" w:type="pct"/>
            <w:tcBorders>
              <w:top w:val="single" w:sz="2" w:space="0" w:color="7F7F7F" w:themeColor="text1" w:themeTint="80"/>
              <w:bottom w:val="nil"/>
            </w:tcBorders>
            <w:shd w:val="clear" w:color="auto" w:fill="auto"/>
            <w:vAlign w:val="center"/>
          </w:tcPr>
          <w:p w14:paraId="720AB159" w14:textId="67D6284B" w:rsidR="00040A62" w:rsidRPr="00040A62" w:rsidRDefault="00040A62" w:rsidP="00040A62">
            <w:pPr>
              <w:spacing w:before="60"/>
              <w:jc w:val="right"/>
              <w:rPr>
                <w:rFonts w:eastAsia="Times New Roman" w:cs="Times New Roman"/>
                <w:lang w:eastAsia="cs-CZ"/>
              </w:rPr>
            </w:pPr>
            <w:r w:rsidRPr="00040A62">
              <w:rPr>
                <w:rFonts w:eastAsia="Times New Roman" w:cs="Times New Roman"/>
                <w:lang w:eastAsia="cs-CZ"/>
              </w:rPr>
              <w:t>174 868</w:t>
            </w:r>
          </w:p>
        </w:tc>
        <w:tc>
          <w:tcPr>
            <w:tcW w:w="759" w:type="pct"/>
            <w:tcBorders>
              <w:top w:val="single" w:sz="2" w:space="0" w:color="7F7F7F" w:themeColor="text1" w:themeTint="80"/>
              <w:bottom w:val="nil"/>
            </w:tcBorders>
            <w:shd w:val="clear" w:color="auto" w:fill="auto"/>
            <w:vAlign w:val="center"/>
          </w:tcPr>
          <w:p w14:paraId="1F4292AE" w14:textId="02606FBA" w:rsidR="00040A62" w:rsidRPr="00040A62" w:rsidRDefault="00040A62" w:rsidP="00040A62">
            <w:pPr>
              <w:spacing w:before="60"/>
              <w:jc w:val="right"/>
              <w:rPr>
                <w:rFonts w:eastAsia="Times New Roman" w:cs="Times New Roman"/>
                <w:lang w:eastAsia="cs-CZ"/>
              </w:rPr>
            </w:pPr>
            <w:r w:rsidRPr="00040A62">
              <w:rPr>
                <w:rFonts w:eastAsia="Times New Roman" w:cs="Times New Roman"/>
                <w:lang w:eastAsia="cs-CZ"/>
              </w:rPr>
              <w:t>132 315</w:t>
            </w:r>
          </w:p>
        </w:tc>
        <w:tc>
          <w:tcPr>
            <w:tcW w:w="594" w:type="pct"/>
            <w:tcBorders>
              <w:top w:val="single" w:sz="2" w:space="0" w:color="7F7F7F" w:themeColor="text1" w:themeTint="80"/>
              <w:bottom w:val="nil"/>
            </w:tcBorders>
            <w:shd w:val="clear" w:color="auto" w:fill="auto"/>
            <w:vAlign w:val="center"/>
          </w:tcPr>
          <w:p w14:paraId="5801CDB0" w14:textId="5ECC9198" w:rsidR="00040A62" w:rsidRPr="00040A62" w:rsidRDefault="00040A62" w:rsidP="00040A62">
            <w:pPr>
              <w:spacing w:before="60"/>
              <w:jc w:val="right"/>
              <w:rPr>
                <w:rFonts w:eastAsia="Times New Roman" w:cs="Times New Roman"/>
                <w:lang w:eastAsia="cs-CZ"/>
              </w:rPr>
            </w:pPr>
            <w:r w:rsidRPr="00040A62">
              <w:rPr>
                <w:rFonts w:eastAsia="Times New Roman" w:cs="Times New Roman"/>
                <w:lang w:eastAsia="cs-CZ"/>
              </w:rPr>
              <w:t>75,67</w:t>
            </w:r>
          </w:p>
        </w:tc>
      </w:tr>
      <w:tr w:rsidR="00040A62" w:rsidRPr="00040A62" w14:paraId="6F0996EB" w14:textId="77777777" w:rsidTr="001E02BC">
        <w:tc>
          <w:tcPr>
            <w:tcW w:w="2128" w:type="pct"/>
            <w:tcBorders>
              <w:top w:val="nil"/>
              <w:bottom w:val="nil"/>
            </w:tcBorders>
            <w:shd w:val="clear" w:color="auto" w:fill="auto"/>
          </w:tcPr>
          <w:p w14:paraId="2EA2CB70" w14:textId="77777777" w:rsidR="00040A62" w:rsidRPr="00040A62" w:rsidRDefault="00040A62" w:rsidP="00040A62">
            <w:pPr>
              <w:rPr>
                <w:rFonts w:eastAsia="Times New Roman" w:cs="Times New Roman"/>
                <w:i/>
                <w:lang w:eastAsia="cs-CZ"/>
              </w:rPr>
            </w:pPr>
            <w:r w:rsidRPr="00040A62">
              <w:rPr>
                <w:rFonts w:eastAsia="Times New Roman" w:cs="Times New Roman"/>
                <w:i/>
                <w:lang w:eastAsia="cs-CZ"/>
              </w:rPr>
              <w:t xml:space="preserve">      prostředky SR</w:t>
            </w:r>
          </w:p>
        </w:tc>
        <w:tc>
          <w:tcPr>
            <w:tcW w:w="760" w:type="pct"/>
            <w:tcBorders>
              <w:top w:val="nil"/>
              <w:bottom w:val="nil"/>
            </w:tcBorders>
            <w:shd w:val="clear" w:color="auto" w:fill="auto"/>
            <w:vAlign w:val="center"/>
          </w:tcPr>
          <w:p w14:paraId="366346EE" w14:textId="66C21969"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131 388</w:t>
            </w:r>
          </w:p>
        </w:tc>
        <w:tc>
          <w:tcPr>
            <w:tcW w:w="759" w:type="pct"/>
            <w:tcBorders>
              <w:top w:val="nil"/>
              <w:bottom w:val="nil"/>
            </w:tcBorders>
            <w:shd w:val="clear" w:color="auto" w:fill="auto"/>
            <w:vAlign w:val="center"/>
          </w:tcPr>
          <w:p w14:paraId="19A4D7A1" w14:textId="5802AF63"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166 868</w:t>
            </w:r>
          </w:p>
        </w:tc>
        <w:tc>
          <w:tcPr>
            <w:tcW w:w="759" w:type="pct"/>
            <w:tcBorders>
              <w:top w:val="nil"/>
              <w:bottom w:val="nil"/>
            </w:tcBorders>
            <w:shd w:val="clear" w:color="auto" w:fill="auto"/>
            <w:vAlign w:val="center"/>
          </w:tcPr>
          <w:p w14:paraId="63F0F3AF" w14:textId="35F2F0FA"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132 315</w:t>
            </w:r>
          </w:p>
        </w:tc>
        <w:tc>
          <w:tcPr>
            <w:tcW w:w="594" w:type="pct"/>
            <w:tcBorders>
              <w:top w:val="nil"/>
              <w:bottom w:val="nil"/>
            </w:tcBorders>
            <w:shd w:val="clear" w:color="auto" w:fill="auto"/>
            <w:vAlign w:val="center"/>
          </w:tcPr>
          <w:p w14:paraId="2DC16342" w14:textId="378CCF7C"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79,29</w:t>
            </w:r>
          </w:p>
        </w:tc>
      </w:tr>
      <w:tr w:rsidR="00040A62" w:rsidRPr="00040A62" w14:paraId="148DDA66" w14:textId="77777777" w:rsidTr="001E02BC">
        <w:tc>
          <w:tcPr>
            <w:tcW w:w="2128" w:type="pct"/>
            <w:tcBorders>
              <w:top w:val="nil"/>
              <w:bottom w:val="single" w:sz="8" w:space="0" w:color="7F7F7F" w:themeColor="text1" w:themeTint="80"/>
            </w:tcBorders>
            <w:shd w:val="clear" w:color="auto" w:fill="auto"/>
          </w:tcPr>
          <w:p w14:paraId="5DEF9B32" w14:textId="77777777" w:rsidR="00040A62" w:rsidRPr="00040A62" w:rsidRDefault="00040A62" w:rsidP="00040A62">
            <w:pPr>
              <w:rPr>
                <w:rFonts w:eastAsia="Times New Roman" w:cs="Times New Roman"/>
                <w:i/>
                <w:lang w:eastAsia="cs-CZ"/>
              </w:rPr>
            </w:pPr>
            <w:r w:rsidRPr="00040A62">
              <w:rPr>
                <w:rFonts w:eastAsia="Times New Roman" w:cs="Times New Roman"/>
                <w:i/>
                <w:lang w:eastAsia="cs-CZ"/>
              </w:rPr>
              <w:t xml:space="preserve">      prostředky EU</w:t>
            </w:r>
          </w:p>
        </w:tc>
        <w:tc>
          <w:tcPr>
            <w:tcW w:w="760" w:type="pct"/>
            <w:tcBorders>
              <w:top w:val="nil"/>
              <w:bottom w:val="single" w:sz="5" w:space="0" w:color="7F7F7F" w:themeColor="text1" w:themeTint="80"/>
            </w:tcBorders>
            <w:shd w:val="clear" w:color="auto" w:fill="auto"/>
            <w:vAlign w:val="center"/>
          </w:tcPr>
          <w:p w14:paraId="4C21C7AC" w14:textId="24970465"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7 272</w:t>
            </w:r>
          </w:p>
        </w:tc>
        <w:tc>
          <w:tcPr>
            <w:tcW w:w="759" w:type="pct"/>
            <w:tcBorders>
              <w:top w:val="nil"/>
              <w:bottom w:val="single" w:sz="5" w:space="0" w:color="7F7F7F" w:themeColor="text1" w:themeTint="80"/>
            </w:tcBorders>
            <w:shd w:val="clear" w:color="auto" w:fill="auto"/>
            <w:vAlign w:val="center"/>
          </w:tcPr>
          <w:p w14:paraId="46F5EAA6" w14:textId="4EBE7426"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8 000</w:t>
            </w:r>
          </w:p>
        </w:tc>
        <w:tc>
          <w:tcPr>
            <w:tcW w:w="759" w:type="pct"/>
            <w:tcBorders>
              <w:top w:val="nil"/>
              <w:bottom w:val="single" w:sz="5" w:space="0" w:color="7F7F7F" w:themeColor="text1" w:themeTint="80"/>
            </w:tcBorders>
            <w:shd w:val="clear" w:color="auto" w:fill="auto"/>
            <w:vAlign w:val="center"/>
          </w:tcPr>
          <w:p w14:paraId="6337C1FC" w14:textId="2DA8537E"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0</w:t>
            </w:r>
          </w:p>
        </w:tc>
        <w:tc>
          <w:tcPr>
            <w:tcW w:w="594" w:type="pct"/>
            <w:tcBorders>
              <w:top w:val="nil"/>
              <w:bottom w:val="single" w:sz="5" w:space="0" w:color="7F7F7F" w:themeColor="text1" w:themeTint="80"/>
            </w:tcBorders>
            <w:shd w:val="clear" w:color="auto" w:fill="auto"/>
            <w:vAlign w:val="center"/>
          </w:tcPr>
          <w:p w14:paraId="6D19DF06" w14:textId="356D8343" w:rsidR="00040A62" w:rsidRPr="00040A62" w:rsidRDefault="00040A62" w:rsidP="00040A62">
            <w:pPr>
              <w:jc w:val="right"/>
              <w:rPr>
                <w:rFonts w:eastAsia="Times New Roman" w:cs="Times New Roman"/>
                <w:i/>
                <w:lang w:eastAsia="cs-CZ"/>
              </w:rPr>
            </w:pPr>
            <w:r w:rsidRPr="00040A62">
              <w:rPr>
                <w:rFonts w:eastAsia="Times New Roman" w:cs="Times New Roman"/>
                <w:i/>
                <w:lang w:eastAsia="cs-CZ"/>
              </w:rPr>
              <w:t>x</w:t>
            </w:r>
          </w:p>
        </w:tc>
      </w:tr>
    </w:tbl>
    <w:p w14:paraId="0477C059" w14:textId="77777777" w:rsidR="00040A62" w:rsidRPr="00040A62" w:rsidRDefault="00040A62" w:rsidP="00040A62">
      <w:pPr>
        <w:pStyle w:val="Styl1"/>
      </w:pPr>
      <w:r w:rsidRPr="00040A62">
        <w:t xml:space="preserve">Organizační složky státu v působnosti Ministerstva dopravy jsou orgány státní správy, </w:t>
      </w:r>
      <w:r w:rsidRPr="00040A62">
        <w:br/>
        <w:t xml:space="preserve">tj. Ústřední orgán MD, Úřad pro civilní letectví, Státní plavební správa, Drážní úřad, Drážní inspekce, Ústav pro odborné zjišťování příčin leteckých nehod, Dopravní a energetický stavební úřad a ostatní organizační složky státu, tj. Ředitelství vodních cest ČR. </w:t>
      </w:r>
    </w:p>
    <w:p w14:paraId="011ACCF5" w14:textId="77777777" w:rsidR="00040A62" w:rsidRPr="00040A62" w:rsidRDefault="00040A62" w:rsidP="00040A62">
      <w:pPr>
        <w:pStyle w:val="Styl1"/>
      </w:pPr>
      <w:r w:rsidRPr="00040A62">
        <w:t xml:space="preserve">V dalším textu je uváděn návrh rozpočtu výdajů vedených v EDS/SMVS v členění dle konečných příjemců, tj. jednotlivých organizačních složek státu a v členění na jednotlivé programy. </w:t>
      </w:r>
    </w:p>
    <w:p w14:paraId="7C359670" w14:textId="02F42B8E" w:rsidR="00040A62" w:rsidRPr="00040A62" w:rsidRDefault="00040A62" w:rsidP="00040A62">
      <w:pPr>
        <w:pStyle w:val="Styl1"/>
        <w:spacing w:after="200"/>
      </w:pPr>
      <w:r w:rsidRPr="00040A62">
        <w:t>Organizační složky státu jsou v roce 2025 účastníky programu 127 03 „Rozvoj a obnova materiálně</w:t>
      </w:r>
      <w:r w:rsidR="00865FC3">
        <w:t>-</w:t>
      </w:r>
      <w:r w:rsidRPr="00040A62">
        <w:t>technické základny systému řízení MD - OSS“, ve kterém budou dokončovány dlouhodobé projekty s rokem zahájení 2023 nebo dříve. Od roku 2025 budou zahajovány nové akce zpravidla již v navazujícím programu 127 07 „Rozvoj a obnova materiálně</w:t>
      </w:r>
      <w:r w:rsidR="00865FC3">
        <w:t>-</w:t>
      </w:r>
      <w:r w:rsidRPr="00040A62">
        <w:t xml:space="preserve">technické základny systému řízení MD – OSS“. </w:t>
      </w:r>
    </w:p>
    <w:p w14:paraId="15798ED1" w14:textId="2ED932D0" w:rsidR="007E1BD7" w:rsidRPr="00040A62" w:rsidRDefault="00040A62" w:rsidP="00040A62">
      <w:pPr>
        <w:pStyle w:val="Styl1"/>
        <w:spacing w:before="200" w:after="200"/>
        <w:rPr>
          <w:b/>
          <w:u w:val="single"/>
        </w:rPr>
      </w:pPr>
      <w:r w:rsidRPr="00040A62">
        <w:t xml:space="preserve">Běžné výdaje jsou v roce 2025 navrženy pouze u Ústředního orgánu Ministerstva dopravy </w:t>
      </w:r>
      <w:r w:rsidRPr="00040A62">
        <w:br/>
        <w:t>a Úřadu pro civilní letectví</w:t>
      </w:r>
      <w:r w:rsidR="007E1BD7" w:rsidRPr="00040A62">
        <w:t>.</w:t>
      </w:r>
    </w:p>
    <w:p w14:paraId="736896D4" w14:textId="77777777" w:rsidR="007E1BD7" w:rsidRPr="00040A62" w:rsidRDefault="007E1BD7" w:rsidP="007E1BD7">
      <w:pPr>
        <w:spacing w:before="200" w:line="240" w:lineRule="auto"/>
        <w:rPr>
          <w:rFonts w:eastAsia="Times New Roman" w:cs="Times New Roman"/>
          <w:b/>
          <w:iCs/>
          <w:szCs w:val="24"/>
          <w:u w:val="single"/>
          <w:lang w:eastAsia="cs-CZ"/>
        </w:rPr>
      </w:pPr>
      <w:r w:rsidRPr="00040A62">
        <w:rPr>
          <w:rFonts w:eastAsia="Times New Roman" w:cs="Times New Roman"/>
          <w:b/>
          <w:iCs/>
          <w:szCs w:val="24"/>
          <w:u w:val="single"/>
          <w:lang w:eastAsia="cs-CZ"/>
        </w:rPr>
        <w:t xml:space="preserve">Ústřední orgán Ministerstvo dopravy </w:t>
      </w:r>
      <w:r w:rsidRPr="00040A62">
        <w:rPr>
          <w:rFonts w:eastAsia="Times New Roman" w:cs="Times New Roman"/>
          <w:b/>
          <w:bCs/>
          <w:szCs w:val="24"/>
          <w:lang w:eastAsia="cs-CZ"/>
        </w:rPr>
        <w:t xml:space="preserve">  </w:t>
      </w:r>
    </w:p>
    <w:p w14:paraId="0E6F37FB" w14:textId="157A47EA" w:rsidR="007E1BD7" w:rsidRPr="00040A62" w:rsidRDefault="007E1BD7" w:rsidP="007E1BD7">
      <w:pPr>
        <w:keepNext/>
        <w:spacing w:before="120" w:after="120" w:line="240" w:lineRule="auto"/>
        <w:rPr>
          <w:rFonts w:eastAsia="Times New Roman" w:cs="Times New Roman"/>
          <w:b/>
          <w:bCs/>
          <w:noProof/>
          <w:sz w:val="20"/>
          <w:szCs w:val="20"/>
          <w:lang w:eastAsia="cs-CZ"/>
        </w:rPr>
      </w:pPr>
      <w:r w:rsidRPr="00040A62">
        <w:rPr>
          <w:rFonts w:eastAsia="Times New Roman" w:cs="Times New Roman"/>
          <w:b/>
          <w:bCs/>
          <w:sz w:val="20"/>
          <w:szCs w:val="20"/>
          <w:lang w:eastAsia="cs-CZ"/>
        </w:rPr>
        <w:t xml:space="preserve">Tabulka č. </w:t>
      </w:r>
      <w:r w:rsidRPr="00040A62">
        <w:rPr>
          <w:rFonts w:eastAsia="Times New Roman" w:cs="Times New Roman"/>
          <w:b/>
          <w:bCs/>
          <w:noProof/>
          <w:sz w:val="20"/>
          <w:szCs w:val="20"/>
          <w:lang w:eastAsia="cs-CZ"/>
        </w:rPr>
        <w:fldChar w:fldCharType="begin"/>
      </w:r>
      <w:r w:rsidRPr="00040A62">
        <w:rPr>
          <w:rFonts w:eastAsia="Times New Roman" w:cs="Times New Roman"/>
          <w:b/>
          <w:bCs/>
          <w:noProof/>
          <w:sz w:val="20"/>
          <w:szCs w:val="20"/>
          <w:lang w:eastAsia="cs-CZ"/>
        </w:rPr>
        <w:instrText xml:space="preserve"> SEQ Tabulka \* ARABIC </w:instrText>
      </w:r>
      <w:r w:rsidRPr="00040A62">
        <w:rPr>
          <w:rFonts w:eastAsia="Times New Roman" w:cs="Times New Roman"/>
          <w:b/>
          <w:bCs/>
          <w:noProof/>
          <w:sz w:val="20"/>
          <w:szCs w:val="20"/>
          <w:lang w:eastAsia="cs-CZ"/>
        </w:rPr>
        <w:fldChar w:fldCharType="separate"/>
      </w:r>
      <w:r w:rsidR="003B0B01" w:rsidRPr="00040A62">
        <w:rPr>
          <w:rFonts w:eastAsia="Times New Roman" w:cs="Times New Roman"/>
          <w:b/>
          <w:bCs/>
          <w:noProof/>
          <w:sz w:val="20"/>
          <w:szCs w:val="20"/>
          <w:lang w:eastAsia="cs-CZ"/>
        </w:rPr>
        <w:t>35</w:t>
      </w:r>
      <w:r w:rsidRPr="00040A62">
        <w:rPr>
          <w:rFonts w:eastAsia="Times New Roman" w:cs="Times New Roman"/>
          <w:b/>
          <w:bCs/>
          <w:noProof/>
          <w:sz w:val="20"/>
          <w:szCs w:val="20"/>
          <w:lang w:eastAsia="cs-CZ"/>
        </w:rPr>
        <w:fldChar w:fldCharType="end"/>
      </w:r>
      <w:r w:rsidRPr="00040A62">
        <w:rPr>
          <w:rFonts w:eastAsia="Times New Roman" w:cs="Times New Roman"/>
          <w:b/>
          <w:bCs/>
          <w:noProof/>
          <w:sz w:val="20"/>
          <w:szCs w:val="20"/>
          <w:lang w:eastAsia="cs-CZ"/>
        </w:rPr>
        <w:t xml:space="preserve"> Výdaje Ústředního orgánu Ministerstva dopravy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545"/>
        <w:gridCol w:w="1133"/>
        <w:gridCol w:w="1135"/>
        <w:gridCol w:w="1133"/>
        <w:gridCol w:w="1137"/>
        <w:gridCol w:w="1133"/>
        <w:gridCol w:w="835"/>
      </w:tblGrid>
      <w:tr w:rsidR="007E1BD7" w:rsidRPr="00040A62" w14:paraId="7282D31F" w14:textId="77777777" w:rsidTr="001E02BC">
        <w:tc>
          <w:tcPr>
            <w:tcW w:w="140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BC3607D" w14:textId="77777777" w:rsidR="007E1BD7" w:rsidRPr="00040A62" w:rsidRDefault="007E1BD7" w:rsidP="001E02BC">
            <w:pPr>
              <w:jc w:val="center"/>
              <w:rPr>
                <w:rFonts w:eastAsia="Times New Roman" w:cs="Times New Roman"/>
                <w:b/>
                <w:bCs/>
                <w:lang w:eastAsia="cs-CZ"/>
              </w:rPr>
            </w:pPr>
            <w:r w:rsidRPr="00040A62">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159801C" w14:textId="70ABC86C" w:rsidR="007E1BD7" w:rsidRPr="00040A62" w:rsidRDefault="007E1BD7" w:rsidP="001E02BC">
            <w:pPr>
              <w:jc w:val="center"/>
              <w:rPr>
                <w:rFonts w:eastAsia="Times New Roman" w:cs="Times New Roman"/>
                <w:b/>
                <w:bCs/>
                <w:lang w:eastAsia="cs-CZ"/>
              </w:rPr>
            </w:pPr>
            <w:r w:rsidRPr="00040A62">
              <w:rPr>
                <w:rFonts w:eastAsia="Times New Roman" w:cs="Times New Roman"/>
                <w:b/>
                <w:bCs/>
                <w:lang w:eastAsia="cs-CZ"/>
              </w:rPr>
              <w:t>Skutečnost 202</w:t>
            </w:r>
            <w:r w:rsidR="00040A62" w:rsidRPr="00040A62">
              <w:rPr>
                <w:rFonts w:eastAsia="Times New Roman" w:cs="Times New Roman"/>
                <w:b/>
                <w:bCs/>
                <w:lang w:eastAsia="cs-CZ"/>
              </w:rPr>
              <w:t>3</w:t>
            </w:r>
          </w:p>
        </w:tc>
        <w:tc>
          <w:tcPr>
            <w:tcW w:w="1254"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194B72C" w14:textId="4B36D5A3" w:rsidR="007E1BD7" w:rsidRPr="00040A62" w:rsidRDefault="007E1BD7" w:rsidP="001E02BC">
            <w:pPr>
              <w:jc w:val="center"/>
              <w:rPr>
                <w:rFonts w:eastAsia="Times New Roman" w:cs="Times New Roman"/>
                <w:b/>
                <w:bCs/>
                <w:lang w:eastAsia="cs-CZ"/>
              </w:rPr>
            </w:pPr>
            <w:r w:rsidRPr="00040A62">
              <w:rPr>
                <w:rFonts w:eastAsia="Times New Roman" w:cs="Times New Roman"/>
                <w:b/>
                <w:bCs/>
                <w:lang w:eastAsia="cs-CZ"/>
              </w:rPr>
              <w:t>Schválený rozpočet 202</w:t>
            </w:r>
            <w:r w:rsidR="00040A62" w:rsidRPr="00040A62">
              <w:rPr>
                <w:rFonts w:eastAsia="Times New Roman" w:cs="Times New Roman"/>
                <w:b/>
                <w:bCs/>
                <w:lang w:eastAsia="cs-CZ"/>
              </w:rPr>
              <w:t>4</w:t>
            </w:r>
          </w:p>
        </w:tc>
        <w:tc>
          <w:tcPr>
            <w:tcW w:w="108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143D659" w14:textId="7715745D" w:rsidR="007E1BD7" w:rsidRPr="00040A62" w:rsidRDefault="007E1BD7" w:rsidP="001E02BC">
            <w:pPr>
              <w:jc w:val="center"/>
              <w:rPr>
                <w:rFonts w:eastAsia="Times New Roman" w:cs="Times New Roman"/>
                <w:b/>
                <w:bCs/>
                <w:lang w:eastAsia="cs-CZ"/>
              </w:rPr>
            </w:pPr>
            <w:r w:rsidRPr="00040A62">
              <w:rPr>
                <w:rFonts w:eastAsia="Times New Roman" w:cs="Times New Roman"/>
                <w:b/>
                <w:bCs/>
                <w:lang w:eastAsia="cs-CZ"/>
              </w:rPr>
              <w:t>Návrh rozpočtu 202</w:t>
            </w:r>
            <w:r w:rsidR="00040A62" w:rsidRPr="00040A62">
              <w:rPr>
                <w:rFonts w:eastAsia="Times New Roman" w:cs="Times New Roman"/>
                <w:b/>
                <w:bCs/>
                <w:lang w:eastAsia="cs-CZ"/>
              </w:rPr>
              <w:t>5</w:t>
            </w:r>
          </w:p>
        </w:tc>
      </w:tr>
      <w:tr w:rsidR="007E1BD7" w:rsidRPr="00040A62" w14:paraId="2CB86CC6" w14:textId="77777777" w:rsidTr="00040A62">
        <w:tc>
          <w:tcPr>
            <w:tcW w:w="140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FEA2E58" w14:textId="77777777" w:rsidR="007E1BD7" w:rsidRPr="00040A62" w:rsidRDefault="007E1BD7" w:rsidP="001E02BC">
            <w:pPr>
              <w:rPr>
                <w:rFonts w:eastAsia="Times New Roman" w:cs="Times New Roman"/>
                <w:lang w:eastAsia="cs-CZ"/>
              </w:rPr>
            </w:pP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600B6F7"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4780922"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C032A4D"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SR</w:t>
            </w:r>
          </w:p>
        </w:tc>
        <w:tc>
          <w:tcPr>
            <w:tcW w:w="62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07ABAB9"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F59EA26"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SR</w:t>
            </w:r>
          </w:p>
        </w:tc>
        <w:tc>
          <w:tcPr>
            <w:tcW w:w="46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778B4AF" w14:textId="77777777" w:rsidR="007E1BD7" w:rsidRPr="00040A62" w:rsidRDefault="007E1BD7" w:rsidP="001E02BC">
            <w:pPr>
              <w:jc w:val="center"/>
              <w:rPr>
                <w:rFonts w:eastAsia="Times New Roman" w:cs="Times New Roman"/>
                <w:b/>
                <w:lang w:eastAsia="cs-CZ"/>
              </w:rPr>
            </w:pPr>
            <w:r w:rsidRPr="00040A62">
              <w:rPr>
                <w:rFonts w:eastAsia="Times New Roman" w:cs="Times New Roman"/>
                <w:b/>
                <w:lang w:eastAsia="cs-CZ"/>
              </w:rPr>
              <w:t>EU</w:t>
            </w:r>
          </w:p>
        </w:tc>
      </w:tr>
      <w:tr w:rsidR="00040A62" w:rsidRPr="00040A62" w14:paraId="0921D6CD" w14:textId="77777777" w:rsidTr="00040A62">
        <w:tc>
          <w:tcPr>
            <w:tcW w:w="1406" w:type="pct"/>
            <w:tcBorders>
              <w:top w:val="single" w:sz="4" w:space="0" w:color="7F7F7F" w:themeColor="text1" w:themeTint="80"/>
              <w:bottom w:val="nil"/>
            </w:tcBorders>
            <w:shd w:val="clear" w:color="auto" w:fill="auto"/>
            <w:vAlign w:val="center"/>
          </w:tcPr>
          <w:p w14:paraId="3A31C18B" w14:textId="77777777" w:rsidR="00040A62" w:rsidRPr="00040A62" w:rsidRDefault="00040A62" w:rsidP="00040A62">
            <w:pPr>
              <w:jc w:val="center"/>
              <w:rPr>
                <w:rFonts w:eastAsia="Times New Roman" w:cs="Times New Roman"/>
                <w:lang w:eastAsia="cs-CZ"/>
              </w:rPr>
            </w:pPr>
            <w:r w:rsidRPr="00040A62">
              <w:rPr>
                <w:rFonts w:eastAsia="Times New Roman" w:cs="Times New Roman"/>
                <w:lang w:eastAsia="cs-CZ"/>
              </w:rPr>
              <w:t>127 03</w:t>
            </w:r>
          </w:p>
        </w:tc>
        <w:tc>
          <w:tcPr>
            <w:tcW w:w="626" w:type="pct"/>
            <w:tcBorders>
              <w:top w:val="single" w:sz="4" w:space="0" w:color="7F7F7F" w:themeColor="text1" w:themeTint="80"/>
              <w:bottom w:val="nil"/>
            </w:tcBorders>
            <w:shd w:val="clear" w:color="auto" w:fill="auto"/>
            <w:vAlign w:val="center"/>
          </w:tcPr>
          <w:p w14:paraId="21DAD4A1" w14:textId="1E34DDFC"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 xml:space="preserve">130 729 </w:t>
            </w:r>
          </w:p>
        </w:tc>
        <w:tc>
          <w:tcPr>
            <w:tcW w:w="627" w:type="pct"/>
            <w:tcBorders>
              <w:top w:val="single" w:sz="4" w:space="0" w:color="7F7F7F" w:themeColor="text1" w:themeTint="80"/>
              <w:bottom w:val="nil"/>
            </w:tcBorders>
            <w:shd w:val="clear" w:color="auto" w:fill="auto"/>
            <w:vAlign w:val="center"/>
          </w:tcPr>
          <w:p w14:paraId="631BE3E0" w14:textId="1ECDF44A"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 xml:space="preserve">           0</w:t>
            </w:r>
          </w:p>
        </w:tc>
        <w:tc>
          <w:tcPr>
            <w:tcW w:w="626" w:type="pct"/>
            <w:tcBorders>
              <w:top w:val="single" w:sz="4" w:space="0" w:color="7F7F7F" w:themeColor="text1" w:themeTint="80"/>
              <w:bottom w:val="nil"/>
            </w:tcBorders>
            <w:shd w:val="clear" w:color="auto" w:fill="auto"/>
            <w:vAlign w:val="center"/>
          </w:tcPr>
          <w:p w14:paraId="4001FBD7" w14:textId="4628B359"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54 259</w:t>
            </w:r>
          </w:p>
        </w:tc>
        <w:tc>
          <w:tcPr>
            <w:tcW w:w="628" w:type="pct"/>
            <w:tcBorders>
              <w:top w:val="single" w:sz="4" w:space="0" w:color="7F7F7F" w:themeColor="text1" w:themeTint="80"/>
              <w:bottom w:val="nil"/>
            </w:tcBorders>
            <w:shd w:val="clear" w:color="auto" w:fill="auto"/>
            <w:vAlign w:val="center"/>
          </w:tcPr>
          <w:p w14:paraId="27273D6D" w14:textId="07705209"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276C3BAB" w14:textId="79C2CCA8"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57 066</w:t>
            </w:r>
          </w:p>
        </w:tc>
        <w:tc>
          <w:tcPr>
            <w:tcW w:w="461" w:type="pct"/>
            <w:tcBorders>
              <w:top w:val="single" w:sz="4" w:space="0" w:color="7F7F7F" w:themeColor="text1" w:themeTint="80"/>
              <w:bottom w:val="nil"/>
            </w:tcBorders>
            <w:shd w:val="clear" w:color="auto" w:fill="auto"/>
            <w:vAlign w:val="center"/>
          </w:tcPr>
          <w:p w14:paraId="7E39C404" w14:textId="3DD1FB58"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0</w:t>
            </w:r>
          </w:p>
        </w:tc>
      </w:tr>
      <w:tr w:rsidR="00040A62" w:rsidRPr="00040A62" w14:paraId="70900B56" w14:textId="77777777" w:rsidTr="00040A62">
        <w:tc>
          <w:tcPr>
            <w:tcW w:w="1406" w:type="pct"/>
            <w:tcBorders>
              <w:top w:val="nil"/>
              <w:bottom w:val="single" w:sz="4" w:space="0" w:color="7F7F7F" w:themeColor="text1" w:themeTint="80"/>
            </w:tcBorders>
            <w:shd w:val="clear" w:color="auto" w:fill="auto"/>
            <w:vAlign w:val="center"/>
          </w:tcPr>
          <w:p w14:paraId="723A27FF" w14:textId="77777777" w:rsidR="00040A62" w:rsidRPr="00040A62" w:rsidRDefault="00040A62" w:rsidP="00040A62">
            <w:pPr>
              <w:jc w:val="center"/>
              <w:rPr>
                <w:rFonts w:eastAsia="Times New Roman" w:cs="Times New Roman"/>
                <w:i/>
                <w:iCs/>
                <w:lang w:eastAsia="cs-CZ"/>
              </w:rPr>
            </w:pPr>
            <w:r w:rsidRPr="00040A62">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14:paraId="3C1D6450" w14:textId="22ABF6D6"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63 382</w:t>
            </w:r>
          </w:p>
        </w:tc>
        <w:tc>
          <w:tcPr>
            <w:tcW w:w="627" w:type="pct"/>
            <w:tcBorders>
              <w:top w:val="nil"/>
              <w:bottom w:val="single" w:sz="4" w:space="0" w:color="7F7F7F" w:themeColor="text1" w:themeTint="80"/>
            </w:tcBorders>
            <w:shd w:val="clear" w:color="auto" w:fill="auto"/>
            <w:vAlign w:val="center"/>
          </w:tcPr>
          <w:p w14:paraId="4E9E2282" w14:textId="584440FD"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239EC014" w14:textId="765FCE8C"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40 626</w:t>
            </w:r>
          </w:p>
        </w:tc>
        <w:tc>
          <w:tcPr>
            <w:tcW w:w="628" w:type="pct"/>
            <w:tcBorders>
              <w:top w:val="nil"/>
              <w:bottom w:val="single" w:sz="4" w:space="0" w:color="7F7F7F" w:themeColor="text1" w:themeTint="80"/>
            </w:tcBorders>
            <w:shd w:val="clear" w:color="auto" w:fill="auto"/>
            <w:vAlign w:val="center"/>
          </w:tcPr>
          <w:p w14:paraId="1C3B737E" w14:textId="6084FE25"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2FCA7367" w14:textId="29E02ADA"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  46 223</w:t>
            </w:r>
          </w:p>
        </w:tc>
        <w:tc>
          <w:tcPr>
            <w:tcW w:w="461" w:type="pct"/>
            <w:tcBorders>
              <w:top w:val="nil"/>
              <w:bottom w:val="single" w:sz="4" w:space="0" w:color="7F7F7F" w:themeColor="text1" w:themeTint="80"/>
            </w:tcBorders>
            <w:shd w:val="clear" w:color="auto" w:fill="auto"/>
            <w:vAlign w:val="center"/>
          </w:tcPr>
          <w:p w14:paraId="04BA0CF7" w14:textId="6D5F0F3B"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0</w:t>
            </w:r>
          </w:p>
        </w:tc>
      </w:tr>
      <w:tr w:rsidR="00040A62" w:rsidRPr="00040A62" w14:paraId="5E431023" w14:textId="77777777" w:rsidTr="00040A62">
        <w:tc>
          <w:tcPr>
            <w:tcW w:w="1406" w:type="pct"/>
            <w:tcBorders>
              <w:top w:val="single" w:sz="4" w:space="0" w:color="7F7F7F" w:themeColor="text1" w:themeTint="80"/>
              <w:bottom w:val="nil"/>
            </w:tcBorders>
            <w:shd w:val="clear" w:color="auto" w:fill="auto"/>
            <w:vAlign w:val="center"/>
          </w:tcPr>
          <w:p w14:paraId="610FD781" w14:textId="77777777" w:rsidR="00040A62" w:rsidRPr="00040A62" w:rsidRDefault="00040A62" w:rsidP="00040A62">
            <w:pPr>
              <w:jc w:val="center"/>
              <w:rPr>
                <w:rFonts w:eastAsia="Times New Roman" w:cs="Times New Roman"/>
                <w:lang w:eastAsia="cs-CZ"/>
              </w:rPr>
            </w:pPr>
            <w:r w:rsidRPr="00040A62">
              <w:rPr>
                <w:rFonts w:eastAsia="Times New Roman" w:cs="Times New Roman"/>
                <w:lang w:eastAsia="cs-CZ"/>
              </w:rPr>
              <w:t>127 07</w:t>
            </w:r>
          </w:p>
        </w:tc>
        <w:tc>
          <w:tcPr>
            <w:tcW w:w="626" w:type="pct"/>
            <w:tcBorders>
              <w:top w:val="single" w:sz="4" w:space="0" w:color="7F7F7F" w:themeColor="text1" w:themeTint="80"/>
              <w:bottom w:val="nil"/>
            </w:tcBorders>
            <w:shd w:val="clear" w:color="auto" w:fill="auto"/>
            <w:vAlign w:val="center"/>
          </w:tcPr>
          <w:p w14:paraId="37CB540B" w14:textId="6C445D19"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119 328</w:t>
            </w:r>
          </w:p>
        </w:tc>
        <w:tc>
          <w:tcPr>
            <w:tcW w:w="627" w:type="pct"/>
            <w:tcBorders>
              <w:top w:val="single" w:sz="4" w:space="0" w:color="7F7F7F" w:themeColor="text1" w:themeTint="80"/>
              <w:bottom w:val="nil"/>
            </w:tcBorders>
            <w:shd w:val="clear" w:color="auto" w:fill="auto"/>
            <w:vAlign w:val="center"/>
          </w:tcPr>
          <w:p w14:paraId="0E63FE38" w14:textId="47EEC083"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2D1C641D" w14:textId="4458740A"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183 675</w:t>
            </w:r>
          </w:p>
        </w:tc>
        <w:tc>
          <w:tcPr>
            <w:tcW w:w="628" w:type="pct"/>
            <w:tcBorders>
              <w:top w:val="single" w:sz="4" w:space="0" w:color="7F7F7F" w:themeColor="text1" w:themeTint="80"/>
              <w:bottom w:val="nil"/>
            </w:tcBorders>
            <w:shd w:val="clear" w:color="auto" w:fill="auto"/>
            <w:vAlign w:val="center"/>
          </w:tcPr>
          <w:p w14:paraId="35398819" w14:textId="161DA00D"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8 000</w:t>
            </w:r>
          </w:p>
        </w:tc>
        <w:tc>
          <w:tcPr>
            <w:tcW w:w="626" w:type="pct"/>
            <w:tcBorders>
              <w:top w:val="single" w:sz="4" w:space="0" w:color="7F7F7F" w:themeColor="text1" w:themeTint="80"/>
              <w:bottom w:val="nil"/>
            </w:tcBorders>
            <w:shd w:val="clear" w:color="auto" w:fill="auto"/>
            <w:vAlign w:val="center"/>
          </w:tcPr>
          <w:p w14:paraId="7B26FF92" w14:textId="39DA73C7"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180 868</w:t>
            </w:r>
          </w:p>
        </w:tc>
        <w:tc>
          <w:tcPr>
            <w:tcW w:w="461" w:type="pct"/>
            <w:tcBorders>
              <w:top w:val="single" w:sz="4" w:space="0" w:color="7F7F7F" w:themeColor="text1" w:themeTint="80"/>
              <w:bottom w:val="nil"/>
            </w:tcBorders>
            <w:shd w:val="clear" w:color="auto" w:fill="auto"/>
            <w:vAlign w:val="center"/>
          </w:tcPr>
          <w:p w14:paraId="222771BC" w14:textId="4BC2BC59" w:rsidR="00040A62" w:rsidRPr="00040A62" w:rsidRDefault="00040A62" w:rsidP="00040A62">
            <w:pPr>
              <w:jc w:val="right"/>
              <w:rPr>
                <w:rFonts w:eastAsia="Times New Roman" w:cs="Times New Roman"/>
                <w:lang w:eastAsia="cs-CZ"/>
              </w:rPr>
            </w:pPr>
            <w:r w:rsidRPr="00040A62">
              <w:rPr>
                <w:rFonts w:eastAsia="Times New Roman" w:cs="Times New Roman"/>
                <w:lang w:eastAsia="cs-CZ"/>
              </w:rPr>
              <w:t>0</w:t>
            </w:r>
          </w:p>
        </w:tc>
      </w:tr>
      <w:tr w:rsidR="00040A62" w:rsidRPr="00040A62" w14:paraId="67587D8A" w14:textId="77777777" w:rsidTr="00040A62">
        <w:tc>
          <w:tcPr>
            <w:tcW w:w="1406" w:type="pct"/>
            <w:tcBorders>
              <w:top w:val="nil"/>
              <w:bottom w:val="single" w:sz="4" w:space="0" w:color="7F7F7F" w:themeColor="text1" w:themeTint="80"/>
            </w:tcBorders>
            <w:shd w:val="clear" w:color="auto" w:fill="auto"/>
            <w:vAlign w:val="center"/>
          </w:tcPr>
          <w:p w14:paraId="4DCEFC8F" w14:textId="77777777" w:rsidR="00040A62" w:rsidRPr="00040A62" w:rsidRDefault="00040A62" w:rsidP="00040A62">
            <w:pPr>
              <w:jc w:val="center"/>
              <w:rPr>
                <w:rFonts w:eastAsia="Times New Roman" w:cs="Times New Roman"/>
                <w:i/>
                <w:iCs/>
                <w:lang w:eastAsia="cs-CZ"/>
              </w:rPr>
            </w:pPr>
            <w:r w:rsidRPr="00040A62">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14:paraId="18BBDEBB" w14:textId="5B431756"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89 275</w:t>
            </w:r>
          </w:p>
        </w:tc>
        <w:tc>
          <w:tcPr>
            <w:tcW w:w="627" w:type="pct"/>
            <w:tcBorders>
              <w:top w:val="nil"/>
              <w:bottom w:val="single" w:sz="4" w:space="0" w:color="7F7F7F" w:themeColor="text1" w:themeTint="80"/>
            </w:tcBorders>
            <w:shd w:val="clear" w:color="auto" w:fill="auto"/>
            <w:vAlign w:val="center"/>
          </w:tcPr>
          <w:p w14:paraId="7A5C6B2B" w14:textId="2055F5D3"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46885C83" w14:textId="3775D3F5"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57 630</w:t>
            </w:r>
          </w:p>
        </w:tc>
        <w:tc>
          <w:tcPr>
            <w:tcW w:w="628" w:type="pct"/>
            <w:tcBorders>
              <w:top w:val="nil"/>
              <w:bottom w:val="single" w:sz="4" w:space="0" w:color="7F7F7F" w:themeColor="text1" w:themeTint="80"/>
            </w:tcBorders>
            <w:shd w:val="clear" w:color="auto" w:fill="auto"/>
            <w:vAlign w:val="center"/>
          </w:tcPr>
          <w:p w14:paraId="7851EC39" w14:textId="4A402904"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79E0305A" w14:textId="2E8FB3FB"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  93 346</w:t>
            </w:r>
          </w:p>
        </w:tc>
        <w:tc>
          <w:tcPr>
            <w:tcW w:w="461" w:type="pct"/>
            <w:tcBorders>
              <w:top w:val="nil"/>
              <w:bottom w:val="single" w:sz="4" w:space="0" w:color="7F7F7F" w:themeColor="text1" w:themeTint="80"/>
            </w:tcBorders>
            <w:shd w:val="clear" w:color="auto" w:fill="auto"/>
            <w:vAlign w:val="center"/>
          </w:tcPr>
          <w:p w14:paraId="28ABF165" w14:textId="2C18E896" w:rsidR="00040A62" w:rsidRPr="00040A62" w:rsidRDefault="00040A62" w:rsidP="00040A62">
            <w:pPr>
              <w:jc w:val="right"/>
              <w:rPr>
                <w:rFonts w:eastAsia="Times New Roman" w:cs="Times New Roman"/>
                <w:i/>
                <w:iCs/>
                <w:lang w:eastAsia="cs-CZ"/>
              </w:rPr>
            </w:pPr>
            <w:r w:rsidRPr="00040A62">
              <w:rPr>
                <w:rFonts w:eastAsia="Times New Roman" w:cs="Times New Roman"/>
                <w:i/>
                <w:iCs/>
                <w:lang w:eastAsia="cs-CZ"/>
              </w:rPr>
              <w:t>0</w:t>
            </w:r>
          </w:p>
        </w:tc>
      </w:tr>
      <w:tr w:rsidR="00040A62" w:rsidRPr="00040A62" w14:paraId="2EFC634E" w14:textId="77777777" w:rsidTr="00040A62">
        <w:tc>
          <w:tcPr>
            <w:tcW w:w="1406" w:type="pct"/>
            <w:tcBorders>
              <w:top w:val="single" w:sz="8" w:space="0" w:color="7F7F7F" w:themeColor="text1" w:themeTint="80"/>
              <w:bottom w:val="single" w:sz="8" w:space="0" w:color="7F7F7F" w:themeColor="text1" w:themeTint="80"/>
            </w:tcBorders>
            <w:shd w:val="clear" w:color="auto" w:fill="auto"/>
            <w:vAlign w:val="center"/>
          </w:tcPr>
          <w:p w14:paraId="48D50CC5" w14:textId="77777777" w:rsidR="00040A62" w:rsidRPr="00040A62" w:rsidRDefault="00040A62" w:rsidP="00040A62">
            <w:pPr>
              <w:jc w:val="center"/>
              <w:rPr>
                <w:rFonts w:eastAsia="Times New Roman" w:cs="Times New Roman"/>
                <w:i/>
                <w:iCs/>
                <w:lang w:eastAsia="cs-CZ"/>
              </w:rPr>
            </w:pPr>
            <w:r w:rsidRPr="00040A62">
              <w:rPr>
                <w:rFonts w:eastAsia="Times New Roman" w:cs="Times New Roman"/>
                <w:b/>
                <w:bCs/>
                <w:lang w:eastAsia="cs-CZ"/>
              </w:rPr>
              <w:t>CELKEM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3057C226" w14:textId="4FB060E3" w:rsidR="00040A62" w:rsidRPr="00040A62" w:rsidRDefault="00040A62" w:rsidP="00040A62">
            <w:pPr>
              <w:jc w:val="right"/>
              <w:rPr>
                <w:rFonts w:eastAsia="Times New Roman" w:cs="Times New Roman"/>
                <w:b/>
                <w:iCs/>
                <w:lang w:eastAsia="cs-CZ"/>
              </w:rPr>
            </w:pPr>
            <w:r w:rsidRPr="00040A62">
              <w:rPr>
                <w:rFonts w:eastAsia="Times New Roman" w:cs="Times New Roman"/>
                <w:b/>
                <w:iCs/>
                <w:lang w:eastAsia="cs-CZ"/>
              </w:rPr>
              <w:t>250 057</w:t>
            </w:r>
          </w:p>
        </w:tc>
        <w:tc>
          <w:tcPr>
            <w:tcW w:w="627" w:type="pct"/>
            <w:tcBorders>
              <w:top w:val="single" w:sz="8" w:space="0" w:color="7F7F7F" w:themeColor="text1" w:themeTint="80"/>
              <w:bottom w:val="single" w:sz="8" w:space="0" w:color="7F7F7F" w:themeColor="text1" w:themeTint="80"/>
            </w:tcBorders>
            <w:shd w:val="clear" w:color="auto" w:fill="auto"/>
            <w:vAlign w:val="center"/>
          </w:tcPr>
          <w:p w14:paraId="31C00AD1" w14:textId="59E15753" w:rsidR="00040A62" w:rsidRPr="00040A62" w:rsidRDefault="00040A62" w:rsidP="00040A62">
            <w:pPr>
              <w:jc w:val="right"/>
              <w:rPr>
                <w:rFonts w:eastAsia="Times New Roman" w:cs="Times New Roman"/>
                <w:b/>
                <w:iCs/>
                <w:lang w:eastAsia="cs-CZ"/>
              </w:rPr>
            </w:pPr>
            <w:r w:rsidRPr="00040A62">
              <w:rPr>
                <w:rFonts w:eastAsia="Times New Roman" w:cs="Times New Roman"/>
                <w:b/>
                <w:i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2F6BB3B1" w14:textId="0D214D49" w:rsidR="00040A62" w:rsidRPr="00040A62" w:rsidRDefault="00040A62" w:rsidP="00040A62">
            <w:pPr>
              <w:jc w:val="right"/>
              <w:rPr>
                <w:rFonts w:eastAsia="Times New Roman" w:cs="Times New Roman"/>
                <w:b/>
                <w:iCs/>
                <w:lang w:eastAsia="cs-CZ"/>
              </w:rPr>
            </w:pPr>
            <w:r w:rsidRPr="00040A62">
              <w:rPr>
                <w:rFonts w:eastAsia="Times New Roman" w:cs="Times New Roman"/>
                <w:b/>
                <w:iCs/>
                <w:lang w:eastAsia="cs-CZ"/>
              </w:rPr>
              <w:t>237 934</w:t>
            </w:r>
          </w:p>
        </w:tc>
        <w:tc>
          <w:tcPr>
            <w:tcW w:w="628" w:type="pct"/>
            <w:tcBorders>
              <w:top w:val="single" w:sz="8" w:space="0" w:color="7F7F7F" w:themeColor="text1" w:themeTint="80"/>
              <w:bottom w:val="single" w:sz="8" w:space="0" w:color="7F7F7F" w:themeColor="text1" w:themeTint="80"/>
            </w:tcBorders>
            <w:shd w:val="clear" w:color="auto" w:fill="auto"/>
            <w:vAlign w:val="center"/>
          </w:tcPr>
          <w:p w14:paraId="51D956E1" w14:textId="4BC62225" w:rsidR="00040A62" w:rsidRPr="00040A62" w:rsidRDefault="00040A62" w:rsidP="00040A62">
            <w:pPr>
              <w:jc w:val="right"/>
              <w:rPr>
                <w:rFonts w:eastAsia="Times New Roman" w:cs="Times New Roman"/>
                <w:b/>
                <w:iCs/>
                <w:lang w:eastAsia="cs-CZ"/>
              </w:rPr>
            </w:pPr>
            <w:r w:rsidRPr="00040A62">
              <w:rPr>
                <w:rFonts w:eastAsia="Times New Roman" w:cs="Times New Roman"/>
                <w:b/>
                <w:iCs/>
                <w:lang w:eastAsia="cs-CZ"/>
              </w:rPr>
              <w:t>8 000</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19E6DDD1" w14:textId="5234FEE2" w:rsidR="00040A62" w:rsidRPr="00040A62" w:rsidRDefault="00040A62" w:rsidP="00040A62">
            <w:pPr>
              <w:jc w:val="right"/>
              <w:rPr>
                <w:rFonts w:eastAsia="Times New Roman" w:cs="Times New Roman"/>
                <w:b/>
                <w:iCs/>
                <w:lang w:eastAsia="cs-CZ"/>
              </w:rPr>
            </w:pPr>
            <w:r w:rsidRPr="00040A62">
              <w:rPr>
                <w:rFonts w:eastAsia="Times New Roman" w:cs="Times New Roman"/>
                <w:b/>
                <w:iCs/>
                <w:lang w:eastAsia="cs-CZ"/>
              </w:rPr>
              <w:t>237 934</w:t>
            </w:r>
          </w:p>
        </w:tc>
        <w:tc>
          <w:tcPr>
            <w:tcW w:w="461" w:type="pct"/>
            <w:tcBorders>
              <w:top w:val="single" w:sz="8" w:space="0" w:color="7F7F7F" w:themeColor="text1" w:themeTint="80"/>
              <w:bottom w:val="single" w:sz="8" w:space="0" w:color="7F7F7F" w:themeColor="text1" w:themeTint="80"/>
            </w:tcBorders>
            <w:shd w:val="clear" w:color="auto" w:fill="auto"/>
            <w:vAlign w:val="center"/>
          </w:tcPr>
          <w:p w14:paraId="48D859DE" w14:textId="1A129A18" w:rsidR="00040A62" w:rsidRPr="00040A62" w:rsidRDefault="00040A62" w:rsidP="00040A62">
            <w:pPr>
              <w:jc w:val="right"/>
              <w:rPr>
                <w:rFonts w:eastAsia="Times New Roman" w:cs="Times New Roman"/>
                <w:b/>
                <w:iCs/>
                <w:lang w:eastAsia="cs-CZ"/>
              </w:rPr>
            </w:pPr>
            <w:r w:rsidRPr="00040A62">
              <w:rPr>
                <w:rFonts w:eastAsia="Times New Roman" w:cs="Times New Roman"/>
                <w:b/>
                <w:iCs/>
                <w:lang w:eastAsia="cs-CZ"/>
              </w:rPr>
              <w:t>0</w:t>
            </w:r>
          </w:p>
        </w:tc>
      </w:tr>
    </w:tbl>
    <w:p w14:paraId="4A654090" w14:textId="77777777" w:rsidR="00040A62" w:rsidRPr="00040A62" w:rsidRDefault="00040A62" w:rsidP="00040A62">
      <w:pPr>
        <w:pStyle w:val="Styl1"/>
      </w:pPr>
      <w:r w:rsidRPr="00040A62">
        <w:t>Pro Ú</w:t>
      </w:r>
      <w:r w:rsidRPr="00040A62">
        <w:rPr>
          <w:bCs/>
        </w:rPr>
        <w:t xml:space="preserve">střední orgán MD jsou </w:t>
      </w:r>
      <w:r w:rsidRPr="00040A62">
        <w:t xml:space="preserve">navrženy výdaje na programové financování v celkové výši </w:t>
      </w:r>
      <w:r w:rsidRPr="00040A62">
        <w:br/>
      </w:r>
      <w:r w:rsidRPr="00040A62">
        <w:rPr>
          <w:b/>
        </w:rPr>
        <w:t>237 934</w:t>
      </w:r>
      <w:r w:rsidRPr="00040A62">
        <w:rPr>
          <w:b/>
          <w:bCs/>
        </w:rPr>
        <w:t xml:space="preserve"> tis. Kč</w:t>
      </w:r>
      <w:r w:rsidRPr="00040A62">
        <w:t>, z toho kapitálové výdaje 98 365 tis. Kč a běžné výdaje 139 569 tis. Kč.</w:t>
      </w:r>
    </w:p>
    <w:p w14:paraId="296A9EDE" w14:textId="77777777" w:rsidR="00040A62" w:rsidRPr="00040A62" w:rsidRDefault="00040A62" w:rsidP="00040A62">
      <w:pPr>
        <w:spacing w:before="80" w:after="120"/>
        <w:rPr>
          <w:rFonts w:eastAsia="Times New Roman" w:cs="Times New Roman"/>
          <w:szCs w:val="24"/>
          <w:lang w:eastAsia="cs-CZ"/>
        </w:rPr>
      </w:pPr>
      <w:r w:rsidRPr="00040A62">
        <w:rPr>
          <w:rFonts w:eastAsia="Times New Roman" w:cs="Times New Roman"/>
          <w:szCs w:val="24"/>
          <w:lang w:eastAsia="cs-CZ"/>
        </w:rPr>
        <w:t xml:space="preserve">Celková částka </w:t>
      </w:r>
      <w:r w:rsidRPr="00040A62">
        <w:rPr>
          <w:rFonts w:eastAsia="Times New Roman" w:cs="Times New Roman"/>
          <w:b/>
          <w:szCs w:val="24"/>
          <w:lang w:eastAsia="cs-CZ"/>
        </w:rPr>
        <w:t>237 934 tis. Kč</w:t>
      </w:r>
      <w:r w:rsidRPr="00040A62">
        <w:rPr>
          <w:rFonts w:eastAsia="Times New Roman" w:cs="Times New Roman"/>
          <w:szCs w:val="24"/>
          <w:lang w:eastAsia="cs-CZ"/>
        </w:rPr>
        <w:t xml:space="preserve"> bude čerpána v programech 127 03 a 127 07:</w:t>
      </w:r>
    </w:p>
    <w:p w14:paraId="7A5D7A38" w14:textId="77777777" w:rsidR="00040A62" w:rsidRPr="00040A62" w:rsidRDefault="00040A62" w:rsidP="00040A62">
      <w:pPr>
        <w:numPr>
          <w:ilvl w:val="0"/>
          <w:numId w:val="28"/>
        </w:numPr>
        <w:tabs>
          <w:tab w:val="clear" w:pos="720"/>
          <w:tab w:val="num" w:pos="2268"/>
        </w:tabs>
        <w:spacing w:after="40" w:line="240" w:lineRule="auto"/>
        <w:ind w:left="851" w:hanging="284"/>
        <w:rPr>
          <w:rFonts w:eastAsia="Times New Roman" w:cs="Times New Roman"/>
          <w:szCs w:val="24"/>
          <w:lang w:eastAsia="cs-CZ"/>
        </w:rPr>
      </w:pPr>
      <w:r w:rsidRPr="00040A62">
        <w:rPr>
          <w:rFonts w:eastAsia="Times New Roman" w:cs="Times New Roman"/>
          <w:szCs w:val="24"/>
          <w:lang w:eastAsia="cs-CZ"/>
        </w:rPr>
        <w:t xml:space="preserve">ve výši </w:t>
      </w:r>
      <w:r w:rsidRPr="00040A62">
        <w:rPr>
          <w:rFonts w:eastAsia="Times New Roman" w:cs="Times New Roman"/>
          <w:b/>
          <w:szCs w:val="24"/>
          <w:lang w:eastAsia="cs-CZ"/>
        </w:rPr>
        <w:t>57 066 tis. Kč</w:t>
      </w:r>
      <w:r w:rsidRPr="00040A62">
        <w:rPr>
          <w:rFonts w:eastAsia="Times New Roman" w:cs="Times New Roman"/>
          <w:szCs w:val="24"/>
          <w:lang w:eastAsia="cs-CZ"/>
        </w:rPr>
        <w:t xml:space="preserve"> na financování subtitulu 127V0310 „Pořízení, obnova </w:t>
      </w:r>
      <w:r w:rsidRPr="00040A62">
        <w:rPr>
          <w:rFonts w:eastAsia="Times New Roman" w:cs="Times New Roman"/>
          <w:szCs w:val="24"/>
          <w:lang w:eastAsia="cs-CZ"/>
        </w:rPr>
        <w:br/>
        <w:t>a provozování ICT systému řízení MD“ (z toho kapitálové výdaje 10 842 tis. Kč a běžné výdaje 46 223 tis. Kč)</w:t>
      </w:r>
    </w:p>
    <w:p w14:paraId="6F26B2CC" w14:textId="77777777" w:rsidR="00040A62" w:rsidRPr="00040A62" w:rsidRDefault="00040A62" w:rsidP="00040A62">
      <w:pPr>
        <w:numPr>
          <w:ilvl w:val="0"/>
          <w:numId w:val="28"/>
        </w:numPr>
        <w:tabs>
          <w:tab w:val="clear" w:pos="720"/>
          <w:tab w:val="num" w:pos="2268"/>
        </w:tabs>
        <w:spacing w:after="40" w:line="240" w:lineRule="auto"/>
        <w:ind w:left="851" w:hanging="284"/>
        <w:rPr>
          <w:rFonts w:eastAsia="Times New Roman" w:cs="Times New Roman"/>
          <w:szCs w:val="24"/>
          <w:lang w:eastAsia="cs-CZ"/>
        </w:rPr>
      </w:pPr>
      <w:r w:rsidRPr="00040A62">
        <w:rPr>
          <w:rFonts w:eastAsia="Times New Roman" w:cs="Times New Roman"/>
          <w:szCs w:val="24"/>
          <w:lang w:eastAsia="cs-CZ"/>
        </w:rPr>
        <w:t xml:space="preserve">ve výši </w:t>
      </w:r>
      <w:r w:rsidRPr="00040A62">
        <w:rPr>
          <w:rFonts w:eastAsia="Times New Roman" w:cs="Times New Roman"/>
          <w:b/>
          <w:szCs w:val="24"/>
          <w:lang w:eastAsia="cs-CZ"/>
        </w:rPr>
        <w:t>176 868 tis. Kč</w:t>
      </w:r>
      <w:r w:rsidRPr="00040A62">
        <w:rPr>
          <w:rFonts w:eastAsia="Times New Roman" w:cs="Times New Roman"/>
          <w:szCs w:val="24"/>
          <w:lang w:eastAsia="cs-CZ"/>
        </w:rPr>
        <w:t xml:space="preserve"> na financování subtitulu 127V0710 „Pořízení, obnova </w:t>
      </w:r>
      <w:r w:rsidRPr="00040A62">
        <w:rPr>
          <w:rFonts w:eastAsia="Times New Roman" w:cs="Times New Roman"/>
          <w:szCs w:val="24"/>
          <w:lang w:eastAsia="cs-CZ"/>
        </w:rPr>
        <w:br/>
        <w:t>a provozování ICT systému řízení MD“ (z toho kapitálové výdaje 83 522 tis. Kč a běžné výdaje 93 346 tis. Kč)</w:t>
      </w:r>
    </w:p>
    <w:p w14:paraId="3AA63113" w14:textId="6C379C75" w:rsidR="00040A62" w:rsidRPr="00040A62" w:rsidRDefault="00040A62" w:rsidP="00040A62">
      <w:pPr>
        <w:numPr>
          <w:ilvl w:val="0"/>
          <w:numId w:val="28"/>
        </w:numPr>
        <w:tabs>
          <w:tab w:val="clear" w:pos="720"/>
          <w:tab w:val="num" w:pos="2268"/>
        </w:tabs>
        <w:spacing w:after="40" w:line="240" w:lineRule="auto"/>
        <w:ind w:left="851" w:hanging="284"/>
        <w:rPr>
          <w:rFonts w:eastAsia="Times New Roman" w:cs="Times New Roman"/>
          <w:szCs w:val="24"/>
          <w:lang w:eastAsia="cs-CZ"/>
        </w:rPr>
      </w:pPr>
      <w:r w:rsidRPr="00040A62">
        <w:rPr>
          <w:rFonts w:eastAsia="Times New Roman" w:cs="Times New Roman"/>
          <w:szCs w:val="24"/>
          <w:lang w:eastAsia="cs-CZ"/>
        </w:rPr>
        <w:lastRenderedPageBreak/>
        <w:t xml:space="preserve">ve výši </w:t>
      </w:r>
      <w:r w:rsidRPr="00040A62">
        <w:rPr>
          <w:rFonts w:eastAsia="Times New Roman" w:cs="Times New Roman"/>
          <w:b/>
          <w:szCs w:val="24"/>
          <w:lang w:eastAsia="cs-CZ"/>
        </w:rPr>
        <w:t>4 000 tis. Kč</w:t>
      </w:r>
      <w:r w:rsidRPr="00040A62">
        <w:rPr>
          <w:rFonts w:eastAsia="Times New Roman" w:cs="Times New Roman"/>
          <w:szCs w:val="24"/>
          <w:lang w:eastAsia="cs-CZ"/>
        </w:rPr>
        <w:t xml:space="preserve"> na financování subtitulu 127V0720 „Rozvoj a obnova materiálně</w:t>
      </w:r>
      <w:r w:rsidR="00865FC3">
        <w:rPr>
          <w:rFonts w:eastAsia="Times New Roman" w:cs="Times New Roman"/>
          <w:szCs w:val="24"/>
          <w:lang w:eastAsia="cs-CZ"/>
        </w:rPr>
        <w:t>-</w:t>
      </w:r>
      <w:r w:rsidRPr="00040A62">
        <w:rPr>
          <w:rFonts w:eastAsia="Times New Roman" w:cs="Times New Roman"/>
          <w:szCs w:val="24"/>
          <w:lang w:eastAsia="cs-CZ"/>
        </w:rPr>
        <w:t xml:space="preserve"> technické základny MD“ (pouze kapitálové výdaje).</w:t>
      </w:r>
    </w:p>
    <w:p w14:paraId="14B56E36" w14:textId="77777777" w:rsidR="00040A62" w:rsidRPr="00040A62" w:rsidRDefault="00040A62" w:rsidP="00040A62">
      <w:pPr>
        <w:pStyle w:val="Styl1"/>
      </w:pPr>
      <w:r w:rsidRPr="00040A62">
        <w:t xml:space="preserve">Objem </w:t>
      </w:r>
      <w:r w:rsidRPr="00040A62">
        <w:rPr>
          <w:b/>
        </w:rPr>
        <w:t xml:space="preserve">kapitálových výdajů </w:t>
      </w:r>
      <w:r w:rsidRPr="00040A62">
        <w:t>ve výši</w:t>
      </w:r>
      <w:r w:rsidRPr="00040A62">
        <w:rPr>
          <w:b/>
        </w:rPr>
        <w:t xml:space="preserve"> 94 365 tis. Kč </w:t>
      </w:r>
      <w:r w:rsidRPr="00040A62">
        <w:t xml:space="preserve">bude vyčleněn </w:t>
      </w:r>
      <w:r w:rsidRPr="00040A62">
        <w:rPr>
          <w:b/>
        </w:rPr>
        <w:t>v subtitulech „ICT“ (127V0310 a 127V0710)</w:t>
      </w:r>
      <w:r w:rsidRPr="00040A62">
        <w:t xml:space="preserve"> na zajištění pořízení informačních technologií a rozvoje aplikací/informačních systémů, které mj. zahrnují Centrální registr řidičů (22 000 tis. Kč); eTesty (15 000 tis. Kč); Registr silničních vozidel 12 099 tis. Kč; Národní kontaktní místo (1 239 tis. Kč); Produkční disková pole (2 500 tis. Kč); Rejstřík podnikatelů v silniční dopravě (9 680 tis. Kč); Systém národního tarifu (6 301 tis. Kč); Resortní mapový portál (7 596 tis. Kč); Portál Doprava (4 279 tis. Kč); Aplikace ISNP (2 500 tis. Kč) či Povolení k nadměrné a nadrozměrné přepravě (2 372 tis. Kč).</w:t>
      </w:r>
    </w:p>
    <w:p w14:paraId="0F51CBF6" w14:textId="64F7A703" w:rsidR="00040A62" w:rsidRPr="00040A62" w:rsidRDefault="00040A62" w:rsidP="00040A62">
      <w:pPr>
        <w:pStyle w:val="Styl1"/>
        <w:rPr>
          <w:b/>
        </w:rPr>
      </w:pPr>
      <w:r w:rsidRPr="00040A62">
        <w:rPr>
          <w:b/>
        </w:rPr>
        <w:t>V subtitulu 127V0720</w:t>
      </w:r>
      <w:r w:rsidRPr="00040A62">
        <w:t xml:space="preserve"> „Rozvoj a obnova materiálně</w:t>
      </w:r>
      <w:r w:rsidR="00865FC3">
        <w:t>-</w:t>
      </w:r>
      <w:r w:rsidRPr="00040A62">
        <w:t xml:space="preserve">technické základny“ je plánováno vynaložit investiční prostředky ve výši </w:t>
      </w:r>
      <w:r w:rsidRPr="00040A62">
        <w:rPr>
          <w:b/>
        </w:rPr>
        <w:t xml:space="preserve">4 000 tis. Kč </w:t>
      </w:r>
      <w:r w:rsidRPr="00040A62">
        <w:t>do obnovy vozového parku.</w:t>
      </w:r>
    </w:p>
    <w:p w14:paraId="3753F9B5" w14:textId="500A54A3" w:rsidR="007E1BD7" w:rsidRPr="00040A62" w:rsidRDefault="00040A62" w:rsidP="00040A62">
      <w:pPr>
        <w:pStyle w:val="Styl1"/>
      </w:pPr>
      <w:r w:rsidRPr="00040A62">
        <w:t>V </w:t>
      </w:r>
      <w:r w:rsidRPr="00040A62">
        <w:rPr>
          <w:b/>
        </w:rPr>
        <w:t>běžných výdajích</w:t>
      </w:r>
      <w:r w:rsidRPr="00040A62">
        <w:t>,</w:t>
      </w:r>
      <w:r w:rsidRPr="00040A62">
        <w:rPr>
          <w:b/>
        </w:rPr>
        <w:t xml:space="preserve"> </w:t>
      </w:r>
      <w:r w:rsidRPr="00040A62">
        <w:t>jejichž celková hodnota je</w:t>
      </w:r>
      <w:r w:rsidRPr="00040A62">
        <w:rPr>
          <w:b/>
        </w:rPr>
        <w:t xml:space="preserve"> 139 569 tis. Kč</w:t>
      </w:r>
      <w:r w:rsidRPr="00040A62">
        <w:t xml:space="preserve"> v subtitulech „ICT“ (127V0310 a 127V0710), jsou zahrnuty mj. prostředky na zajištění podpory a provozu aplikace Portálu Doprava (29 429 tis. Kč); Registru silničních vozidel (27 564 tis. Kč); Systému národního tarifu (27 351 tis. Kč); Digitálního tachografu a na výrobu a personalizaci karet (19 907 tis. Kč); Systému technických prohlídek (13 768 tis. Kč)</w:t>
      </w:r>
      <w:r w:rsidR="007E1BD7" w:rsidRPr="00040A62">
        <w:t>.</w:t>
      </w:r>
    </w:p>
    <w:p w14:paraId="2B9F6A06" w14:textId="77777777" w:rsidR="007E1BD7" w:rsidRPr="004C4C9A" w:rsidRDefault="007E1BD7" w:rsidP="007E1BD7">
      <w:pPr>
        <w:keepNext/>
        <w:tabs>
          <w:tab w:val="left" w:pos="708"/>
        </w:tabs>
        <w:spacing w:before="80" w:line="240" w:lineRule="auto"/>
        <w:outlineLvl w:val="3"/>
        <w:rPr>
          <w:rFonts w:eastAsia="Times New Roman" w:cs="Times New Roman"/>
          <w:b/>
          <w:bCs/>
          <w:noProof/>
          <w:sz w:val="20"/>
          <w:szCs w:val="20"/>
          <w:lang w:eastAsia="cs-CZ"/>
        </w:rPr>
      </w:pPr>
      <w:r w:rsidRPr="004C4C9A">
        <w:rPr>
          <w:rFonts w:eastAsia="Times New Roman" w:cs="Times New Roman"/>
          <w:b/>
          <w:szCs w:val="24"/>
          <w:u w:val="single"/>
          <w:lang w:eastAsia="cs-CZ"/>
        </w:rPr>
        <w:t>Úřad pro civilní letectví</w:t>
      </w:r>
    </w:p>
    <w:p w14:paraId="1DB336C8" w14:textId="4933C494" w:rsidR="007E1BD7" w:rsidRPr="004C4C9A" w:rsidRDefault="007E1BD7" w:rsidP="007E1BD7">
      <w:pPr>
        <w:keepNext/>
        <w:spacing w:before="120" w:after="120" w:line="240" w:lineRule="auto"/>
        <w:rPr>
          <w:rFonts w:eastAsia="Times New Roman" w:cs="Times New Roman"/>
          <w:b/>
          <w:bCs/>
          <w:noProof/>
          <w:sz w:val="20"/>
          <w:szCs w:val="20"/>
          <w:lang w:eastAsia="cs-CZ"/>
        </w:rPr>
      </w:pPr>
      <w:r w:rsidRPr="004C4C9A">
        <w:rPr>
          <w:rFonts w:eastAsia="Times New Roman" w:cs="Times New Roman"/>
          <w:b/>
          <w:bCs/>
          <w:sz w:val="20"/>
          <w:szCs w:val="20"/>
          <w:lang w:eastAsia="cs-CZ"/>
        </w:rPr>
        <w:t xml:space="preserve">Tabulka č. </w:t>
      </w:r>
      <w:r w:rsidRPr="004C4C9A">
        <w:rPr>
          <w:rFonts w:eastAsia="Times New Roman" w:cs="Times New Roman"/>
          <w:b/>
          <w:bCs/>
          <w:noProof/>
          <w:sz w:val="20"/>
          <w:szCs w:val="20"/>
          <w:lang w:eastAsia="cs-CZ"/>
        </w:rPr>
        <w:fldChar w:fldCharType="begin"/>
      </w:r>
      <w:r w:rsidRPr="004C4C9A">
        <w:rPr>
          <w:rFonts w:eastAsia="Times New Roman" w:cs="Times New Roman"/>
          <w:b/>
          <w:bCs/>
          <w:noProof/>
          <w:sz w:val="20"/>
          <w:szCs w:val="20"/>
          <w:lang w:eastAsia="cs-CZ"/>
        </w:rPr>
        <w:instrText xml:space="preserve"> SEQ Tabulka \* ARABIC </w:instrText>
      </w:r>
      <w:r w:rsidRPr="004C4C9A">
        <w:rPr>
          <w:rFonts w:eastAsia="Times New Roman" w:cs="Times New Roman"/>
          <w:b/>
          <w:bCs/>
          <w:noProof/>
          <w:sz w:val="20"/>
          <w:szCs w:val="20"/>
          <w:lang w:eastAsia="cs-CZ"/>
        </w:rPr>
        <w:fldChar w:fldCharType="separate"/>
      </w:r>
      <w:r w:rsidR="003B0B01" w:rsidRPr="004C4C9A">
        <w:rPr>
          <w:rFonts w:eastAsia="Times New Roman" w:cs="Times New Roman"/>
          <w:b/>
          <w:bCs/>
          <w:noProof/>
          <w:sz w:val="20"/>
          <w:szCs w:val="20"/>
          <w:lang w:eastAsia="cs-CZ"/>
        </w:rPr>
        <w:t>36</w:t>
      </w:r>
      <w:r w:rsidRPr="004C4C9A">
        <w:rPr>
          <w:rFonts w:eastAsia="Times New Roman" w:cs="Times New Roman"/>
          <w:b/>
          <w:bCs/>
          <w:noProof/>
          <w:sz w:val="20"/>
          <w:szCs w:val="20"/>
          <w:lang w:eastAsia="cs-CZ"/>
        </w:rPr>
        <w:fldChar w:fldCharType="end"/>
      </w:r>
      <w:r w:rsidRPr="004C4C9A">
        <w:rPr>
          <w:rFonts w:eastAsia="Times New Roman" w:cs="Times New Roman"/>
          <w:b/>
          <w:bCs/>
          <w:noProof/>
          <w:sz w:val="20"/>
          <w:szCs w:val="20"/>
          <w:lang w:eastAsia="cs-CZ"/>
        </w:rPr>
        <w:t xml:space="preserve"> Výdaje Úřadu pro civilní letectví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7E1BD7" w:rsidRPr="004C4C9A" w14:paraId="278CF58F" w14:textId="77777777" w:rsidTr="001E02B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F495EE2" w14:textId="77777777" w:rsidR="007E1BD7" w:rsidRPr="004C4C9A" w:rsidRDefault="007E1BD7" w:rsidP="001E02BC">
            <w:pPr>
              <w:jc w:val="center"/>
              <w:rPr>
                <w:rFonts w:eastAsia="Times New Roman" w:cs="Times New Roman"/>
                <w:b/>
                <w:bCs/>
                <w:lang w:eastAsia="cs-CZ"/>
              </w:rPr>
            </w:pPr>
            <w:r w:rsidRPr="004C4C9A">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CCA0833" w14:textId="3D36AF48" w:rsidR="007E1BD7" w:rsidRPr="004C4C9A" w:rsidRDefault="007E1BD7" w:rsidP="001E02BC">
            <w:pPr>
              <w:jc w:val="center"/>
              <w:rPr>
                <w:rFonts w:eastAsia="Times New Roman" w:cs="Times New Roman"/>
                <w:b/>
                <w:bCs/>
                <w:lang w:eastAsia="cs-CZ"/>
              </w:rPr>
            </w:pPr>
            <w:r w:rsidRPr="004C4C9A">
              <w:rPr>
                <w:rFonts w:eastAsia="Times New Roman" w:cs="Times New Roman"/>
                <w:b/>
                <w:bCs/>
                <w:lang w:eastAsia="cs-CZ"/>
              </w:rPr>
              <w:t xml:space="preserve">Skutečnost </w:t>
            </w:r>
            <w:r w:rsidRPr="004C4C9A">
              <w:rPr>
                <w:rFonts w:eastAsia="Times New Roman" w:cs="Times New Roman"/>
                <w:b/>
                <w:bCs/>
                <w:lang w:eastAsia="cs-CZ"/>
              </w:rPr>
              <w:br/>
              <w:t>202</w:t>
            </w:r>
            <w:r w:rsidR="004C4C9A" w:rsidRPr="004C4C9A">
              <w:rPr>
                <w:rFonts w:eastAsia="Times New Roman" w:cs="Times New Roman"/>
                <w:b/>
                <w:bCs/>
                <w:lang w:eastAsia="cs-CZ"/>
              </w:rPr>
              <w:t>3</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DA96F5C" w14:textId="76DE1221" w:rsidR="007E1BD7" w:rsidRPr="004C4C9A" w:rsidRDefault="007E1BD7" w:rsidP="001E02BC">
            <w:pPr>
              <w:jc w:val="center"/>
              <w:rPr>
                <w:rFonts w:eastAsia="Times New Roman" w:cs="Times New Roman"/>
                <w:b/>
                <w:bCs/>
                <w:lang w:eastAsia="cs-CZ"/>
              </w:rPr>
            </w:pPr>
            <w:r w:rsidRPr="004C4C9A">
              <w:rPr>
                <w:rFonts w:eastAsia="Times New Roman" w:cs="Times New Roman"/>
                <w:b/>
                <w:bCs/>
                <w:lang w:eastAsia="cs-CZ"/>
              </w:rPr>
              <w:t>Schválený rozpočet 202</w:t>
            </w:r>
            <w:r w:rsidR="004C4C9A" w:rsidRPr="004C4C9A">
              <w:rPr>
                <w:rFonts w:eastAsia="Times New Roman" w:cs="Times New Roman"/>
                <w:b/>
                <w:bCs/>
                <w:lang w:eastAsia="cs-CZ"/>
              </w:rPr>
              <w:t>4</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21E64D" w14:textId="51842607" w:rsidR="007E1BD7" w:rsidRPr="004C4C9A" w:rsidRDefault="007E1BD7" w:rsidP="001E02BC">
            <w:pPr>
              <w:jc w:val="center"/>
              <w:rPr>
                <w:rFonts w:eastAsia="Times New Roman" w:cs="Times New Roman"/>
                <w:b/>
                <w:bCs/>
                <w:lang w:eastAsia="cs-CZ"/>
              </w:rPr>
            </w:pPr>
            <w:r w:rsidRPr="004C4C9A">
              <w:rPr>
                <w:rFonts w:eastAsia="Times New Roman" w:cs="Times New Roman"/>
                <w:b/>
                <w:bCs/>
                <w:lang w:eastAsia="cs-CZ"/>
              </w:rPr>
              <w:t xml:space="preserve">Návrh rozpočtu </w:t>
            </w:r>
            <w:r w:rsidRPr="004C4C9A">
              <w:rPr>
                <w:rFonts w:eastAsia="Times New Roman" w:cs="Times New Roman"/>
                <w:b/>
                <w:bCs/>
                <w:lang w:eastAsia="cs-CZ"/>
              </w:rPr>
              <w:br/>
              <w:t>202</w:t>
            </w:r>
            <w:r w:rsidR="004C4C9A" w:rsidRPr="004C4C9A">
              <w:rPr>
                <w:rFonts w:eastAsia="Times New Roman" w:cs="Times New Roman"/>
                <w:b/>
                <w:bCs/>
                <w:lang w:eastAsia="cs-CZ"/>
              </w:rPr>
              <w:t>5</w:t>
            </w:r>
          </w:p>
        </w:tc>
      </w:tr>
      <w:tr w:rsidR="004C4C9A" w:rsidRPr="004C4C9A" w14:paraId="4BCB63B4" w14:textId="77777777" w:rsidTr="001E02BC">
        <w:tc>
          <w:tcPr>
            <w:tcW w:w="2263" w:type="dxa"/>
            <w:tcBorders>
              <w:bottom w:val="single" w:sz="8" w:space="0" w:color="7F7F7F" w:themeColor="text1" w:themeTint="80"/>
            </w:tcBorders>
            <w:shd w:val="clear" w:color="auto" w:fill="auto"/>
          </w:tcPr>
          <w:p w14:paraId="399B48E1" w14:textId="77777777" w:rsidR="004C4C9A" w:rsidRDefault="004C4C9A" w:rsidP="004C4C9A">
            <w:pPr>
              <w:jc w:val="center"/>
              <w:rPr>
                <w:rFonts w:eastAsia="Times New Roman" w:cs="Times New Roman"/>
                <w:iCs/>
                <w:lang w:eastAsia="cs-CZ"/>
              </w:rPr>
            </w:pPr>
            <w:r w:rsidRPr="004C4C9A">
              <w:rPr>
                <w:rFonts w:eastAsia="Times New Roman" w:cs="Times New Roman"/>
                <w:iCs/>
                <w:lang w:eastAsia="cs-CZ"/>
              </w:rPr>
              <w:t>127 03</w:t>
            </w:r>
          </w:p>
          <w:p w14:paraId="65B543C4" w14:textId="1547BA41" w:rsidR="0045390C" w:rsidRPr="004C4C9A" w:rsidRDefault="0045390C" w:rsidP="004C4C9A">
            <w:pPr>
              <w:jc w:val="center"/>
              <w:rPr>
                <w:rFonts w:eastAsia="Times New Roman" w:cs="Times New Roman"/>
                <w:lang w:eastAsia="cs-CZ"/>
              </w:rPr>
            </w:pPr>
            <w:r w:rsidRPr="004C4C9A">
              <w:rPr>
                <w:rFonts w:eastAsia="Times New Roman" w:cs="Times New Roman"/>
                <w:i/>
                <w:iCs/>
                <w:lang w:eastAsia="cs-CZ"/>
              </w:rPr>
              <w:t>z toho: BV</w:t>
            </w:r>
          </w:p>
        </w:tc>
        <w:tc>
          <w:tcPr>
            <w:tcW w:w="2266" w:type="dxa"/>
            <w:tcBorders>
              <w:bottom w:val="single" w:sz="8" w:space="0" w:color="7F7F7F" w:themeColor="text1" w:themeTint="80"/>
            </w:tcBorders>
            <w:shd w:val="clear" w:color="auto" w:fill="auto"/>
            <w:vAlign w:val="center"/>
          </w:tcPr>
          <w:p w14:paraId="33620221" w14:textId="77777777"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 xml:space="preserve">9 838 </w:t>
            </w:r>
          </w:p>
          <w:p w14:paraId="75F5A7B7" w14:textId="51F87EA2" w:rsidR="004C4C9A" w:rsidRPr="004C4C9A" w:rsidRDefault="004C4C9A" w:rsidP="004C4C9A">
            <w:pPr>
              <w:jc w:val="right"/>
              <w:rPr>
                <w:rFonts w:eastAsia="Times New Roman" w:cs="Times New Roman"/>
                <w:iCs/>
                <w:lang w:eastAsia="cs-CZ"/>
              </w:rPr>
            </w:pPr>
            <w:r w:rsidRPr="004C4C9A">
              <w:rPr>
                <w:rFonts w:eastAsia="Times New Roman" w:cs="Times New Roman"/>
                <w:i/>
                <w:lang w:eastAsia="cs-CZ"/>
              </w:rPr>
              <w:t xml:space="preserve">368 </w:t>
            </w:r>
          </w:p>
        </w:tc>
        <w:tc>
          <w:tcPr>
            <w:tcW w:w="2264" w:type="dxa"/>
            <w:tcBorders>
              <w:bottom w:val="single" w:sz="8" w:space="0" w:color="7F7F7F" w:themeColor="text1" w:themeTint="80"/>
            </w:tcBorders>
            <w:shd w:val="clear" w:color="auto" w:fill="auto"/>
            <w:vAlign w:val="center"/>
          </w:tcPr>
          <w:p w14:paraId="4F876ED3" w14:textId="77777777"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p w14:paraId="6C301ECC" w14:textId="7BC11345" w:rsidR="004C4C9A" w:rsidRPr="004C4C9A" w:rsidRDefault="0045390C" w:rsidP="004C4C9A">
            <w:pPr>
              <w:jc w:val="right"/>
              <w:rPr>
                <w:rFonts w:eastAsia="Times New Roman" w:cs="Times New Roman"/>
                <w:iCs/>
                <w:lang w:eastAsia="cs-CZ"/>
              </w:rPr>
            </w:pPr>
            <w:r>
              <w:rPr>
                <w:rFonts w:eastAsia="Times New Roman" w:cs="Times New Roman"/>
                <w:iCs/>
                <w:lang w:eastAsia="cs-CZ"/>
              </w:rPr>
              <w:t>0</w:t>
            </w:r>
          </w:p>
        </w:tc>
        <w:tc>
          <w:tcPr>
            <w:tcW w:w="2257" w:type="dxa"/>
            <w:tcBorders>
              <w:bottom w:val="single" w:sz="8" w:space="0" w:color="7F7F7F" w:themeColor="text1" w:themeTint="80"/>
            </w:tcBorders>
            <w:shd w:val="clear" w:color="auto" w:fill="auto"/>
            <w:vAlign w:val="center"/>
          </w:tcPr>
          <w:p w14:paraId="1241195B" w14:textId="4C3A4D77"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p w14:paraId="0D1A7A1D" w14:textId="73BAAE96" w:rsidR="004C4C9A" w:rsidRPr="004C4C9A" w:rsidRDefault="0045390C" w:rsidP="004C4C9A">
            <w:pPr>
              <w:jc w:val="right"/>
              <w:rPr>
                <w:rFonts w:eastAsia="Times New Roman" w:cs="Times New Roman"/>
                <w:iCs/>
                <w:lang w:eastAsia="cs-CZ"/>
              </w:rPr>
            </w:pPr>
            <w:r>
              <w:rPr>
                <w:rFonts w:eastAsia="Times New Roman" w:cs="Times New Roman"/>
                <w:iCs/>
                <w:lang w:eastAsia="cs-CZ"/>
              </w:rPr>
              <w:t>0</w:t>
            </w:r>
          </w:p>
        </w:tc>
      </w:tr>
      <w:tr w:rsidR="004C4C9A" w:rsidRPr="004C4C9A" w14:paraId="4CDEB845" w14:textId="77777777" w:rsidTr="001E02BC">
        <w:tc>
          <w:tcPr>
            <w:tcW w:w="2263" w:type="dxa"/>
            <w:tcBorders>
              <w:bottom w:val="single" w:sz="8" w:space="0" w:color="7F7F7F" w:themeColor="text1" w:themeTint="80"/>
            </w:tcBorders>
            <w:shd w:val="clear" w:color="auto" w:fill="auto"/>
          </w:tcPr>
          <w:p w14:paraId="54BCE0EF" w14:textId="77777777" w:rsidR="004C4C9A" w:rsidRPr="004C4C9A" w:rsidRDefault="004C4C9A" w:rsidP="004C4C9A">
            <w:pPr>
              <w:jc w:val="center"/>
              <w:rPr>
                <w:rFonts w:eastAsia="Times New Roman" w:cs="Times New Roman"/>
                <w:iCs/>
                <w:lang w:eastAsia="cs-CZ"/>
              </w:rPr>
            </w:pPr>
            <w:r w:rsidRPr="004C4C9A">
              <w:rPr>
                <w:rFonts w:eastAsia="Times New Roman" w:cs="Times New Roman"/>
                <w:iCs/>
                <w:lang w:eastAsia="cs-CZ"/>
              </w:rPr>
              <w:t>127 07</w:t>
            </w:r>
          </w:p>
          <w:p w14:paraId="6D0E03EB" w14:textId="77777777" w:rsidR="004C4C9A" w:rsidRPr="004C4C9A" w:rsidRDefault="004C4C9A" w:rsidP="004C4C9A">
            <w:pPr>
              <w:jc w:val="center"/>
              <w:rPr>
                <w:rFonts w:eastAsia="Times New Roman" w:cs="Times New Roman"/>
                <w:i/>
                <w:iCs/>
                <w:lang w:eastAsia="cs-CZ"/>
              </w:rPr>
            </w:pPr>
            <w:r w:rsidRPr="004C4C9A">
              <w:rPr>
                <w:rFonts w:eastAsia="Times New Roman" w:cs="Times New Roman"/>
                <w:i/>
                <w:iCs/>
                <w:lang w:eastAsia="cs-CZ"/>
              </w:rPr>
              <w:t>z toho: BV</w:t>
            </w:r>
          </w:p>
        </w:tc>
        <w:tc>
          <w:tcPr>
            <w:tcW w:w="2266" w:type="dxa"/>
            <w:tcBorders>
              <w:bottom w:val="single" w:sz="8" w:space="0" w:color="7F7F7F" w:themeColor="text1" w:themeTint="80"/>
            </w:tcBorders>
            <w:shd w:val="clear" w:color="auto" w:fill="auto"/>
            <w:vAlign w:val="center"/>
          </w:tcPr>
          <w:p w14:paraId="69304B1E" w14:textId="77777777"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p w14:paraId="55CF3431" w14:textId="7CBEBB2D" w:rsidR="004C4C9A" w:rsidRPr="004C4C9A" w:rsidRDefault="004C4C9A" w:rsidP="004C4C9A">
            <w:pPr>
              <w:jc w:val="right"/>
              <w:rPr>
                <w:rFonts w:eastAsia="Times New Roman" w:cs="Times New Roman"/>
                <w:i/>
                <w:iCs/>
                <w:lang w:eastAsia="cs-CZ"/>
              </w:rPr>
            </w:pPr>
            <w:r w:rsidRPr="004C4C9A">
              <w:rPr>
                <w:rFonts w:eastAsia="Times New Roman" w:cs="Times New Roman"/>
                <w:i/>
                <w:iCs/>
                <w:lang w:eastAsia="cs-CZ"/>
              </w:rPr>
              <w:t>0</w:t>
            </w:r>
          </w:p>
        </w:tc>
        <w:tc>
          <w:tcPr>
            <w:tcW w:w="2264" w:type="dxa"/>
            <w:tcBorders>
              <w:bottom w:val="single" w:sz="8" w:space="0" w:color="7F7F7F" w:themeColor="text1" w:themeTint="80"/>
            </w:tcBorders>
            <w:shd w:val="clear" w:color="auto" w:fill="auto"/>
            <w:vAlign w:val="center"/>
          </w:tcPr>
          <w:p w14:paraId="249CDFA1" w14:textId="77777777"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11 800</w:t>
            </w:r>
          </w:p>
          <w:p w14:paraId="14C9B248" w14:textId="313BEA12" w:rsidR="004C4C9A" w:rsidRPr="004C4C9A" w:rsidRDefault="004C4C9A" w:rsidP="004C4C9A">
            <w:pPr>
              <w:jc w:val="right"/>
              <w:rPr>
                <w:rFonts w:eastAsia="Times New Roman" w:cs="Times New Roman"/>
                <w:i/>
                <w:iCs/>
                <w:lang w:eastAsia="cs-CZ"/>
              </w:rPr>
            </w:pPr>
            <w:r w:rsidRPr="004C4C9A">
              <w:rPr>
                <w:rFonts w:eastAsia="Times New Roman" w:cs="Times New Roman"/>
                <w:i/>
                <w:iCs/>
                <w:lang w:eastAsia="cs-CZ"/>
              </w:rPr>
              <w:t>300</w:t>
            </w:r>
          </w:p>
        </w:tc>
        <w:tc>
          <w:tcPr>
            <w:tcW w:w="2257" w:type="dxa"/>
            <w:tcBorders>
              <w:bottom w:val="single" w:sz="8" w:space="0" w:color="7F7F7F" w:themeColor="text1" w:themeTint="80"/>
            </w:tcBorders>
            <w:shd w:val="clear" w:color="auto" w:fill="auto"/>
            <w:vAlign w:val="center"/>
          </w:tcPr>
          <w:p w14:paraId="38F129ED" w14:textId="77777777"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11 150</w:t>
            </w:r>
          </w:p>
          <w:p w14:paraId="77E2A4F1" w14:textId="16E24A22" w:rsidR="004C4C9A" w:rsidRPr="004C4C9A" w:rsidRDefault="004C4C9A" w:rsidP="004C4C9A">
            <w:pPr>
              <w:jc w:val="right"/>
              <w:rPr>
                <w:rFonts w:eastAsia="Times New Roman" w:cs="Times New Roman"/>
                <w:i/>
                <w:iCs/>
                <w:lang w:eastAsia="cs-CZ"/>
              </w:rPr>
            </w:pPr>
            <w:r w:rsidRPr="004C4C9A">
              <w:rPr>
                <w:rFonts w:eastAsia="Times New Roman" w:cs="Times New Roman"/>
                <w:i/>
                <w:iCs/>
                <w:lang w:eastAsia="cs-CZ"/>
              </w:rPr>
              <w:t>300</w:t>
            </w:r>
          </w:p>
        </w:tc>
      </w:tr>
      <w:tr w:rsidR="004C4C9A" w:rsidRPr="004C4C9A" w14:paraId="0C438C27" w14:textId="77777777" w:rsidTr="001E02BC">
        <w:tc>
          <w:tcPr>
            <w:tcW w:w="2263" w:type="dxa"/>
            <w:tcBorders>
              <w:top w:val="single" w:sz="8" w:space="0" w:color="7F7F7F" w:themeColor="text1" w:themeTint="80"/>
              <w:bottom w:val="single" w:sz="4" w:space="0" w:color="auto"/>
            </w:tcBorders>
            <w:shd w:val="clear" w:color="auto" w:fill="auto"/>
          </w:tcPr>
          <w:p w14:paraId="17501FB0" w14:textId="77777777" w:rsidR="004C4C9A" w:rsidRPr="004C4C9A" w:rsidRDefault="004C4C9A" w:rsidP="004C4C9A">
            <w:pPr>
              <w:jc w:val="center"/>
              <w:rPr>
                <w:rFonts w:eastAsia="Times New Roman" w:cs="Times New Roman"/>
                <w:iCs/>
                <w:lang w:eastAsia="cs-CZ"/>
              </w:rPr>
            </w:pPr>
            <w:r w:rsidRPr="004C4C9A">
              <w:rPr>
                <w:rFonts w:eastAsia="Times New Roman" w:cs="Times New Roman"/>
                <w:b/>
                <w:bCs/>
                <w:lang w:eastAsia="cs-CZ"/>
              </w:rPr>
              <w:t>CELKEM</w:t>
            </w:r>
          </w:p>
        </w:tc>
        <w:tc>
          <w:tcPr>
            <w:tcW w:w="2266" w:type="dxa"/>
            <w:tcBorders>
              <w:top w:val="single" w:sz="8" w:space="0" w:color="7F7F7F" w:themeColor="text1" w:themeTint="80"/>
              <w:bottom w:val="single" w:sz="4" w:space="0" w:color="auto"/>
            </w:tcBorders>
            <w:shd w:val="clear" w:color="auto" w:fill="auto"/>
            <w:vAlign w:val="center"/>
          </w:tcPr>
          <w:p w14:paraId="77DC56A3" w14:textId="545E00D0"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9 838</w:t>
            </w:r>
          </w:p>
        </w:tc>
        <w:tc>
          <w:tcPr>
            <w:tcW w:w="2264" w:type="dxa"/>
            <w:tcBorders>
              <w:top w:val="single" w:sz="8" w:space="0" w:color="7F7F7F" w:themeColor="text1" w:themeTint="80"/>
              <w:bottom w:val="single" w:sz="4" w:space="0" w:color="auto"/>
            </w:tcBorders>
            <w:shd w:val="clear" w:color="auto" w:fill="auto"/>
            <w:vAlign w:val="center"/>
          </w:tcPr>
          <w:p w14:paraId="5AF491CA" w14:textId="2A4C5F10"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11 800</w:t>
            </w:r>
          </w:p>
        </w:tc>
        <w:tc>
          <w:tcPr>
            <w:tcW w:w="2257" w:type="dxa"/>
            <w:tcBorders>
              <w:top w:val="single" w:sz="8" w:space="0" w:color="7F7F7F" w:themeColor="text1" w:themeTint="80"/>
              <w:bottom w:val="single" w:sz="4" w:space="0" w:color="auto"/>
            </w:tcBorders>
            <w:shd w:val="clear" w:color="auto" w:fill="auto"/>
            <w:vAlign w:val="center"/>
          </w:tcPr>
          <w:p w14:paraId="7389E5D8" w14:textId="2B379CF2"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11 150</w:t>
            </w:r>
          </w:p>
        </w:tc>
      </w:tr>
    </w:tbl>
    <w:p w14:paraId="4DC9CBD2" w14:textId="77777777" w:rsidR="004C4C9A" w:rsidRPr="004C4C9A" w:rsidRDefault="004C4C9A" w:rsidP="004C4C9A">
      <w:pPr>
        <w:pStyle w:val="Styl1"/>
        <w:rPr>
          <w:b/>
        </w:rPr>
      </w:pPr>
      <w:r w:rsidRPr="004C4C9A">
        <w:t>Pro Úřad pro civilní letectví jsou navrženy výdaje na programové financování v celkové</w:t>
      </w:r>
      <w:r w:rsidRPr="004C4C9A">
        <w:rPr>
          <w:b/>
        </w:rPr>
        <w:t xml:space="preserve"> výši 11 150 tis. Kč, </w:t>
      </w:r>
      <w:r w:rsidRPr="004C4C9A">
        <w:t>z toho kapitálové výdaje 10 850 tis. Kč a běžné výdaje 300 tis. Kč.</w:t>
      </w:r>
      <w:r w:rsidRPr="004C4C9A">
        <w:rPr>
          <w:b/>
        </w:rPr>
        <w:t xml:space="preserve"> </w:t>
      </w:r>
    </w:p>
    <w:p w14:paraId="2658E610" w14:textId="2387D7E5" w:rsidR="007E1BD7" w:rsidRPr="004C4C9A" w:rsidRDefault="004C4C9A" w:rsidP="004C4C9A">
      <w:pPr>
        <w:pStyle w:val="Styl1"/>
        <w:rPr>
          <w:b/>
        </w:rPr>
      </w:pPr>
      <w:r w:rsidRPr="004C4C9A">
        <w:rPr>
          <w:b/>
        </w:rPr>
        <w:t>Kapitálové výdaje</w:t>
      </w:r>
      <w:r w:rsidRPr="004C4C9A">
        <w:t xml:space="preserve"> ve výši </w:t>
      </w:r>
      <w:r w:rsidRPr="004C4C9A">
        <w:rPr>
          <w:b/>
        </w:rPr>
        <w:t>10 850</w:t>
      </w:r>
      <w:r w:rsidRPr="004C4C9A">
        <w:rPr>
          <w:b/>
          <w:bCs/>
        </w:rPr>
        <w:t xml:space="preserve"> tis. Kč </w:t>
      </w:r>
      <w:r w:rsidRPr="004C4C9A">
        <w:t xml:space="preserve">určené pro </w:t>
      </w:r>
      <w:r w:rsidRPr="004C4C9A">
        <w:rPr>
          <w:b/>
          <w:bCs/>
        </w:rPr>
        <w:t>Úřad pro civilní letectví</w:t>
      </w:r>
      <w:r w:rsidRPr="004C4C9A">
        <w:t xml:space="preserve"> v programu </w:t>
      </w:r>
      <w:r w:rsidRPr="004C4C9A">
        <w:br/>
        <w:t xml:space="preserve">127 07 budou použity v subtitulu ICT v celkové výši </w:t>
      </w:r>
      <w:r w:rsidRPr="004C4C9A">
        <w:rPr>
          <w:b/>
        </w:rPr>
        <w:t>9 150 tis. Kč</w:t>
      </w:r>
      <w:r w:rsidRPr="004C4C9A">
        <w:t>, z toho technické zhodnocení modulů informačního systému ÚCL –</w:t>
      </w:r>
      <w:r w:rsidR="00865FC3">
        <w:t xml:space="preserve"> </w:t>
      </w:r>
      <w:r w:rsidRPr="004C4C9A">
        <w:t>Zkoušky letového personálu (1 900 tis. Kč), modul Letecké školy (2 000 tis. Kč), pořízení nového modulu – Examinátoři (1 200 tis. Kč), nové firewally a aktivní prvek k zajištění bezpečnosti sítě ÚCL (3 550 tis. Kč) a rozvoj elektronické spisové služby 500 tis. Kč. Další výdaje jsou plánovány na obnovu materiálně</w:t>
      </w:r>
      <w:r w:rsidR="00865FC3">
        <w:t>-</w:t>
      </w:r>
      <w:r w:rsidRPr="004C4C9A">
        <w:t xml:space="preserve">technické základny v celkové výši </w:t>
      </w:r>
      <w:r w:rsidRPr="004C4C9A">
        <w:rPr>
          <w:b/>
        </w:rPr>
        <w:t>1 700 tis. Kč</w:t>
      </w:r>
      <w:r w:rsidRPr="004C4C9A">
        <w:t>, z toho na obměnu kopírovacích strojů (300 tis. Kč) a obměnu dopravních prostředků (1 400 tis. Kč</w:t>
      </w:r>
      <w:r w:rsidR="007E1BD7" w:rsidRPr="004C4C9A">
        <w:t>).</w:t>
      </w:r>
    </w:p>
    <w:p w14:paraId="3B7EB06E" w14:textId="77777777" w:rsidR="007E1BD7" w:rsidRDefault="007E1BD7" w:rsidP="007E1BD7">
      <w:pPr>
        <w:keepLines/>
        <w:spacing w:before="240" w:after="240" w:line="276" w:lineRule="auto"/>
        <w:rPr>
          <w:rFonts w:eastAsia="Times New Roman" w:cs="Times New Roman"/>
          <w:iCs/>
          <w:szCs w:val="24"/>
          <w:lang w:eastAsia="cs-CZ"/>
        </w:rPr>
      </w:pPr>
      <w:r w:rsidRPr="004C4C9A">
        <w:rPr>
          <w:rFonts w:eastAsia="Times New Roman" w:cs="Times New Roman"/>
          <w:b/>
          <w:bCs/>
          <w:iCs/>
          <w:szCs w:val="24"/>
          <w:lang w:eastAsia="cs-CZ"/>
        </w:rPr>
        <w:t>Běžné výdaje ve výši 300 tis. Kč</w:t>
      </w:r>
      <w:r w:rsidRPr="004C4C9A">
        <w:rPr>
          <w:rFonts w:eastAsia="Times New Roman" w:cs="Times New Roman"/>
          <w:iCs/>
          <w:szCs w:val="24"/>
          <w:lang w:eastAsia="cs-CZ"/>
        </w:rPr>
        <w:t xml:space="preserve"> budou vynaloženy v rámci programu 127 07 v subtitulu ICT na zajištění podpory a provozu elektronické spisové služby.</w:t>
      </w:r>
    </w:p>
    <w:p w14:paraId="1862F7EF" w14:textId="77777777" w:rsidR="00484930" w:rsidRPr="004C4C9A" w:rsidRDefault="00484930" w:rsidP="007E1BD7">
      <w:pPr>
        <w:keepLines/>
        <w:spacing w:before="240" w:after="240" w:line="276" w:lineRule="auto"/>
        <w:rPr>
          <w:rFonts w:eastAsia="Times New Roman" w:cs="Times New Roman"/>
          <w:iCs/>
          <w:szCs w:val="24"/>
          <w:lang w:eastAsia="cs-CZ"/>
        </w:rPr>
      </w:pPr>
    </w:p>
    <w:p w14:paraId="4EF04B21" w14:textId="77777777" w:rsidR="007E1BD7" w:rsidRPr="004C4C9A" w:rsidRDefault="007E1BD7" w:rsidP="007E1BD7">
      <w:pPr>
        <w:spacing w:before="240" w:line="240" w:lineRule="auto"/>
        <w:rPr>
          <w:rFonts w:eastAsia="Times New Roman" w:cs="Times New Roman"/>
          <w:b/>
          <w:bCs/>
          <w:szCs w:val="24"/>
          <w:u w:val="single"/>
          <w:lang w:eastAsia="cs-CZ"/>
        </w:rPr>
      </w:pPr>
      <w:r w:rsidRPr="004C4C9A">
        <w:rPr>
          <w:rFonts w:eastAsia="Times New Roman" w:cs="Times New Roman"/>
          <w:b/>
          <w:bCs/>
          <w:szCs w:val="24"/>
          <w:u w:val="single"/>
          <w:lang w:eastAsia="cs-CZ"/>
        </w:rPr>
        <w:lastRenderedPageBreak/>
        <w:t>Státní plavební správa</w:t>
      </w:r>
    </w:p>
    <w:p w14:paraId="737F0F18" w14:textId="03160767" w:rsidR="007E1BD7" w:rsidRPr="004C4C9A" w:rsidRDefault="007E1BD7" w:rsidP="007E1BD7">
      <w:pPr>
        <w:keepNext/>
        <w:spacing w:before="120" w:after="120" w:line="240" w:lineRule="auto"/>
        <w:rPr>
          <w:rFonts w:eastAsia="Times New Roman" w:cs="Times New Roman"/>
          <w:b/>
          <w:bCs/>
          <w:noProof/>
          <w:sz w:val="20"/>
          <w:szCs w:val="20"/>
          <w:lang w:eastAsia="cs-CZ"/>
        </w:rPr>
      </w:pPr>
      <w:r w:rsidRPr="004C4C9A">
        <w:rPr>
          <w:rFonts w:eastAsia="Times New Roman" w:cs="Times New Roman"/>
          <w:b/>
          <w:bCs/>
          <w:sz w:val="20"/>
          <w:szCs w:val="20"/>
          <w:lang w:eastAsia="cs-CZ"/>
        </w:rPr>
        <w:t xml:space="preserve">Tabulka č. </w:t>
      </w:r>
      <w:r w:rsidRPr="004C4C9A">
        <w:rPr>
          <w:rFonts w:eastAsia="Times New Roman" w:cs="Times New Roman"/>
          <w:b/>
          <w:bCs/>
          <w:noProof/>
          <w:sz w:val="20"/>
          <w:szCs w:val="20"/>
          <w:lang w:eastAsia="cs-CZ"/>
        </w:rPr>
        <w:fldChar w:fldCharType="begin"/>
      </w:r>
      <w:r w:rsidRPr="004C4C9A">
        <w:rPr>
          <w:rFonts w:eastAsia="Times New Roman" w:cs="Times New Roman"/>
          <w:b/>
          <w:bCs/>
          <w:noProof/>
          <w:sz w:val="20"/>
          <w:szCs w:val="20"/>
          <w:lang w:eastAsia="cs-CZ"/>
        </w:rPr>
        <w:instrText xml:space="preserve"> SEQ Tabulka \* ARABIC </w:instrText>
      </w:r>
      <w:r w:rsidRPr="004C4C9A">
        <w:rPr>
          <w:rFonts w:eastAsia="Times New Roman" w:cs="Times New Roman"/>
          <w:b/>
          <w:bCs/>
          <w:noProof/>
          <w:sz w:val="20"/>
          <w:szCs w:val="20"/>
          <w:lang w:eastAsia="cs-CZ"/>
        </w:rPr>
        <w:fldChar w:fldCharType="separate"/>
      </w:r>
      <w:r w:rsidR="003B0B01" w:rsidRPr="004C4C9A">
        <w:rPr>
          <w:rFonts w:eastAsia="Times New Roman" w:cs="Times New Roman"/>
          <w:b/>
          <w:bCs/>
          <w:noProof/>
          <w:sz w:val="20"/>
          <w:szCs w:val="20"/>
          <w:lang w:eastAsia="cs-CZ"/>
        </w:rPr>
        <w:t>37</w:t>
      </w:r>
      <w:r w:rsidRPr="004C4C9A">
        <w:rPr>
          <w:rFonts w:eastAsia="Times New Roman" w:cs="Times New Roman"/>
          <w:b/>
          <w:bCs/>
          <w:noProof/>
          <w:sz w:val="20"/>
          <w:szCs w:val="20"/>
          <w:lang w:eastAsia="cs-CZ"/>
        </w:rPr>
        <w:fldChar w:fldCharType="end"/>
      </w:r>
      <w:r w:rsidRPr="004C4C9A">
        <w:rPr>
          <w:rFonts w:eastAsia="Times New Roman" w:cs="Times New Roman"/>
          <w:b/>
          <w:bCs/>
          <w:noProof/>
          <w:sz w:val="20"/>
          <w:szCs w:val="20"/>
          <w:lang w:eastAsia="cs-CZ"/>
        </w:rPr>
        <w:t xml:space="preserve"> Výdaje Státní plavební správy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4C4C9A" w:rsidRPr="004C4C9A" w14:paraId="565C4B2E" w14:textId="77777777" w:rsidTr="001E02B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C731150" w14:textId="07D18BDC"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6C252C" w14:textId="500C07C6"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Skutečnost</w:t>
            </w:r>
            <w:r w:rsidRPr="004C4C9A">
              <w:rPr>
                <w:rFonts w:eastAsia="Times New Roman" w:cs="Times New Roman"/>
                <w:b/>
                <w:bCs/>
                <w:lang w:eastAsia="cs-CZ"/>
              </w:rPr>
              <w:br/>
              <w:t>2023</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DACD3E" w14:textId="40558071"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Schválený rozpočet 2024</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00AF93" w14:textId="01F93406"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 xml:space="preserve">Návrh rozpočtu </w:t>
            </w:r>
            <w:r w:rsidRPr="004C4C9A">
              <w:rPr>
                <w:rFonts w:eastAsia="Times New Roman" w:cs="Times New Roman"/>
                <w:b/>
                <w:bCs/>
                <w:lang w:eastAsia="cs-CZ"/>
              </w:rPr>
              <w:br/>
              <w:t>2025</w:t>
            </w:r>
          </w:p>
        </w:tc>
      </w:tr>
      <w:tr w:rsidR="004C4C9A" w:rsidRPr="004C4C9A" w14:paraId="7B8DE1AC" w14:textId="77777777" w:rsidTr="001E02BC">
        <w:trPr>
          <w:trHeight w:val="50"/>
        </w:trPr>
        <w:tc>
          <w:tcPr>
            <w:tcW w:w="2263" w:type="dxa"/>
            <w:tcBorders>
              <w:bottom w:val="single" w:sz="8" w:space="0" w:color="7F7F7F" w:themeColor="text1" w:themeTint="80"/>
            </w:tcBorders>
            <w:shd w:val="clear" w:color="auto" w:fill="auto"/>
          </w:tcPr>
          <w:p w14:paraId="2DBD0711" w14:textId="47282FB9" w:rsidR="004C4C9A" w:rsidRPr="004C4C9A" w:rsidRDefault="004C4C9A" w:rsidP="004C4C9A">
            <w:pPr>
              <w:jc w:val="center"/>
              <w:rPr>
                <w:rFonts w:eastAsia="Times New Roman" w:cs="Times New Roman"/>
                <w:lang w:eastAsia="cs-CZ"/>
              </w:rPr>
            </w:pPr>
            <w:r w:rsidRPr="004C4C9A">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47C4EB78" w14:textId="1A4AFB9C"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9 326</w:t>
            </w:r>
          </w:p>
        </w:tc>
        <w:tc>
          <w:tcPr>
            <w:tcW w:w="2264" w:type="dxa"/>
            <w:tcBorders>
              <w:bottom w:val="single" w:sz="8" w:space="0" w:color="7F7F7F" w:themeColor="text1" w:themeTint="80"/>
            </w:tcBorders>
            <w:shd w:val="clear" w:color="auto" w:fill="auto"/>
            <w:vAlign w:val="center"/>
          </w:tcPr>
          <w:p w14:paraId="688A41B1" w14:textId="19538376"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 xml:space="preserve">0 </w:t>
            </w:r>
          </w:p>
        </w:tc>
        <w:tc>
          <w:tcPr>
            <w:tcW w:w="2257" w:type="dxa"/>
            <w:tcBorders>
              <w:bottom w:val="single" w:sz="8" w:space="0" w:color="7F7F7F" w:themeColor="text1" w:themeTint="80"/>
            </w:tcBorders>
            <w:shd w:val="clear" w:color="auto" w:fill="auto"/>
            <w:vAlign w:val="center"/>
          </w:tcPr>
          <w:p w14:paraId="1B07211C" w14:textId="3E34FF6F"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r>
      <w:tr w:rsidR="004C4C9A" w:rsidRPr="004C4C9A" w14:paraId="7B179B1A" w14:textId="77777777" w:rsidTr="001E02BC">
        <w:trPr>
          <w:trHeight w:val="50"/>
        </w:trPr>
        <w:tc>
          <w:tcPr>
            <w:tcW w:w="2263" w:type="dxa"/>
            <w:tcBorders>
              <w:bottom w:val="single" w:sz="8" w:space="0" w:color="7F7F7F" w:themeColor="text1" w:themeTint="80"/>
            </w:tcBorders>
            <w:shd w:val="clear" w:color="auto" w:fill="auto"/>
          </w:tcPr>
          <w:p w14:paraId="0D176DA9" w14:textId="0FBF8C89" w:rsidR="004C4C9A" w:rsidRPr="004C4C9A" w:rsidRDefault="004C4C9A" w:rsidP="004C4C9A">
            <w:pPr>
              <w:jc w:val="center"/>
              <w:rPr>
                <w:rFonts w:eastAsia="Times New Roman" w:cs="Times New Roman"/>
                <w:iCs/>
                <w:lang w:eastAsia="cs-CZ"/>
              </w:rPr>
            </w:pPr>
            <w:r w:rsidRPr="004C4C9A">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56D6AEB4" w14:textId="1FF3A5D6"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4 647</w:t>
            </w:r>
          </w:p>
        </w:tc>
        <w:tc>
          <w:tcPr>
            <w:tcW w:w="2264" w:type="dxa"/>
            <w:tcBorders>
              <w:bottom w:val="single" w:sz="8" w:space="0" w:color="7F7F7F" w:themeColor="text1" w:themeTint="80"/>
            </w:tcBorders>
            <w:shd w:val="clear" w:color="auto" w:fill="auto"/>
            <w:vAlign w:val="center"/>
          </w:tcPr>
          <w:p w14:paraId="04F92615" w14:textId="36AADADB"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9 710</w:t>
            </w:r>
          </w:p>
        </w:tc>
        <w:tc>
          <w:tcPr>
            <w:tcW w:w="2257" w:type="dxa"/>
            <w:tcBorders>
              <w:bottom w:val="single" w:sz="8" w:space="0" w:color="7F7F7F" w:themeColor="text1" w:themeTint="80"/>
            </w:tcBorders>
            <w:shd w:val="clear" w:color="auto" w:fill="auto"/>
            <w:vAlign w:val="center"/>
          </w:tcPr>
          <w:p w14:paraId="65369C50" w14:textId="74580450"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12 200</w:t>
            </w:r>
          </w:p>
        </w:tc>
      </w:tr>
      <w:tr w:rsidR="004C4C9A" w:rsidRPr="004C4C9A" w14:paraId="129683EC" w14:textId="77777777" w:rsidTr="001E02BC">
        <w:tc>
          <w:tcPr>
            <w:tcW w:w="2263" w:type="dxa"/>
            <w:tcBorders>
              <w:top w:val="single" w:sz="8" w:space="0" w:color="7F7F7F" w:themeColor="text1" w:themeTint="80"/>
              <w:bottom w:val="single" w:sz="8" w:space="0" w:color="7F7F7F" w:themeColor="text1" w:themeTint="80"/>
            </w:tcBorders>
            <w:shd w:val="clear" w:color="auto" w:fill="auto"/>
          </w:tcPr>
          <w:p w14:paraId="53A61FD1" w14:textId="791E4B91" w:rsidR="004C4C9A" w:rsidRPr="004C4C9A" w:rsidRDefault="004C4C9A" w:rsidP="004C4C9A">
            <w:pPr>
              <w:jc w:val="center"/>
              <w:rPr>
                <w:rFonts w:eastAsia="Times New Roman" w:cs="Times New Roman"/>
                <w:iCs/>
                <w:lang w:eastAsia="cs-CZ"/>
              </w:rPr>
            </w:pPr>
            <w:r w:rsidRPr="004C4C9A">
              <w:rPr>
                <w:rFonts w:eastAsia="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271F7A02" w14:textId="094541DA"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13 973</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7D985379" w14:textId="1DBC299E"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9 710</w:t>
            </w:r>
          </w:p>
        </w:tc>
        <w:tc>
          <w:tcPr>
            <w:tcW w:w="2257" w:type="dxa"/>
            <w:tcBorders>
              <w:top w:val="single" w:sz="8" w:space="0" w:color="7F7F7F" w:themeColor="text1" w:themeTint="80"/>
              <w:bottom w:val="single" w:sz="8" w:space="0" w:color="7F7F7F" w:themeColor="text1" w:themeTint="80"/>
            </w:tcBorders>
            <w:shd w:val="clear" w:color="auto" w:fill="auto"/>
            <w:vAlign w:val="center"/>
          </w:tcPr>
          <w:p w14:paraId="57C7445D" w14:textId="37D1921C"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12 200</w:t>
            </w:r>
          </w:p>
        </w:tc>
      </w:tr>
    </w:tbl>
    <w:p w14:paraId="334FA9EF" w14:textId="10D93668" w:rsidR="007E1BD7" w:rsidRPr="004C4C9A" w:rsidRDefault="004C4C9A" w:rsidP="000F459C">
      <w:pPr>
        <w:pStyle w:val="Styl1"/>
      </w:pPr>
      <w:r w:rsidRPr="004C4C9A">
        <w:rPr>
          <w:b/>
        </w:rPr>
        <w:t>Kapitálové výdaje</w:t>
      </w:r>
      <w:r w:rsidRPr="004C4C9A">
        <w:t xml:space="preserve"> v programu 127 07 určené pro </w:t>
      </w:r>
      <w:r w:rsidRPr="004C4C9A">
        <w:rPr>
          <w:b/>
        </w:rPr>
        <w:t>Státní plavební správu</w:t>
      </w:r>
      <w:r w:rsidRPr="004C4C9A">
        <w:t xml:space="preserve"> v celkové výši </w:t>
      </w:r>
      <w:r w:rsidRPr="004C4C9A">
        <w:br/>
      </w:r>
      <w:r w:rsidRPr="004C4C9A">
        <w:rPr>
          <w:b/>
        </w:rPr>
        <w:t xml:space="preserve">12 200 tis. Kč </w:t>
      </w:r>
      <w:r w:rsidRPr="004C4C9A">
        <w:t>budou využity v subtitulu ICT v celkové výši</w:t>
      </w:r>
      <w:r w:rsidRPr="004C4C9A">
        <w:rPr>
          <w:b/>
        </w:rPr>
        <w:t xml:space="preserve"> 8 400 tis. Kč, </w:t>
      </w:r>
      <w:r w:rsidRPr="004C4C9A">
        <w:t xml:space="preserve">z toho na rozšiřování funkcionalit informačního systému organizace mimo jiné s ohledem na legislativní změny </w:t>
      </w:r>
      <w:r w:rsidRPr="004C4C9A">
        <w:br/>
        <w:t>(4 000 tis. Kč) a na rozšiřování říčního informačního systému SPS s ohledem na potřeby evropského systému RIS (1 000 tis. Kč). Dále budou investovány prostředky rozšíření Geografického informačního systému a upgrade mobilní aplikace LAVDIS (1 200 tis. Kč) a na obnovu výpočetní techniky (2 200 tis. Kč). V subtitulu materiálně</w:t>
      </w:r>
      <w:r w:rsidR="00865FC3">
        <w:t>-</w:t>
      </w:r>
      <w:r w:rsidRPr="004C4C9A">
        <w:t xml:space="preserve">technické základny organizace jsou předpokládány výdaje </w:t>
      </w:r>
      <w:r w:rsidRPr="004C4C9A">
        <w:rPr>
          <w:b/>
        </w:rPr>
        <w:t xml:space="preserve">3 800 tis. Kč </w:t>
      </w:r>
      <w:r w:rsidRPr="004C4C9A">
        <w:t>na pořízení alkohol</w:t>
      </w:r>
      <w:r w:rsidR="00865FC3">
        <w:t xml:space="preserve"> </w:t>
      </w:r>
      <w:r w:rsidRPr="004C4C9A">
        <w:t>test</w:t>
      </w:r>
      <w:r w:rsidR="00865FC3">
        <w:t>e</w:t>
      </w:r>
      <w:r w:rsidRPr="004C4C9A">
        <w:t xml:space="preserve">rů (300 tis. Kč) </w:t>
      </w:r>
      <w:r w:rsidRPr="004C4C9A">
        <w:br/>
        <w:t>a rekonstrukci střechy budovy v Praze (3 500 tis. Kč)</w:t>
      </w:r>
      <w:r w:rsidR="007E1BD7" w:rsidRPr="004C4C9A">
        <w:t>.</w:t>
      </w:r>
    </w:p>
    <w:p w14:paraId="12370E51" w14:textId="77777777" w:rsidR="007E1BD7" w:rsidRPr="004C4C9A" w:rsidRDefault="007E1BD7" w:rsidP="007E1BD7">
      <w:pPr>
        <w:keepNext/>
        <w:tabs>
          <w:tab w:val="left" w:pos="708"/>
        </w:tabs>
        <w:spacing w:before="160" w:line="240" w:lineRule="auto"/>
        <w:outlineLvl w:val="3"/>
        <w:rPr>
          <w:rFonts w:eastAsia="Times New Roman" w:cs="Times New Roman"/>
          <w:b/>
          <w:szCs w:val="24"/>
          <w:u w:val="single"/>
          <w:lang w:eastAsia="cs-CZ"/>
        </w:rPr>
      </w:pPr>
      <w:r w:rsidRPr="004C4C9A">
        <w:rPr>
          <w:rFonts w:eastAsia="Times New Roman" w:cs="Times New Roman"/>
          <w:b/>
          <w:szCs w:val="24"/>
          <w:u w:val="single"/>
          <w:lang w:eastAsia="cs-CZ"/>
        </w:rPr>
        <w:t>Drážní úřad</w:t>
      </w:r>
    </w:p>
    <w:p w14:paraId="652D00C1" w14:textId="48A96473" w:rsidR="007E1BD7" w:rsidRPr="004C4C9A" w:rsidRDefault="007E1BD7" w:rsidP="007E1BD7">
      <w:pPr>
        <w:keepNext/>
        <w:spacing w:before="120" w:after="120" w:line="240" w:lineRule="auto"/>
        <w:rPr>
          <w:rFonts w:eastAsia="Times New Roman" w:cs="Times New Roman"/>
          <w:b/>
          <w:bCs/>
          <w:noProof/>
          <w:sz w:val="20"/>
          <w:szCs w:val="20"/>
          <w:lang w:eastAsia="cs-CZ"/>
        </w:rPr>
      </w:pPr>
      <w:r w:rsidRPr="004C4C9A">
        <w:rPr>
          <w:rFonts w:eastAsia="Times New Roman" w:cs="Times New Roman"/>
          <w:b/>
          <w:bCs/>
          <w:sz w:val="20"/>
          <w:szCs w:val="20"/>
          <w:lang w:eastAsia="cs-CZ"/>
        </w:rPr>
        <w:t xml:space="preserve">Tabulka č. </w:t>
      </w:r>
      <w:r w:rsidRPr="004C4C9A">
        <w:rPr>
          <w:rFonts w:eastAsia="Times New Roman" w:cs="Times New Roman"/>
          <w:b/>
          <w:bCs/>
          <w:noProof/>
          <w:sz w:val="20"/>
          <w:szCs w:val="20"/>
          <w:lang w:eastAsia="cs-CZ"/>
        </w:rPr>
        <w:fldChar w:fldCharType="begin"/>
      </w:r>
      <w:r w:rsidRPr="004C4C9A">
        <w:rPr>
          <w:rFonts w:eastAsia="Times New Roman" w:cs="Times New Roman"/>
          <w:b/>
          <w:bCs/>
          <w:noProof/>
          <w:sz w:val="20"/>
          <w:szCs w:val="20"/>
          <w:lang w:eastAsia="cs-CZ"/>
        </w:rPr>
        <w:instrText xml:space="preserve"> SEQ Tabulka \* ARABIC </w:instrText>
      </w:r>
      <w:r w:rsidRPr="004C4C9A">
        <w:rPr>
          <w:rFonts w:eastAsia="Times New Roman" w:cs="Times New Roman"/>
          <w:b/>
          <w:bCs/>
          <w:noProof/>
          <w:sz w:val="20"/>
          <w:szCs w:val="20"/>
          <w:lang w:eastAsia="cs-CZ"/>
        </w:rPr>
        <w:fldChar w:fldCharType="separate"/>
      </w:r>
      <w:r w:rsidR="003B0B01" w:rsidRPr="004C4C9A">
        <w:rPr>
          <w:rFonts w:eastAsia="Times New Roman" w:cs="Times New Roman"/>
          <w:b/>
          <w:bCs/>
          <w:noProof/>
          <w:sz w:val="20"/>
          <w:szCs w:val="20"/>
          <w:lang w:eastAsia="cs-CZ"/>
        </w:rPr>
        <w:t>38</w:t>
      </w:r>
      <w:r w:rsidRPr="004C4C9A">
        <w:rPr>
          <w:rFonts w:eastAsia="Times New Roman" w:cs="Times New Roman"/>
          <w:b/>
          <w:bCs/>
          <w:noProof/>
          <w:sz w:val="20"/>
          <w:szCs w:val="20"/>
          <w:lang w:eastAsia="cs-CZ"/>
        </w:rPr>
        <w:fldChar w:fldCharType="end"/>
      </w:r>
      <w:r w:rsidRPr="004C4C9A">
        <w:rPr>
          <w:rFonts w:eastAsia="Times New Roman" w:cs="Times New Roman"/>
          <w:b/>
          <w:bCs/>
          <w:noProof/>
          <w:sz w:val="20"/>
          <w:szCs w:val="20"/>
          <w:lang w:eastAsia="cs-CZ"/>
        </w:rPr>
        <w:t xml:space="preserve"> Výdaje Drážního úřadu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4C4C9A" w:rsidRPr="004C4C9A" w14:paraId="23CA2D12" w14:textId="77777777" w:rsidTr="004C4C9A">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A82E952" w14:textId="1F12288C"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B3DB645" w14:textId="1DC4D275"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 xml:space="preserve">Skutečnost </w:t>
            </w:r>
            <w:r w:rsidRPr="004C4C9A">
              <w:rPr>
                <w:rFonts w:eastAsia="Times New Roman" w:cs="Times New Roman"/>
                <w:b/>
                <w:bCs/>
                <w:lang w:eastAsia="cs-CZ"/>
              </w:rPr>
              <w:br/>
              <w:t>2023</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98659D8" w14:textId="4EA81E2C"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Schválený rozpočet 2024</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319912" w14:textId="198F0424"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Návrh rozpočtu</w:t>
            </w:r>
            <w:r w:rsidRPr="004C4C9A">
              <w:rPr>
                <w:rFonts w:eastAsia="Times New Roman" w:cs="Times New Roman"/>
                <w:b/>
                <w:bCs/>
                <w:lang w:eastAsia="cs-CZ"/>
              </w:rPr>
              <w:br/>
              <w:t>2025</w:t>
            </w:r>
          </w:p>
        </w:tc>
      </w:tr>
      <w:tr w:rsidR="004C4C9A" w:rsidRPr="004C4C9A" w14:paraId="5F3EDD35" w14:textId="77777777" w:rsidTr="004C4C9A">
        <w:tc>
          <w:tcPr>
            <w:tcW w:w="2263" w:type="dxa"/>
            <w:tcBorders>
              <w:bottom w:val="single" w:sz="8" w:space="0" w:color="7F7F7F" w:themeColor="text1" w:themeTint="80"/>
            </w:tcBorders>
            <w:shd w:val="clear" w:color="auto" w:fill="auto"/>
          </w:tcPr>
          <w:p w14:paraId="1E2FC3BD" w14:textId="4609B829" w:rsidR="004C4C9A" w:rsidRPr="004C4C9A" w:rsidRDefault="004C4C9A" w:rsidP="004C4C9A">
            <w:pPr>
              <w:jc w:val="center"/>
              <w:rPr>
                <w:rFonts w:eastAsia="Times New Roman" w:cs="Times New Roman"/>
                <w:lang w:eastAsia="cs-CZ"/>
              </w:rPr>
            </w:pPr>
            <w:r w:rsidRPr="004C4C9A">
              <w:rPr>
                <w:rFonts w:eastAsia="Times New Roman" w:cs="Times New Roman"/>
                <w:lang w:eastAsia="cs-CZ"/>
              </w:rPr>
              <w:t>127 03</w:t>
            </w:r>
          </w:p>
        </w:tc>
        <w:tc>
          <w:tcPr>
            <w:tcW w:w="2266" w:type="dxa"/>
            <w:tcBorders>
              <w:bottom w:val="single" w:sz="8" w:space="0" w:color="7F7F7F" w:themeColor="text1" w:themeTint="80"/>
            </w:tcBorders>
            <w:shd w:val="clear" w:color="auto" w:fill="auto"/>
            <w:vAlign w:val="center"/>
          </w:tcPr>
          <w:p w14:paraId="2974E5FB" w14:textId="343167FF"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3 933</w:t>
            </w:r>
          </w:p>
        </w:tc>
        <w:tc>
          <w:tcPr>
            <w:tcW w:w="2264" w:type="dxa"/>
            <w:tcBorders>
              <w:bottom w:val="single" w:sz="8" w:space="0" w:color="7F7F7F" w:themeColor="text1" w:themeTint="80"/>
            </w:tcBorders>
            <w:shd w:val="clear" w:color="auto" w:fill="auto"/>
            <w:vAlign w:val="center"/>
          </w:tcPr>
          <w:p w14:paraId="04A78A21" w14:textId="5DC40A49"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2A6AD374" w14:textId="4B64D2F4"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r>
      <w:tr w:rsidR="004C4C9A" w:rsidRPr="004C4C9A" w14:paraId="741C4B94" w14:textId="77777777" w:rsidTr="004C4C9A">
        <w:tc>
          <w:tcPr>
            <w:tcW w:w="2263" w:type="dxa"/>
            <w:tcBorders>
              <w:bottom w:val="single" w:sz="8" w:space="0" w:color="7F7F7F" w:themeColor="text1" w:themeTint="80"/>
            </w:tcBorders>
            <w:shd w:val="clear" w:color="auto" w:fill="auto"/>
          </w:tcPr>
          <w:p w14:paraId="09B932D1" w14:textId="242C3FE3" w:rsidR="004C4C9A" w:rsidRPr="004C4C9A" w:rsidRDefault="004C4C9A" w:rsidP="004C4C9A">
            <w:pPr>
              <w:jc w:val="center"/>
              <w:rPr>
                <w:rFonts w:eastAsia="Times New Roman" w:cs="Times New Roman"/>
                <w:lang w:eastAsia="cs-CZ"/>
              </w:rPr>
            </w:pPr>
            <w:r w:rsidRPr="004C4C9A">
              <w:rPr>
                <w:rFonts w:eastAsia="Times New Roman" w:cs="Times New Roman"/>
                <w:lang w:eastAsia="cs-CZ"/>
              </w:rPr>
              <w:t>127 07</w:t>
            </w:r>
          </w:p>
        </w:tc>
        <w:tc>
          <w:tcPr>
            <w:tcW w:w="2266" w:type="dxa"/>
            <w:tcBorders>
              <w:bottom w:val="single" w:sz="8" w:space="0" w:color="7F7F7F" w:themeColor="text1" w:themeTint="80"/>
            </w:tcBorders>
            <w:shd w:val="clear" w:color="auto" w:fill="auto"/>
            <w:vAlign w:val="center"/>
          </w:tcPr>
          <w:p w14:paraId="20DF395F" w14:textId="00933330"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136</w:t>
            </w:r>
          </w:p>
        </w:tc>
        <w:tc>
          <w:tcPr>
            <w:tcW w:w="2264" w:type="dxa"/>
            <w:tcBorders>
              <w:bottom w:val="single" w:sz="8" w:space="0" w:color="7F7F7F" w:themeColor="text1" w:themeTint="80"/>
            </w:tcBorders>
            <w:shd w:val="clear" w:color="auto" w:fill="auto"/>
            <w:vAlign w:val="center"/>
          </w:tcPr>
          <w:p w14:paraId="2EA8A2E4" w14:textId="1106127F"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1 600</w:t>
            </w:r>
          </w:p>
        </w:tc>
        <w:tc>
          <w:tcPr>
            <w:tcW w:w="2258" w:type="dxa"/>
            <w:tcBorders>
              <w:bottom w:val="single" w:sz="8" w:space="0" w:color="7F7F7F" w:themeColor="text1" w:themeTint="80"/>
            </w:tcBorders>
            <w:shd w:val="clear" w:color="auto" w:fill="auto"/>
            <w:vAlign w:val="center"/>
          </w:tcPr>
          <w:p w14:paraId="167DD335" w14:textId="73EFA8F5"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2 200</w:t>
            </w:r>
          </w:p>
        </w:tc>
      </w:tr>
      <w:tr w:rsidR="004C4C9A" w:rsidRPr="004C4C9A" w14:paraId="74BF4933" w14:textId="77777777" w:rsidTr="004C4C9A">
        <w:tc>
          <w:tcPr>
            <w:tcW w:w="2263" w:type="dxa"/>
            <w:tcBorders>
              <w:top w:val="single" w:sz="8" w:space="0" w:color="7F7F7F" w:themeColor="text1" w:themeTint="80"/>
              <w:bottom w:val="single" w:sz="8" w:space="0" w:color="7F7F7F" w:themeColor="text1" w:themeTint="80"/>
            </w:tcBorders>
            <w:shd w:val="clear" w:color="auto" w:fill="auto"/>
          </w:tcPr>
          <w:p w14:paraId="7C8C56DC" w14:textId="2912D20A" w:rsidR="004C4C9A" w:rsidRPr="004C4C9A" w:rsidRDefault="004C4C9A" w:rsidP="004C4C9A">
            <w:pPr>
              <w:jc w:val="center"/>
              <w:rPr>
                <w:rFonts w:eastAsia="Times New Roman" w:cs="Times New Roman"/>
                <w:b/>
                <w:lang w:eastAsia="cs-CZ"/>
              </w:rPr>
            </w:pPr>
            <w:r w:rsidRPr="004C4C9A">
              <w:rPr>
                <w:rFonts w:eastAsia="Times New Roman" w:cs="Times New Roman"/>
                <w:b/>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2EED3DEB" w14:textId="60962A92"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4 069</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5E6D2DEC" w14:textId="2A5092E2"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1600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1D879080" w14:textId="09667A02"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2 200</w:t>
            </w:r>
          </w:p>
        </w:tc>
      </w:tr>
    </w:tbl>
    <w:p w14:paraId="69682D66" w14:textId="07241198" w:rsidR="007E1BD7" w:rsidRPr="004C4C9A" w:rsidRDefault="004C4C9A" w:rsidP="007E1BD7">
      <w:pPr>
        <w:keepLines/>
        <w:spacing w:before="240" w:after="240" w:line="276" w:lineRule="auto"/>
        <w:rPr>
          <w:rFonts w:eastAsia="Times New Roman" w:cs="Times New Roman"/>
          <w:iCs/>
          <w:color w:val="FF0000"/>
          <w:szCs w:val="24"/>
          <w:lang w:eastAsia="cs-CZ"/>
        </w:rPr>
      </w:pPr>
      <w:r w:rsidRPr="004C4C9A">
        <w:t xml:space="preserve">V navrženém objemu výdajů pro </w:t>
      </w:r>
      <w:r w:rsidRPr="004C4C9A">
        <w:rPr>
          <w:b/>
          <w:bCs/>
        </w:rPr>
        <w:t>Drážní úřad</w:t>
      </w:r>
      <w:r w:rsidRPr="004C4C9A">
        <w:t xml:space="preserve"> jsou v programu 127 07 zahrnuty </w:t>
      </w:r>
      <w:r w:rsidRPr="004C4C9A">
        <w:rPr>
          <w:b/>
        </w:rPr>
        <w:t>kapitálové výdaje</w:t>
      </w:r>
      <w:r w:rsidRPr="004C4C9A">
        <w:t xml:space="preserve"> v celkové výši </w:t>
      </w:r>
      <w:r w:rsidRPr="004C4C9A">
        <w:rPr>
          <w:b/>
        </w:rPr>
        <w:t xml:space="preserve">2 200 tis. Kč. </w:t>
      </w:r>
      <w:r w:rsidRPr="004C4C9A">
        <w:t xml:space="preserve">V subtitulu ICT budou využity investiční prostředky ve výši </w:t>
      </w:r>
      <w:r w:rsidRPr="004C4C9A">
        <w:rPr>
          <w:b/>
        </w:rPr>
        <w:t>1 400 tis. Kč</w:t>
      </w:r>
      <w:r w:rsidRPr="004C4C9A">
        <w:t xml:space="preserve">, z toho na obnovu programového vybavení organizace (1 000 tis. Kč) </w:t>
      </w:r>
      <w:r w:rsidRPr="004C4C9A">
        <w:br/>
        <w:t>a obnovu výpočetní techniky (400 tis. Kč). V subtitulu materiálně</w:t>
      </w:r>
      <w:r w:rsidR="00865FC3">
        <w:t>-</w:t>
      </w:r>
      <w:r w:rsidRPr="004C4C9A">
        <w:t xml:space="preserve">technické základny organizace budou vyčleněny investice ve výši </w:t>
      </w:r>
      <w:r w:rsidRPr="004C4C9A">
        <w:rPr>
          <w:b/>
        </w:rPr>
        <w:t xml:space="preserve">800 tis. Kč, </w:t>
      </w:r>
      <w:r w:rsidRPr="004C4C9A">
        <w:rPr>
          <w:bCs/>
        </w:rPr>
        <w:t>z toho na pořízení kopírovacího stroje (200 tis. Kč) a obnovu vozového parku (600 tis. Kč)</w:t>
      </w:r>
      <w:r w:rsidR="007E1BD7" w:rsidRPr="004C4C9A">
        <w:rPr>
          <w:rFonts w:eastAsia="Times New Roman" w:cs="Times New Roman"/>
          <w:b/>
          <w:iCs/>
          <w:szCs w:val="24"/>
          <w:lang w:eastAsia="cs-CZ"/>
        </w:rPr>
        <w:t>.</w:t>
      </w:r>
      <w:r w:rsidR="007E1BD7" w:rsidRPr="004C4C9A">
        <w:rPr>
          <w:rFonts w:eastAsia="Times New Roman" w:cs="Times New Roman"/>
          <w:iCs/>
          <w:szCs w:val="24"/>
          <w:lang w:eastAsia="cs-CZ"/>
        </w:rPr>
        <w:t xml:space="preserve"> </w:t>
      </w:r>
    </w:p>
    <w:p w14:paraId="5CA29644" w14:textId="5212A2B4" w:rsidR="007E1BD7" w:rsidRPr="004C4C9A" w:rsidRDefault="007E1BD7" w:rsidP="007E1BD7">
      <w:pPr>
        <w:spacing w:before="240" w:line="240" w:lineRule="auto"/>
        <w:rPr>
          <w:rFonts w:eastAsia="Times New Roman" w:cs="Times New Roman"/>
          <w:b/>
          <w:bCs/>
          <w:szCs w:val="24"/>
          <w:u w:val="single"/>
          <w:lang w:eastAsia="cs-CZ"/>
        </w:rPr>
      </w:pPr>
      <w:r w:rsidRPr="004C4C9A">
        <w:rPr>
          <w:rFonts w:eastAsia="Times New Roman" w:cs="Times New Roman"/>
          <w:b/>
          <w:bCs/>
          <w:szCs w:val="24"/>
          <w:u w:val="single"/>
          <w:lang w:eastAsia="cs-CZ"/>
        </w:rPr>
        <w:t>Drážní inspekce</w:t>
      </w:r>
    </w:p>
    <w:p w14:paraId="646BA457" w14:textId="4F9CB04B" w:rsidR="007E1BD7" w:rsidRPr="004C4C9A" w:rsidRDefault="007E1BD7" w:rsidP="007E1BD7">
      <w:pPr>
        <w:keepNext/>
        <w:spacing w:before="120" w:after="120" w:line="240" w:lineRule="auto"/>
        <w:rPr>
          <w:rFonts w:eastAsia="Times New Roman" w:cs="Times New Roman"/>
          <w:b/>
          <w:bCs/>
          <w:noProof/>
          <w:sz w:val="20"/>
          <w:szCs w:val="20"/>
          <w:lang w:eastAsia="cs-CZ"/>
        </w:rPr>
      </w:pPr>
      <w:r w:rsidRPr="004C4C9A">
        <w:rPr>
          <w:rFonts w:eastAsia="Times New Roman" w:cs="Times New Roman"/>
          <w:b/>
          <w:bCs/>
          <w:sz w:val="20"/>
          <w:szCs w:val="20"/>
          <w:lang w:eastAsia="cs-CZ"/>
        </w:rPr>
        <w:t xml:space="preserve">Tabulka č. </w:t>
      </w:r>
      <w:r w:rsidRPr="004C4C9A">
        <w:rPr>
          <w:rFonts w:eastAsia="Times New Roman" w:cs="Times New Roman"/>
          <w:b/>
          <w:bCs/>
          <w:noProof/>
          <w:sz w:val="20"/>
          <w:szCs w:val="20"/>
          <w:lang w:eastAsia="cs-CZ"/>
        </w:rPr>
        <w:fldChar w:fldCharType="begin"/>
      </w:r>
      <w:r w:rsidRPr="004C4C9A">
        <w:rPr>
          <w:rFonts w:eastAsia="Times New Roman" w:cs="Times New Roman"/>
          <w:b/>
          <w:bCs/>
          <w:noProof/>
          <w:sz w:val="20"/>
          <w:szCs w:val="20"/>
          <w:lang w:eastAsia="cs-CZ"/>
        </w:rPr>
        <w:instrText xml:space="preserve"> SEQ Tabulka \* ARABIC </w:instrText>
      </w:r>
      <w:r w:rsidRPr="004C4C9A">
        <w:rPr>
          <w:rFonts w:eastAsia="Times New Roman" w:cs="Times New Roman"/>
          <w:b/>
          <w:bCs/>
          <w:noProof/>
          <w:sz w:val="20"/>
          <w:szCs w:val="20"/>
          <w:lang w:eastAsia="cs-CZ"/>
        </w:rPr>
        <w:fldChar w:fldCharType="separate"/>
      </w:r>
      <w:r w:rsidR="003B0B01" w:rsidRPr="004C4C9A">
        <w:rPr>
          <w:rFonts w:eastAsia="Times New Roman" w:cs="Times New Roman"/>
          <w:b/>
          <w:bCs/>
          <w:noProof/>
          <w:sz w:val="20"/>
          <w:szCs w:val="20"/>
          <w:lang w:eastAsia="cs-CZ"/>
        </w:rPr>
        <w:t>39</w:t>
      </w:r>
      <w:r w:rsidRPr="004C4C9A">
        <w:rPr>
          <w:rFonts w:eastAsia="Times New Roman" w:cs="Times New Roman"/>
          <w:b/>
          <w:bCs/>
          <w:noProof/>
          <w:sz w:val="20"/>
          <w:szCs w:val="20"/>
          <w:lang w:eastAsia="cs-CZ"/>
        </w:rPr>
        <w:fldChar w:fldCharType="end"/>
      </w:r>
      <w:r w:rsidRPr="004C4C9A">
        <w:rPr>
          <w:rFonts w:eastAsia="Times New Roman" w:cs="Times New Roman"/>
          <w:b/>
          <w:bCs/>
          <w:noProof/>
          <w:sz w:val="20"/>
          <w:szCs w:val="20"/>
          <w:lang w:eastAsia="cs-CZ"/>
        </w:rPr>
        <w:t xml:space="preserve"> Výdaje Drážní inspekce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4C4C9A" w:rsidRPr="004C4C9A" w14:paraId="52DF47D9" w14:textId="77777777" w:rsidTr="004C4C9A">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08C7E31" w14:textId="5D304DF1"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8D1D672" w14:textId="0743BEC8"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 xml:space="preserve">Skutečnost </w:t>
            </w:r>
            <w:r w:rsidRPr="004C4C9A">
              <w:rPr>
                <w:rFonts w:eastAsia="Times New Roman" w:cs="Times New Roman"/>
                <w:b/>
                <w:bCs/>
                <w:lang w:eastAsia="cs-CZ"/>
              </w:rPr>
              <w:br/>
              <w:t>2023</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51CB98B" w14:textId="46742C56"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Schválený rozpočet 2024</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06D326" w14:textId="30386025"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Návrh rozpočtu</w:t>
            </w:r>
            <w:r w:rsidRPr="004C4C9A">
              <w:rPr>
                <w:rFonts w:eastAsia="Times New Roman" w:cs="Times New Roman"/>
                <w:b/>
                <w:bCs/>
                <w:lang w:eastAsia="cs-CZ"/>
              </w:rPr>
              <w:br/>
              <w:t>2025</w:t>
            </w:r>
          </w:p>
        </w:tc>
      </w:tr>
      <w:tr w:rsidR="004C4C9A" w:rsidRPr="004C4C9A" w14:paraId="5960FA6E" w14:textId="77777777" w:rsidTr="004C4C9A">
        <w:tc>
          <w:tcPr>
            <w:tcW w:w="2263" w:type="dxa"/>
            <w:tcBorders>
              <w:bottom w:val="single" w:sz="8" w:space="0" w:color="7F7F7F" w:themeColor="text1" w:themeTint="80"/>
            </w:tcBorders>
            <w:shd w:val="clear" w:color="auto" w:fill="auto"/>
          </w:tcPr>
          <w:p w14:paraId="5AD43103" w14:textId="4646B412" w:rsidR="004C4C9A" w:rsidRPr="004C4C9A" w:rsidRDefault="004C4C9A" w:rsidP="004C4C9A">
            <w:pPr>
              <w:jc w:val="center"/>
              <w:rPr>
                <w:rFonts w:eastAsia="Times New Roman" w:cs="Times New Roman"/>
                <w:lang w:eastAsia="cs-CZ"/>
              </w:rPr>
            </w:pPr>
            <w:r w:rsidRPr="004C4C9A">
              <w:rPr>
                <w:rFonts w:eastAsia="Times New Roman" w:cs="Times New Roman"/>
                <w:lang w:eastAsia="cs-CZ"/>
              </w:rPr>
              <w:t>127 03</w:t>
            </w:r>
          </w:p>
        </w:tc>
        <w:tc>
          <w:tcPr>
            <w:tcW w:w="2266" w:type="dxa"/>
            <w:tcBorders>
              <w:bottom w:val="single" w:sz="8" w:space="0" w:color="7F7F7F" w:themeColor="text1" w:themeTint="80"/>
            </w:tcBorders>
            <w:shd w:val="clear" w:color="auto" w:fill="auto"/>
            <w:vAlign w:val="center"/>
          </w:tcPr>
          <w:p w14:paraId="1969307C" w14:textId="6AFC0A64"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1 444</w:t>
            </w:r>
          </w:p>
        </w:tc>
        <w:tc>
          <w:tcPr>
            <w:tcW w:w="2264" w:type="dxa"/>
            <w:tcBorders>
              <w:bottom w:val="single" w:sz="8" w:space="0" w:color="7F7F7F" w:themeColor="text1" w:themeTint="80"/>
            </w:tcBorders>
            <w:shd w:val="clear" w:color="auto" w:fill="auto"/>
            <w:vAlign w:val="center"/>
          </w:tcPr>
          <w:p w14:paraId="7375CA34" w14:textId="226FF662"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08DB1FD6" w14:textId="43CD3052"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r>
      <w:tr w:rsidR="004C4C9A" w:rsidRPr="004C4C9A" w14:paraId="111003F5" w14:textId="77777777" w:rsidTr="004C4C9A">
        <w:tc>
          <w:tcPr>
            <w:tcW w:w="2263" w:type="dxa"/>
            <w:tcBorders>
              <w:bottom w:val="single" w:sz="8" w:space="0" w:color="7F7F7F" w:themeColor="text1" w:themeTint="80"/>
            </w:tcBorders>
            <w:shd w:val="clear" w:color="auto" w:fill="auto"/>
          </w:tcPr>
          <w:p w14:paraId="787435CF" w14:textId="393F5F6D" w:rsidR="004C4C9A" w:rsidRPr="004C4C9A" w:rsidRDefault="004C4C9A" w:rsidP="004C4C9A">
            <w:pPr>
              <w:jc w:val="center"/>
              <w:rPr>
                <w:rFonts w:eastAsia="Times New Roman" w:cs="Times New Roman"/>
                <w:lang w:eastAsia="cs-CZ"/>
              </w:rPr>
            </w:pPr>
            <w:r w:rsidRPr="004C4C9A">
              <w:rPr>
                <w:rFonts w:eastAsia="Times New Roman" w:cs="Times New Roman"/>
                <w:lang w:eastAsia="cs-CZ"/>
              </w:rPr>
              <w:t>127 07</w:t>
            </w:r>
          </w:p>
        </w:tc>
        <w:tc>
          <w:tcPr>
            <w:tcW w:w="2266" w:type="dxa"/>
            <w:tcBorders>
              <w:bottom w:val="single" w:sz="8" w:space="0" w:color="7F7F7F" w:themeColor="text1" w:themeTint="80"/>
            </w:tcBorders>
            <w:shd w:val="clear" w:color="auto" w:fill="auto"/>
            <w:vAlign w:val="center"/>
          </w:tcPr>
          <w:p w14:paraId="1D413CF7" w14:textId="645A3E18"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6ACC7F75" w14:textId="0FC1DF71"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1 830</w:t>
            </w:r>
          </w:p>
        </w:tc>
        <w:tc>
          <w:tcPr>
            <w:tcW w:w="2258" w:type="dxa"/>
            <w:tcBorders>
              <w:bottom w:val="single" w:sz="8" w:space="0" w:color="7F7F7F" w:themeColor="text1" w:themeTint="80"/>
            </w:tcBorders>
            <w:shd w:val="clear" w:color="auto" w:fill="auto"/>
            <w:vAlign w:val="center"/>
          </w:tcPr>
          <w:p w14:paraId="4242A064" w14:textId="3C3C442F"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r>
      <w:tr w:rsidR="004C4C9A" w:rsidRPr="004C4C9A" w14:paraId="27A485AD" w14:textId="77777777" w:rsidTr="004C4C9A">
        <w:tc>
          <w:tcPr>
            <w:tcW w:w="2263" w:type="dxa"/>
            <w:tcBorders>
              <w:top w:val="single" w:sz="8" w:space="0" w:color="7F7F7F" w:themeColor="text1" w:themeTint="80"/>
              <w:bottom w:val="single" w:sz="8" w:space="0" w:color="7F7F7F" w:themeColor="text1" w:themeTint="80"/>
            </w:tcBorders>
            <w:shd w:val="clear" w:color="auto" w:fill="auto"/>
          </w:tcPr>
          <w:p w14:paraId="2E748980" w14:textId="67184519" w:rsidR="004C4C9A" w:rsidRPr="004C4C9A" w:rsidRDefault="004C4C9A" w:rsidP="004C4C9A">
            <w:pPr>
              <w:jc w:val="center"/>
              <w:rPr>
                <w:rFonts w:eastAsia="Times New Roman" w:cs="Times New Roman"/>
                <w:b/>
                <w:lang w:eastAsia="cs-CZ"/>
              </w:rPr>
            </w:pPr>
            <w:r w:rsidRPr="004C4C9A">
              <w:rPr>
                <w:rFonts w:eastAsia="Times New Roman" w:cs="Times New Roman"/>
                <w:b/>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47CBAF84" w14:textId="40140568"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1 444</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6C1947BF" w14:textId="7CA444BA"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1 830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20E260B3" w14:textId="6933E5B5"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0</w:t>
            </w:r>
          </w:p>
        </w:tc>
      </w:tr>
    </w:tbl>
    <w:p w14:paraId="6DA8FEBC" w14:textId="26612533" w:rsidR="007E1BD7" w:rsidRPr="004C4C9A" w:rsidRDefault="004C4C9A" w:rsidP="007E1BD7">
      <w:pPr>
        <w:keepLines/>
        <w:spacing w:before="240" w:after="240" w:line="276" w:lineRule="auto"/>
        <w:rPr>
          <w:rFonts w:eastAsia="Times New Roman" w:cs="Times New Roman"/>
          <w:b/>
          <w:bCs/>
          <w:iCs/>
          <w:color w:val="FF0000"/>
          <w:szCs w:val="24"/>
          <w:lang w:eastAsia="cs-CZ"/>
        </w:rPr>
      </w:pPr>
      <w:r w:rsidRPr="004C4C9A">
        <w:t xml:space="preserve">Kapitálové výdaje </w:t>
      </w:r>
      <w:r w:rsidRPr="004C4C9A">
        <w:rPr>
          <w:b/>
        </w:rPr>
        <w:t>Drážní inspekce</w:t>
      </w:r>
      <w:r w:rsidRPr="004C4C9A">
        <w:t xml:space="preserve"> nejsou v subtitulu ICT, ani v subtitulu materiálně</w:t>
      </w:r>
      <w:r w:rsidR="00865FC3">
        <w:t>-</w:t>
      </w:r>
      <w:r w:rsidRPr="004C4C9A">
        <w:t>technické základny organizace, navrhovány</w:t>
      </w:r>
      <w:r w:rsidR="007E1BD7" w:rsidRPr="004C4C9A">
        <w:rPr>
          <w:rFonts w:eastAsia="Times New Roman" w:cs="Times New Roman"/>
          <w:iCs/>
          <w:szCs w:val="24"/>
          <w:lang w:eastAsia="cs-CZ"/>
        </w:rPr>
        <w:t>.</w:t>
      </w:r>
    </w:p>
    <w:p w14:paraId="074157AE" w14:textId="77777777" w:rsidR="007E1BD7" w:rsidRPr="004C4C9A" w:rsidRDefault="007E1BD7" w:rsidP="007E1BD7">
      <w:pPr>
        <w:keepNext/>
        <w:tabs>
          <w:tab w:val="left" w:pos="708"/>
        </w:tabs>
        <w:spacing w:before="240" w:line="240" w:lineRule="auto"/>
        <w:outlineLvl w:val="3"/>
        <w:rPr>
          <w:rFonts w:eastAsia="Times New Roman" w:cs="Times New Roman"/>
          <w:b/>
          <w:szCs w:val="24"/>
          <w:u w:val="single"/>
          <w:lang w:eastAsia="cs-CZ"/>
        </w:rPr>
      </w:pPr>
      <w:r w:rsidRPr="004C4C9A">
        <w:rPr>
          <w:rFonts w:eastAsia="Times New Roman" w:cs="Times New Roman"/>
          <w:b/>
          <w:szCs w:val="24"/>
          <w:u w:val="single"/>
          <w:lang w:eastAsia="cs-CZ"/>
        </w:rPr>
        <w:lastRenderedPageBreak/>
        <w:t>Ředitelství vodních cest ČR</w:t>
      </w:r>
    </w:p>
    <w:p w14:paraId="70CD588B" w14:textId="1CE10BD3" w:rsidR="007E1BD7" w:rsidRPr="004C4C9A" w:rsidRDefault="007E1BD7" w:rsidP="007E1BD7">
      <w:pPr>
        <w:keepNext/>
        <w:spacing w:before="120" w:after="120" w:line="240" w:lineRule="auto"/>
        <w:rPr>
          <w:rFonts w:eastAsia="Times New Roman" w:cs="Times New Roman"/>
          <w:b/>
          <w:bCs/>
          <w:sz w:val="20"/>
          <w:szCs w:val="20"/>
          <w:lang w:eastAsia="cs-CZ"/>
        </w:rPr>
      </w:pPr>
      <w:r w:rsidRPr="004C4C9A">
        <w:rPr>
          <w:rFonts w:eastAsia="Times New Roman" w:cs="Times New Roman"/>
          <w:b/>
          <w:bCs/>
          <w:sz w:val="20"/>
          <w:szCs w:val="20"/>
          <w:lang w:eastAsia="cs-CZ"/>
        </w:rPr>
        <w:t xml:space="preserve">Tabulka č. </w:t>
      </w:r>
      <w:r w:rsidRPr="004C4C9A">
        <w:rPr>
          <w:rFonts w:eastAsia="Times New Roman" w:cs="Times New Roman"/>
          <w:b/>
          <w:bCs/>
          <w:noProof/>
          <w:sz w:val="20"/>
          <w:szCs w:val="20"/>
          <w:lang w:eastAsia="cs-CZ"/>
        </w:rPr>
        <w:fldChar w:fldCharType="begin"/>
      </w:r>
      <w:r w:rsidRPr="004C4C9A">
        <w:rPr>
          <w:rFonts w:eastAsia="Times New Roman" w:cs="Times New Roman"/>
          <w:b/>
          <w:bCs/>
          <w:noProof/>
          <w:sz w:val="20"/>
          <w:szCs w:val="20"/>
          <w:lang w:eastAsia="cs-CZ"/>
        </w:rPr>
        <w:instrText xml:space="preserve"> SEQ Tabulka \* ARABIC </w:instrText>
      </w:r>
      <w:r w:rsidRPr="004C4C9A">
        <w:rPr>
          <w:rFonts w:eastAsia="Times New Roman" w:cs="Times New Roman"/>
          <w:b/>
          <w:bCs/>
          <w:noProof/>
          <w:sz w:val="20"/>
          <w:szCs w:val="20"/>
          <w:lang w:eastAsia="cs-CZ"/>
        </w:rPr>
        <w:fldChar w:fldCharType="separate"/>
      </w:r>
      <w:r w:rsidR="003B0B01" w:rsidRPr="004C4C9A">
        <w:rPr>
          <w:rFonts w:eastAsia="Times New Roman" w:cs="Times New Roman"/>
          <w:b/>
          <w:bCs/>
          <w:noProof/>
          <w:sz w:val="20"/>
          <w:szCs w:val="20"/>
          <w:lang w:eastAsia="cs-CZ"/>
        </w:rPr>
        <w:t>40</w:t>
      </w:r>
      <w:r w:rsidRPr="004C4C9A">
        <w:rPr>
          <w:rFonts w:eastAsia="Times New Roman" w:cs="Times New Roman"/>
          <w:b/>
          <w:bCs/>
          <w:noProof/>
          <w:sz w:val="20"/>
          <w:szCs w:val="20"/>
          <w:lang w:eastAsia="cs-CZ"/>
        </w:rPr>
        <w:fldChar w:fldCharType="end"/>
      </w:r>
      <w:r w:rsidRPr="004C4C9A">
        <w:rPr>
          <w:rFonts w:eastAsia="Times New Roman" w:cs="Times New Roman"/>
          <w:b/>
          <w:bCs/>
          <w:noProof/>
          <w:sz w:val="20"/>
          <w:szCs w:val="20"/>
          <w:lang w:eastAsia="cs-CZ"/>
        </w:rPr>
        <w:t xml:space="preserve"> Výdaje Ředitelství vodních cest ČR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4C4C9A" w:rsidRPr="004C4C9A" w14:paraId="3420C25B" w14:textId="77777777" w:rsidTr="001E02B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0CABE64" w14:textId="11051E0A"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4CF6B966" w14:textId="145FF188"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 xml:space="preserve">Skutečnost </w:t>
            </w:r>
            <w:r w:rsidRPr="004C4C9A">
              <w:rPr>
                <w:rFonts w:eastAsia="Times New Roman" w:cs="Times New Roman"/>
                <w:b/>
                <w:bCs/>
                <w:lang w:eastAsia="cs-CZ"/>
              </w:rPr>
              <w:br/>
              <w:t>2023</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0336B4D" w14:textId="0454D6CB"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Schválený rozpočet 2024</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FA83C5E" w14:textId="1161377D"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Návrh rozpočtu</w:t>
            </w:r>
            <w:r w:rsidRPr="004C4C9A">
              <w:rPr>
                <w:rFonts w:eastAsia="Times New Roman" w:cs="Times New Roman"/>
                <w:b/>
                <w:bCs/>
                <w:lang w:eastAsia="cs-CZ"/>
              </w:rPr>
              <w:br/>
              <w:t>2025</w:t>
            </w:r>
          </w:p>
        </w:tc>
      </w:tr>
      <w:tr w:rsidR="004C4C9A" w:rsidRPr="004C4C9A" w14:paraId="36A20147" w14:textId="77777777" w:rsidTr="001E02BC">
        <w:tc>
          <w:tcPr>
            <w:tcW w:w="2263" w:type="dxa"/>
            <w:tcBorders>
              <w:top w:val="single" w:sz="4" w:space="0" w:color="7F7F7F" w:themeColor="text1" w:themeTint="80"/>
              <w:bottom w:val="single" w:sz="8" w:space="0" w:color="7F7F7F" w:themeColor="text1" w:themeTint="80"/>
            </w:tcBorders>
            <w:shd w:val="clear" w:color="auto" w:fill="auto"/>
          </w:tcPr>
          <w:p w14:paraId="67CCFF96" w14:textId="14053954" w:rsidR="004C4C9A" w:rsidRPr="004C4C9A" w:rsidRDefault="004C4C9A" w:rsidP="004C4C9A">
            <w:pPr>
              <w:jc w:val="center"/>
              <w:rPr>
                <w:rFonts w:eastAsia="Times New Roman" w:cs="Times New Roman"/>
                <w:lang w:eastAsia="cs-CZ"/>
              </w:rPr>
            </w:pPr>
            <w:r w:rsidRPr="004C4C9A">
              <w:rPr>
                <w:rFonts w:eastAsia="Times New Roman" w:cs="Times New Roman"/>
                <w:iCs/>
                <w:lang w:eastAsia="cs-CZ"/>
              </w:rPr>
              <w:t>127 03</w:t>
            </w:r>
          </w:p>
        </w:tc>
        <w:tc>
          <w:tcPr>
            <w:tcW w:w="2266" w:type="dxa"/>
            <w:tcBorders>
              <w:top w:val="single" w:sz="4" w:space="0" w:color="7F7F7F" w:themeColor="text1" w:themeTint="80"/>
              <w:bottom w:val="single" w:sz="8" w:space="0" w:color="7F7F7F" w:themeColor="text1" w:themeTint="80"/>
            </w:tcBorders>
            <w:shd w:val="clear" w:color="auto" w:fill="auto"/>
            <w:vAlign w:val="center"/>
          </w:tcPr>
          <w:p w14:paraId="3E76183A" w14:textId="513007DF"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2 818</w:t>
            </w:r>
          </w:p>
        </w:tc>
        <w:tc>
          <w:tcPr>
            <w:tcW w:w="2264" w:type="dxa"/>
            <w:tcBorders>
              <w:top w:val="single" w:sz="4" w:space="0" w:color="7F7F7F" w:themeColor="text1" w:themeTint="80"/>
              <w:bottom w:val="single" w:sz="8" w:space="0" w:color="7F7F7F" w:themeColor="text1" w:themeTint="80"/>
            </w:tcBorders>
            <w:shd w:val="clear" w:color="auto" w:fill="auto"/>
            <w:vAlign w:val="center"/>
          </w:tcPr>
          <w:p w14:paraId="538C30C7" w14:textId="47F458D9"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c>
          <w:tcPr>
            <w:tcW w:w="2257" w:type="dxa"/>
            <w:tcBorders>
              <w:top w:val="single" w:sz="4" w:space="0" w:color="7F7F7F" w:themeColor="text1" w:themeTint="80"/>
              <w:bottom w:val="single" w:sz="8" w:space="0" w:color="7F7F7F" w:themeColor="text1" w:themeTint="80"/>
            </w:tcBorders>
            <w:shd w:val="clear" w:color="auto" w:fill="auto"/>
            <w:vAlign w:val="center"/>
          </w:tcPr>
          <w:p w14:paraId="4438159D" w14:textId="41A35EF3"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r>
      <w:tr w:rsidR="004C4C9A" w:rsidRPr="004C4C9A" w14:paraId="4FD14297" w14:textId="77777777" w:rsidTr="001E02BC">
        <w:tc>
          <w:tcPr>
            <w:tcW w:w="2263" w:type="dxa"/>
            <w:tcBorders>
              <w:top w:val="single" w:sz="4" w:space="0" w:color="7F7F7F" w:themeColor="text1" w:themeTint="80"/>
              <w:bottom w:val="single" w:sz="8" w:space="0" w:color="7F7F7F" w:themeColor="text1" w:themeTint="80"/>
            </w:tcBorders>
            <w:shd w:val="clear" w:color="auto" w:fill="auto"/>
          </w:tcPr>
          <w:p w14:paraId="0017C116" w14:textId="1568FF2D" w:rsidR="004C4C9A" w:rsidRPr="004C4C9A" w:rsidRDefault="004C4C9A" w:rsidP="004C4C9A">
            <w:pPr>
              <w:jc w:val="center"/>
              <w:rPr>
                <w:rFonts w:eastAsia="Times New Roman" w:cs="Times New Roman"/>
                <w:iCs/>
                <w:lang w:eastAsia="cs-CZ"/>
              </w:rPr>
            </w:pPr>
            <w:r w:rsidRPr="004C4C9A">
              <w:rPr>
                <w:rFonts w:eastAsia="Times New Roman" w:cs="Times New Roman"/>
                <w:iCs/>
                <w:lang w:eastAsia="cs-CZ"/>
              </w:rPr>
              <w:t>127 07</w:t>
            </w:r>
          </w:p>
        </w:tc>
        <w:tc>
          <w:tcPr>
            <w:tcW w:w="2266" w:type="dxa"/>
            <w:tcBorders>
              <w:top w:val="single" w:sz="4" w:space="0" w:color="7F7F7F" w:themeColor="text1" w:themeTint="80"/>
              <w:bottom w:val="single" w:sz="8" w:space="0" w:color="7F7F7F" w:themeColor="text1" w:themeTint="80"/>
            </w:tcBorders>
            <w:shd w:val="clear" w:color="auto" w:fill="auto"/>
            <w:vAlign w:val="center"/>
          </w:tcPr>
          <w:p w14:paraId="2A5716A0" w14:textId="67FDBC99"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c>
          <w:tcPr>
            <w:tcW w:w="2264" w:type="dxa"/>
            <w:tcBorders>
              <w:top w:val="single" w:sz="4" w:space="0" w:color="7F7F7F" w:themeColor="text1" w:themeTint="80"/>
              <w:bottom w:val="single" w:sz="8" w:space="0" w:color="7F7F7F" w:themeColor="text1" w:themeTint="80"/>
            </w:tcBorders>
            <w:shd w:val="clear" w:color="auto" w:fill="auto"/>
            <w:vAlign w:val="center"/>
          </w:tcPr>
          <w:p w14:paraId="6A0BC35A" w14:textId="09A72E7D"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1 100</w:t>
            </w:r>
          </w:p>
        </w:tc>
        <w:tc>
          <w:tcPr>
            <w:tcW w:w="2257" w:type="dxa"/>
            <w:tcBorders>
              <w:top w:val="single" w:sz="4" w:space="0" w:color="7F7F7F" w:themeColor="text1" w:themeTint="80"/>
              <w:bottom w:val="single" w:sz="8" w:space="0" w:color="7F7F7F" w:themeColor="text1" w:themeTint="80"/>
            </w:tcBorders>
            <w:shd w:val="clear" w:color="auto" w:fill="auto"/>
            <w:vAlign w:val="center"/>
          </w:tcPr>
          <w:p w14:paraId="60524942" w14:textId="74D616BC"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1 100</w:t>
            </w:r>
          </w:p>
        </w:tc>
      </w:tr>
      <w:tr w:rsidR="004C4C9A" w:rsidRPr="004C4C9A" w14:paraId="110383C7" w14:textId="77777777" w:rsidTr="001E02BC">
        <w:tc>
          <w:tcPr>
            <w:tcW w:w="2263" w:type="dxa"/>
            <w:tcBorders>
              <w:top w:val="single" w:sz="8" w:space="0" w:color="7F7F7F" w:themeColor="text1" w:themeTint="80"/>
              <w:bottom w:val="single" w:sz="8" w:space="0" w:color="7F7F7F" w:themeColor="text1" w:themeTint="80"/>
            </w:tcBorders>
            <w:shd w:val="clear" w:color="auto" w:fill="auto"/>
          </w:tcPr>
          <w:p w14:paraId="29F47DFD" w14:textId="493A4A86" w:rsidR="004C4C9A" w:rsidRPr="004C4C9A" w:rsidRDefault="004C4C9A" w:rsidP="004C4C9A">
            <w:pPr>
              <w:jc w:val="center"/>
              <w:rPr>
                <w:rFonts w:eastAsia="Times New Roman" w:cs="Times New Roman"/>
                <w:b/>
                <w:iCs/>
                <w:lang w:eastAsia="cs-CZ"/>
              </w:rPr>
            </w:pPr>
            <w:r w:rsidRPr="004C4C9A">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2392124D" w14:textId="17136D04"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2 818</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35D4E113" w14:textId="34006ADD"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1 100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14:paraId="42CB6C38" w14:textId="0369AEFC"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1 100</w:t>
            </w:r>
          </w:p>
        </w:tc>
      </w:tr>
    </w:tbl>
    <w:p w14:paraId="4EE31E31" w14:textId="144C4CA4" w:rsidR="007E1BD7" w:rsidRPr="004C4C9A" w:rsidRDefault="004C4C9A" w:rsidP="007E1BD7">
      <w:pPr>
        <w:keepLines/>
        <w:spacing w:before="240" w:after="240" w:line="276" w:lineRule="auto"/>
        <w:rPr>
          <w:rFonts w:eastAsia="Times New Roman" w:cs="Times New Roman"/>
          <w:iCs/>
          <w:color w:val="FF0000"/>
          <w:szCs w:val="24"/>
          <w:lang w:eastAsia="cs-CZ"/>
        </w:rPr>
      </w:pPr>
      <w:r w:rsidRPr="004C4C9A">
        <w:rPr>
          <w:b/>
          <w:bCs/>
        </w:rPr>
        <w:t>Ředitelství vodních cest ČR</w:t>
      </w:r>
      <w:r w:rsidRPr="004C4C9A">
        <w:t xml:space="preserve"> využije kapitálové výdaje ve výši </w:t>
      </w:r>
      <w:r w:rsidRPr="004C4C9A">
        <w:rPr>
          <w:b/>
        </w:rPr>
        <w:t xml:space="preserve">1 100 tis. Kč </w:t>
      </w:r>
      <w:r w:rsidRPr="004C4C9A">
        <w:t>v subtitulu ICT na obnovu výpočetní techniky</w:t>
      </w:r>
      <w:r w:rsidR="007E1BD7" w:rsidRPr="004C4C9A">
        <w:rPr>
          <w:rFonts w:eastAsia="Times New Roman" w:cs="Times New Roman"/>
          <w:iCs/>
          <w:szCs w:val="24"/>
          <w:lang w:eastAsia="cs-CZ"/>
        </w:rPr>
        <w:t xml:space="preserve">. </w:t>
      </w:r>
    </w:p>
    <w:p w14:paraId="7A0A20C7" w14:textId="77777777" w:rsidR="007E1BD7" w:rsidRPr="004C4C9A" w:rsidRDefault="007E1BD7" w:rsidP="007E1BD7">
      <w:pPr>
        <w:keepNext/>
        <w:tabs>
          <w:tab w:val="left" w:pos="708"/>
        </w:tabs>
        <w:spacing w:before="240" w:line="240" w:lineRule="auto"/>
        <w:outlineLvl w:val="3"/>
        <w:rPr>
          <w:rFonts w:eastAsia="Times New Roman" w:cs="Times New Roman"/>
          <w:b/>
          <w:szCs w:val="24"/>
          <w:u w:val="single"/>
          <w:lang w:eastAsia="cs-CZ"/>
        </w:rPr>
      </w:pPr>
      <w:r w:rsidRPr="004C4C9A">
        <w:rPr>
          <w:rFonts w:eastAsia="Times New Roman" w:cs="Times New Roman"/>
          <w:b/>
          <w:szCs w:val="24"/>
          <w:u w:val="single"/>
          <w:lang w:eastAsia="cs-CZ"/>
        </w:rPr>
        <w:t>Ústav pro odborné zjišťování příčin leteckých nehod</w:t>
      </w:r>
    </w:p>
    <w:p w14:paraId="71987078" w14:textId="2BC682CB" w:rsidR="007E1BD7" w:rsidRPr="004C4C9A" w:rsidRDefault="007E1BD7" w:rsidP="007E1BD7">
      <w:pPr>
        <w:keepNext/>
        <w:spacing w:before="120" w:after="120" w:line="240" w:lineRule="auto"/>
        <w:rPr>
          <w:rFonts w:eastAsia="Times New Roman" w:cs="Times New Roman"/>
          <w:b/>
          <w:bCs/>
          <w:noProof/>
          <w:sz w:val="20"/>
          <w:szCs w:val="20"/>
          <w:lang w:eastAsia="cs-CZ"/>
        </w:rPr>
      </w:pPr>
      <w:r w:rsidRPr="004C4C9A">
        <w:rPr>
          <w:rFonts w:eastAsia="Times New Roman" w:cs="Times New Roman"/>
          <w:b/>
          <w:bCs/>
          <w:sz w:val="20"/>
          <w:szCs w:val="20"/>
          <w:lang w:eastAsia="cs-CZ"/>
        </w:rPr>
        <w:t xml:space="preserve">Tabulka č. </w:t>
      </w:r>
      <w:r w:rsidRPr="004C4C9A">
        <w:rPr>
          <w:rFonts w:eastAsia="Times New Roman" w:cs="Times New Roman"/>
          <w:b/>
          <w:bCs/>
          <w:noProof/>
          <w:sz w:val="20"/>
          <w:szCs w:val="20"/>
          <w:lang w:eastAsia="cs-CZ"/>
        </w:rPr>
        <w:fldChar w:fldCharType="begin"/>
      </w:r>
      <w:r w:rsidRPr="004C4C9A">
        <w:rPr>
          <w:rFonts w:eastAsia="Times New Roman" w:cs="Times New Roman"/>
          <w:b/>
          <w:bCs/>
          <w:noProof/>
          <w:sz w:val="20"/>
          <w:szCs w:val="20"/>
          <w:lang w:eastAsia="cs-CZ"/>
        </w:rPr>
        <w:instrText xml:space="preserve"> SEQ Tabulka \* ARABIC </w:instrText>
      </w:r>
      <w:r w:rsidRPr="004C4C9A">
        <w:rPr>
          <w:rFonts w:eastAsia="Times New Roman" w:cs="Times New Roman"/>
          <w:b/>
          <w:bCs/>
          <w:noProof/>
          <w:sz w:val="20"/>
          <w:szCs w:val="20"/>
          <w:lang w:eastAsia="cs-CZ"/>
        </w:rPr>
        <w:fldChar w:fldCharType="separate"/>
      </w:r>
      <w:r w:rsidR="003B0B01" w:rsidRPr="004C4C9A">
        <w:rPr>
          <w:rFonts w:eastAsia="Times New Roman" w:cs="Times New Roman"/>
          <w:b/>
          <w:bCs/>
          <w:noProof/>
          <w:sz w:val="20"/>
          <w:szCs w:val="20"/>
          <w:lang w:eastAsia="cs-CZ"/>
        </w:rPr>
        <w:t>41</w:t>
      </w:r>
      <w:r w:rsidRPr="004C4C9A">
        <w:rPr>
          <w:rFonts w:eastAsia="Times New Roman" w:cs="Times New Roman"/>
          <w:b/>
          <w:bCs/>
          <w:noProof/>
          <w:sz w:val="20"/>
          <w:szCs w:val="20"/>
          <w:lang w:eastAsia="cs-CZ"/>
        </w:rPr>
        <w:fldChar w:fldCharType="end"/>
      </w:r>
      <w:r w:rsidRPr="004C4C9A">
        <w:rPr>
          <w:rFonts w:eastAsia="Times New Roman" w:cs="Times New Roman"/>
          <w:b/>
          <w:bCs/>
          <w:noProof/>
          <w:sz w:val="20"/>
          <w:szCs w:val="20"/>
          <w:lang w:eastAsia="cs-CZ"/>
        </w:rPr>
        <w:t xml:space="preserve"> Výdaje Ústavu pro odborné zjišťování příčin let. nehod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4C4C9A" w:rsidRPr="004C4C9A" w14:paraId="6F906179" w14:textId="77777777" w:rsidTr="004C4C9A">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001FA74E" w14:textId="729CF9C4"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9620A9D" w14:textId="68A18EB4"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 xml:space="preserve">Skutečnost </w:t>
            </w:r>
            <w:r w:rsidRPr="004C4C9A">
              <w:rPr>
                <w:rFonts w:eastAsia="Times New Roman" w:cs="Times New Roman"/>
                <w:b/>
                <w:bCs/>
                <w:lang w:eastAsia="cs-CZ"/>
              </w:rPr>
              <w:br/>
              <w:t>2023</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13E1A7B" w14:textId="42C9D45F"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Schválený rozpočet 2024</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68AA2B2" w14:textId="14F4BA1B" w:rsidR="004C4C9A" w:rsidRPr="004C4C9A" w:rsidRDefault="004C4C9A" w:rsidP="004C4C9A">
            <w:pPr>
              <w:jc w:val="center"/>
              <w:rPr>
                <w:rFonts w:eastAsia="Times New Roman" w:cs="Times New Roman"/>
                <w:b/>
                <w:bCs/>
                <w:lang w:eastAsia="cs-CZ"/>
              </w:rPr>
            </w:pPr>
            <w:r w:rsidRPr="004C4C9A">
              <w:rPr>
                <w:rFonts w:eastAsia="Times New Roman" w:cs="Times New Roman"/>
                <w:b/>
                <w:bCs/>
                <w:lang w:eastAsia="cs-CZ"/>
              </w:rPr>
              <w:t xml:space="preserve">Návrh rozpočtu </w:t>
            </w:r>
            <w:r w:rsidRPr="004C4C9A">
              <w:rPr>
                <w:rFonts w:eastAsia="Times New Roman" w:cs="Times New Roman"/>
                <w:b/>
                <w:bCs/>
                <w:lang w:eastAsia="cs-CZ"/>
              </w:rPr>
              <w:br/>
              <w:t>2025</w:t>
            </w:r>
          </w:p>
        </w:tc>
      </w:tr>
      <w:tr w:rsidR="004C4C9A" w:rsidRPr="004C4C9A" w14:paraId="360FBE6B" w14:textId="77777777" w:rsidTr="004C4C9A">
        <w:tc>
          <w:tcPr>
            <w:tcW w:w="2263" w:type="dxa"/>
            <w:tcBorders>
              <w:bottom w:val="single" w:sz="8" w:space="0" w:color="7F7F7F" w:themeColor="text1" w:themeTint="80"/>
            </w:tcBorders>
            <w:shd w:val="clear" w:color="auto" w:fill="auto"/>
          </w:tcPr>
          <w:p w14:paraId="10F864DB" w14:textId="5618B702" w:rsidR="004C4C9A" w:rsidRPr="004C4C9A" w:rsidRDefault="004C4C9A" w:rsidP="004C4C9A">
            <w:pPr>
              <w:jc w:val="center"/>
              <w:rPr>
                <w:rFonts w:eastAsia="Times New Roman" w:cs="Times New Roman"/>
                <w:lang w:eastAsia="cs-CZ"/>
              </w:rPr>
            </w:pPr>
            <w:r w:rsidRPr="004C4C9A">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2441EFD1" w14:textId="437D6FF1"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1 369</w:t>
            </w:r>
          </w:p>
        </w:tc>
        <w:tc>
          <w:tcPr>
            <w:tcW w:w="2264" w:type="dxa"/>
            <w:tcBorders>
              <w:bottom w:val="single" w:sz="8" w:space="0" w:color="7F7F7F" w:themeColor="text1" w:themeTint="80"/>
            </w:tcBorders>
            <w:shd w:val="clear" w:color="auto" w:fill="auto"/>
            <w:vAlign w:val="center"/>
          </w:tcPr>
          <w:p w14:paraId="1099D8A1" w14:textId="2CADB118"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791858B3" w14:textId="3C23B004"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r>
      <w:tr w:rsidR="004C4C9A" w:rsidRPr="004C4C9A" w14:paraId="4405BDA0" w14:textId="77777777" w:rsidTr="004C4C9A">
        <w:tc>
          <w:tcPr>
            <w:tcW w:w="2263" w:type="dxa"/>
            <w:tcBorders>
              <w:bottom w:val="single" w:sz="8" w:space="0" w:color="7F7F7F" w:themeColor="text1" w:themeTint="80"/>
            </w:tcBorders>
            <w:shd w:val="clear" w:color="auto" w:fill="auto"/>
          </w:tcPr>
          <w:p w14:paraId="1508DE39" w14:textId="4D3EBA39" w:rsidR="004C4C9A" w:rsidRPr="004C4C9A" w:rsidRDefault="004C4C9A" w:rsidP="004C4C9A">
            <w:pPr>
              <w:jc w:val="center"/>
              <w:rPr>
                <w:rFonts w:eastAsia="Times New Roman" w:cs="Times New Roman"/>
                <w:iCs/>
                <w:lang w:eastAsia="cs-CZ"/>
              </w:rPr>
            </w:pPr>
            <w:r w:rsidRPr="004C4C9A">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1041F1E6" w14:textId="5979943B"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4CE9B914" w14:textId="193CCD00"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1 450</w:t>
            </w:r>
          </w:p>
        </w:tc>
        <w:tc>
          <w:tcPr>
            <w:tcW w:w="2258" w:type="dxa"/>
            <w:tcBorders>
              <w:bottom w:val="single" w:sz="8" w:space="0" w:color="7F7F7F" w:themeColor="text1" w:themeTint="80"/>
            </w:tcBorders>
            <w:shd w:val="clear" w:color="auto" w:fill="auto"/>
            <w:vAlign w:val="center"/>
          </w:tcPr>
          <w:p w14:paraId="3D6E1AC5" w14:textId="7ABFBAD5" w:rsidR="004C4C9A" w:rsidRPr="004C4C9A" w:rsidRDefault="004C4C9A" w:rsidP="004C4C9A">
            <w:pPr>
              <w:jc w:val="right"/>
              <w:rPr>
                <w:rFonts w:eastAsia="Times New Roman" w:cs="Times New Roman"/>
                <w:iCs/>
                <w:lang w:eastAsia="cs-CZ"/>
              </w:rPr>
            </w:pPr>
            <w:r w:rsidRPr="004C4C9A">
              <w:rPr>
                <w:rFonts w:eastAsia="Times New Roman" w:cs="Times New Roman"/>
                <w:iCs/>
                <w:lang w:eastAsia="cs-CZ"/>
              </w:rPr>
              <w:t>1 300</w:t>
            </w:r>
          </w:p>
        </w:tc>
      </w:tr>
      <w:tr w:rsidR="004C4C9A" w:rsidRPr="004C4C9A" w14:paraId="2FC232FD" w14:textId="77777777" w:rsidTr="004C4C9A">
        <w:tc>
          <w:tcPr>
            <w:tcW w:w="2263" w:type="dxa"/>
            <w:tcBorders>
              <w:top w:val="single" w:sz="8" w:space="0" w:color="7F7F7F" w:themeColor="text1" w:themeTint="80"/>
              <w:bottom w:val="single" w:sz="8" w:space="0" w:color="7F7F7F" w:themeColor="text1" w:themeTint="80"/>
            </w:tcBorders>
            <w:shd w:val="clear" w:color="auto" w:fill="auto"/>
          </w:tcPr>
          <w:p w14:paraId="2B487699" w14:textId="54EA34A3" w:rsidR="004C4C9A" w:rsidRPr="004C4C9A" w:rsidRDefault="004C4C9A" w:rsidP="004C4C9A">
            <w:pPr>
              <w:jc w:val="center"/>
              <w:rPr>
                <w:rFonts w:eastAsia="Times New Roman" w:cs="Times New Roman"/>
                <w:b/>
                <w:iCs/>
                <w:lang w:eastAsia="cs-CZ"/>
              </w:rPr>
            </w:pPr>
            <w:r w:rsidRPr="004C4C9A">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15FA8C66" w14:textId="63810631"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1 369</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47E8DD1A" w14:textId="4F0F2AA2"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1 450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4B770330" w14:textId="1789F83D" w:rsidR="004C4C9A" w:rsidRPr="004C4C9A" w:rsidRDefault="004C4C9A" w:rsidP="004C4C9A">
            <w:pPr>
              <w:jc w:val="right"/>
              <w:rPr>
                <w:rFonts w:eastAsia="Times New Roman" w:cs="Times New Roman"/>
                <w:b/>
                <w:iCs/>
                <w:lang w:eastAsia="cs-CZ"/>
              </w:rPr>
            </w:pPr>
            <w:r w:rsidRPr="004C4C9A">
              <w:rPr>
                <w:rFonts w:eastAsia="Times New Roman" w:cs="Times New Roman"/>
                <w:b/>
                <w:iCs/>
                <w:lang w:eastAsia="cs-CZ"/>
              </w:rPr>
              <w:t>1 300</w:t>
            </w:r>
          </w:p>
        </w:tc>
      </w:tr>
    </w:tbl>
    <w:p w14:paraId="482AD2A0" w14:textId="6F429890" w:rsidR="007E1BD7" w:rsidRDefault="004C4C9A" w:rsidP="007E1BD7">
      <w:pPr>
        <w:keepLines/>
        <w:spacing w:before="240" w:after="240" w:line="276" w:lineRule="auto"/>
        <w:rPr>
          <w:rFonts w:eastAsia="Times New Roman" w:cs="Times New Roman"/>
          <w:iCs/>
          <w:szCs w:val="24"/>
          <w:lang w:eastAsia="cs-CZ"/>
        </w:rPr>
      </w:pPr>
      <w:r w:rsidRPr="004C4C9A">
        <w:rPr>
          <w:b/>
        </w:rPr>
        <w:t>Kapitálové výdaje</w:t>
      </w:r>
      <w:r w:rsidRPr="004C4C9A">
        <w:t xml:space="preserve"> pro organizaci ÚZPLN jsou rozpočtovány na rok 2025 v celkové výši </w:t>
      </w:r>
      <w:r w:rsidRPr="004C4C9A">
        <w:rPr>
          <w:b/>
        </w:rPr>
        <w:br/>
        <w:t>1 300 tis. Kč.</w:t>
      </w:r>
      <w:r w:rsidRPr="004C4C9A">
        <w:t xml:space="preserve"> V subtitulu ICT bude využito investičních prostředků ve výši </w:t>
      </w:r>
      <w:r w:rsidRPr="004C4C9A">
        <w:rPr>
          <w:b/>
        </w:rPr>
        <w:t>650 tis. Kč</w:t>
      </w:r>
      <w:r w:rsidRPr="004C4C9A">
        <w:t xml:space="preserve"> zejména na nový antivirový program. V subtitulu materiálně</w:t>
      </w:r>
      <w:r w:rsidR="00865FC3">
        <w:t>-</w:t>
      </w:r>
      <w:r w:rsidRPr="004C4C9A">
        <w:t xml:space="preserve">technické základny budou čerpány investice ve výši </w:t>
      </w:r>
      <w:r w:rsidRPr="004C4C9A">
        <w:rPr>
          <w:b/>
        </w:rPr>
        <w:t>650 tis. Kč</w:t>
      </w:r>
      <w:r w:rsidRPr="004C4C9A">
        <w:t xml:space="preserve"> na obměnu kopírovacího stroje a obměnu vybavení technických místností</w:t>
      </w:r>
      <w:r w:rsidR="007E1BD7" w:rsidRPr="004C4C9A">
        <w:rPr>
          <w:rFonts w:eastAsia="Times New Roman" w:cs="Times New Roman"/>
          <w:iCs/>
          <w:szCs w:val="24"/>
          <w:lang w:eastAsia="cs-CZ"/>
        </w:rPr>
        <w:t>.</w:t>
      </w:r>
    </w:p>
    <w:p w14:paraId="2769F5EB" w14:textId="77777777" w:rsidR="008036B4" w:rsidRPr="008036B4" w:rsidRDefault="008036B4" w:rsidP="008036B4">
      <w:pPr>
        <w:keepNext/>
        <w:tabs>
          <w:tab w:val="left" w:pos="708"/>
        </w:tabs>
        <w:spacing w:before="240"/>
        <w:outlineLvl w:val="3"/>
        <w:rPr>
          <w:rFonts w:eastAsia="Times New Roman" w:cs="Times New Roman"/>
          <w:b/>
          <w:szCs w:val="24"/>
          <w:u w:val="single"/>
          <w:lang w:eastAsia="cs-CZ"/>
        </w:rPr>
      </w:pPr>
      <w:r w:rsidRPr="008036B4">
        <w:rPr>
          <w:rFonts w:eastAsia="Times New Roman" w:cs="Times New Roman"/>
          <w:b/>
          <w:szCs w:val="24"/>
          <w:u w:val="single"/>
          <w:lang w:eastAsia="cs-CZ"/>
        </w:rPr>
        <w:t>Dopravní a energetický stavební úřad</w:t>
      </w:r>
    </w:p>
    <w:p w14:paraId="270C0A0B" w14:textId="77777777" w:rsidR="008036B4" w:rsidRPr="001D7087" w:rsidRDefault="008036B4" w:rsidP="008036B4">
      <w:pPr>
        <w:keepNext/>
        <w:spacing w:before="120" w:after="120"/>
        <w:rPr>
          <w:rFonts w:eastAsia="Times New Roman" w:cs="Times New Roman"/>
          <w:b/>
          <w:bCs/>
          <w:noProof/>
          <w:sz w:val="20"/>
          <w:szCs w:val="20"/>
          <w:lang w:eastAsia="cs-CZ"/>
        </w:rPr>
      </w:pPr>
      <w:r w:rsidRPr="001D7087">
        <w:rPr>
          <w:rFonts w:eastAsia="Times New Roman" w:cs="Times New Roman"/>
          <w:b/>
          <w:bCs/>
          <w:sz w:val="20"/>
          <w:szCs w:val="20"/>
          <w:lang w:eastAsia="cs-CZ"/>
        </w:rPr>
        <w:t xml:space="preserve">Tabulka č. </w:t>
      </w:r>
      <w:r w:rsidRPr="001D7087">
        <w:rPr>
          <w:rFonts w:eastAsia="Times New Roman" w:cs="Times New Roman"/>
          <w:b/>
          <w:bCs/>
          <w:noProof/>
          <w:sz w:val="20"/>
          <w:szCs w:val="20"/>
          <w:lang w:eastAsia="cs-CZ"/>
        </w:rPr>
        <w:fldChar w:fldCharType="begin"/>
      </w:r>
      <w:r w:rsidRPr="001D7087">
        <w:rPr>
          <w:rFonts w:eastAsia="Times New Roman" w:cs="Times New Roman"/>
          <w:b/>
          <w:bCs/>
          <w:noProof/>
          <w:sz w:val="20"/>
          <w:szCs w:val="20"/>
          <w:lang w:eastAsia="cs-CZ"/>
        </w:rPr>
        <w:instrText xml:space="preserve"> SEQ Tabulka \* ARABIC </w:instrText>
      </w:r>
      <w:r w:rsidRPr="001D7087">
        <w:rPr>
          <w:rFonts w:eastAsia="Times New Roman" w:cs="Times New Roman"/>
          <w:b/>
          <w:bCs/>
          <w:noProof/>
          <w:sz w:val="20"/>
          <w:szCs w:val="20"/>
          <w:lang w:eastAsia="cs-CZ"/>
        </w:rPr>
        <w:fldChar w:fldCharType="separate"/>
      </w:r>
      <w:r w:rsidRPr="001D7087">
        <w:rPr>
          <w:rFonts w:eastAsia="Times New Roman" w:cs="Times New Roman"/>
          <w:b/>
          <w:bCs/>
          <w:noProof/>
          <w:sz w:val="20"/>
          <w:szCs w:val="20"/>
          <w:lang w:eastAsia="cs-CZ"/>
        </w:rPr>
        <w:t>42</w:t>
      </w:r>
      <w:r w:rsidRPr="001D7087">
        <w:rPr>
          <w:rFonts w:eastAsia="Times New Roman" w:cs="Times New Roman"/>
          <w:b/>
          <w:bCs/>
          <w:noProof/>
          <w:sz w:val="20"/>
          <w:szCs w:val="20"/>
          <w:lang w:eastAsia="cs-CZ"/>
        </w:rPr>
        <w:fldChar w:fldCharType="end"/>
      </w:r>
      <w:r w:rsidRPr="001D7087">
        <w:rPr>
          <w:rFonts w:eastAsia="Times New Roman" w:cs="Times New Roman"/>
          <w:b/>
          <w:bCs/>
          <w:noProof/>
          <w:sz w:val="20"/>
          <w:szCs w:val="20"/>
          <w:lang w:eastAsia="cs-CZ"/>
        </w:rPr>
        <w:t xml:space="preserve"> Výdaje Dopravního a energetického stavebního úřadu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8036B4" w:rsidRPr="008036B4" w14:paraId="2411FC32" w14:textId="77777777" w:rsidTr="00777FB0">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3EA2163" w14:textId="77777777" w:rsidR="008036B4" w:rsidRPr="008036B4" w:rsidRDefault="008036B4" w:rsidP="00777FB0">
            <w:pPr>
              <w:jc w:val="center"/>
              <w:rPr>
                <w:rFonts w:eastAsia="Times New Roman" w:cs="Times New Roman"/>
                <w:b/>
                <w:bCs/>
                <w:lang w:eastAsia="cs-CZ"/>
              </w:rPr>
            </w:pPr>
            <w:r w:rsidRPr="008036B4">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80FA131" w14:textId="77777777" w:rsidR="008036B4" w:rsidRPr="008036B4" w:rsidRDefault="008036B4" w:rsidP="00777FB0">
            <w:pPr>
              <w:jc w:val="center"/>
              <w:rPr>
                <w:rFonts w:eastAsia="Times New Roman" w:cs="Times New Roman"/>
                <w:b/>
                <w:bCs/>
                <w:lang w:eastAsia="cs-CZ"/>
              </w:rPr>
            </w:pPr>
            <w:r w:rsidRPr="008036B4">
              <w:rPr>
                <w:rFonts w:eastAsia="Times New Roman" w:cs="Times New Roman"/>
                <w:b/>
                <w:bCs/>
                <w:lang w:eastAsia="cs-CZ"/>
              </w:rPr>
              <w:t xml:space="preserve">Skutečnost </w:t>
            </w:r>
            <w:r w:rsidRPr="008036B4">
              <w:rPr>
                <w:rFonts w:eastAsia="Times New Roman" w:cs="Times New Roman"/>
                <w:b/>
                <w:bCs/>
                <w:lang w:eastAsia="cs-CZ"/>
              </w:rPr>
              <w:br/>
              <w:t>2023</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AA7A08E" w14:textId="77777777" w:rsidR="008036B4" w:rsidRPr="008036B4" w:rsidRDefault="008036B4" w:rsidP="00777FB0">
            <w:pPr>
              <w:jc w:val="center"/>
              <w:rPr>
                <w:rFonts w:eastAsia="Times New Roman" w:cs="Times New Roman"/>
                <w:b/>
                <w:bCs/>
                <w:lang w:eastAsia="cs-CZ"/>
              </w:rPr>
            </w:pPr>
            <w:r w:rsidRPr="008036B4">
              <w:rPr>
                <w:rFonts w:eastAsia="Times New Roman" w:cs="Times New Roman"/>
                <w:b/>
                <w:bCs/>
                <w:lang w:eastAsia="cs-CZ"/>
              </w:rPr>
              <w:t>Schválený rozpočet 2024</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BC7338F" w14:textId="77777777" w:rsidR="008036B4" w:rsidRPr="008036B4" w:rsidRDefault="008036B4" w:rsidP="00777FB0">
            <w:pPr>
              <w:jc w:val="center"/>
              <w:rPr>
                <w:rFonts w:eastAsia="Times New Roman" w:cs="Times New Roman"/>
                <w:b/>
                <w:bCs/>
                <w:lang w:eastAsia="cs-CZ"/>
              </w:rPr>
            </w:pPr>
            <w:r w:rsidRPr="008036B4">
              <w:rPr>
                <w:rFonts w:eastAsia="Times New Roman" w:cs="Times New Roman"/>
                <w:b/>
                <w:bCs/>
                <w:lang w:eastAsia="cs-CZ"/>
              </w:rPr>
              <w:t xml:space="preserve">Návrh rozpočtu </w:t>
            </w:r>
            <w:r w:rsidRPr="008036B4">
              <w:rPr>
                <w:rFonts w:eastAsia="Times New Roman" w:cs="Times New Roman"/>
                <w:b/>
                <w:bCs/>
                <w:lang w:eastAsia="cs-CZ"/>
              </w:rPr>
              <w:br/>
              <w:t>2025</w:t>
            </w:r>
          </w:p>
        </w:tc>
      </w:tr>
      <w:tr w:rsidR="008036B4" w:rsidRPr="008036B4" w14:paraId="15B3F6B0" w14:textId="77777777" w:rsidTr="00777FB0">
        <w:tc>
          <w:tcPr>
            <w:tcW w:w="2264" w:type="dxa"/>
            <w:tcBorders>
              <w:bottom w:val="single" w:sz="8" w:space="0" w:color="7F7F7F" w:themeColor="text1" w:themeTint="80"/>
            </w:tcBorders>
            <w:shd w:val="clear" w:color="auto" w:fill="auto"/>
          </w:tcPr>
          <w:p w14:paraId="6104DEC2" w14:textId="77777777" w:rsidR="008036B4" w:rsidRPr="008036B4" w:rsidRDefault="008036B4" w:rsidP="00777FB0">
            <w:pPr>
              <w:jc w:val="center"/>
              <w:rPr>
                <w:rFonts w:eastAsia="Times New Roman" w:cs="Times New Roman"/>
                <w:lang w:eastAsia="cs-CZ"/>
              </w:rPr>
            </w:pPr>
            <w:r w:rsidRPr="008036B4">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12E29517" w14:textId="77777777" w:rsidR="008036B4" w:rsidRPr="008036B4" w:rsidRDefault="008036B4" w:rsidP="00777FB0">
            <w:pPr>
              <w:jc w:val="right"/>
              <w:rPr>
                <w:rFonts w:eastAsia="Times New Roman" w:cs="Times New Roman"/>
                <w:iCs/>
                <w:lang w:eastAsia="cs-CZ"/>
              </w:rPr>
            </w:pPr>
            <w:r w:rsidRPr="008036B4">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197E5A51" w14:textId="77777777" w:rsidR="008036B4" w:rsidRPr="008036B4" w:rsidRDefault="008036B4" w:rsidP="00777FB0">
            <w:pPr>
              <w:jc w:val="right"/>
              <w:rPr>
                <w:rFonts w:eastAsia="Times New Roman" w:cs="Times New Roman"/>
                <w:iCs/>
                <w:lang w:eastAsia="cs-CZ"/>
              </w:rPr>
            </w:pPr>
            <w:r w:rsidRPr="008036B4">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1F5B896E" w14:textId="77777777" w:rsidR="008036B4" w:rsidRPr="008036B4" w:rsidRDefault="008036B4" w:rsidP="00777FB0">
            <w:pPr>
              <w:jc w:val="right"/>
              <w:rPr>
                <w:rFonts w:eastAsia="Times New Roman" w:cs="Times New Roman"/>
                <w:iCs/>
                <w:lang w:eastAsia="cs-CZ"/>
              </w:rPr>
            </w:pPr>
            <w:r w:rsidRPr="008036B4">
              <w:rPr>
                <w:rFonts w:eastAsia="Times New Roman" w:cs="Times New Roman"/>
                <w:iCs/>
                <w:lang w:eastAsia="cs-CZ"/>
              </w:rPr>
              <w:t>0</w:t>
            </w:r>
          </w:p>
        </w:tc>
      </w:tr>
      <w:tr w:rsidR="008036B4" w:rsidRPr="008036B4" w14:paraId="2C9357F6" w14:textId="77777777" w:rsidTr="00777FB0">
        <w:tc>
          <w:tcPr>
            <w:tcW w:w="2264" w:type="dxa"/>
            <w:tcBorders>
              <w:bottom w:val="single" w:sz="8" w:space="0" w:color="7F7F7F" w:themeColor="text1" w:themeTint="80"/>
            </w:tcBorders>
            <w:shd w:val="clear" w:color="auto" w:fill="auto"/>
          </w:tcPr>
          <w:p w14:paraId="340B7A7B" w14:textId="77777777" w:rsidR="008036B4" w:rsidRPr="008036B4" w:rsidRDefault="008036B4" w:rsidP="00777FB0">
            <w:pPr>
              <w:jc w:val="center"/>
              <w:rPr>
                <w:rFonts w:eastAsia="Times New Roman" w:cs="Times New Roman"/>
                <w:iCs/>
                <w:lang w:eastAsia="cs-CZ"/>
              </w:rPr>
            </w:pPr>
            <w:r w:rsidRPr="008036B4">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37669188" w14:textId="77777777" w:rsidR="008036B4" w:rsidRPr="008036B4" w:rsidRDefault="008036B4" w:rsidP="00777FB0">
            <w:pPr>
              <w:jc w:val="right"/>
              <w:rPr>
                <w:rFonts w:eastAsia="Times New Roman" w:cs="Times New Roman"/>
                <w:iCs/>
                <w:lang w:eastAsia="cs-CZ"/>
              </w:rPr>
            </w:pPr>
            <w:r w:rsidRPr="008036B4">
              <w:rPr>
                <w:rFonts w:eastAsia="Times New Roman" w:cs="Times New Roman"/>
                <w:iCs/>
                <w:lang w:eastAsia="cs-CZ"/>
              </w:rPr>
              <w:t>8 116</w:t>
            </w:r>
          </w:p>
        </w:tc>
        <w:tc>
          <w:tcPr>
            <w:tcW w:w="2264" w:type="dxa"/>
            <w:tcBorders>
              <w:bottom w:val="single" w:sz="8" w:space="0" w:color="7F7F7F" w:themeColor="text1" w:themeTint="80"/>
            </w:tcBorders>
            <w:shd w:val="clear" w:color="auto" w:fill="auto"/>
            <w:vAlign w:val="center"/>
          </w:tcPr>
          <w:p w14:paraId="74E9E7DE" w14:textId="77777777" w:rsidR="008036B4" w:rsidRPr="008036B4" w:rsidRDefault="008036B4" w:rsidP="00777FB0">
            <w:pPr>
              <w:jc w:val="right"/>
              <w:rPr>
                <w:rFonts w:eastAsia="Times New Roman" w:cs="Times New Roman"/>
                <w:iCs/>
                <w:lang w:eastAsia="cs-CZ"/>
              </w:rPr>
            </w:pPr>
            <w:r w:rsidRPr="008036B4">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4C712B34" w14:textId="77777777" w:rsidR="008036B4" w:rsidRPr="008036B4" w:rsidRDefault="008036B4" w:rsidP="00777FB0">
            <w:pPr>
              <w:jc w:val="right"/>
              <w:rPr>
                <w:rFonts w:eastAsia="Times New Roman" w:cs="Times New Roman"/>
                <w:iCs/>
                <w:lang w:eastAsia="cs-CZ"/>
              </w:rPr>
            </w:pPr>
            <w:r w:rsidRPr="008036B4">
              <w:rPr>
                <w:rFonts w:eastAsia="Times New Roman" w:cs="Times New Roman"/>
                <w:iCs/>
                <w:lang w:eastAsia="cs-CZ"/>
              </w:rPr>
              <w:t>6 300</w:t>
            </w:r>
          </w:p>
        </w:tc>
      </w:tr>
      <w:tr w:rsidR="008036B4" w:rsidRPr="00ED61CC" w14:paraId="27638DDE" w14:textId="77777777" w:rsidTr="00777FB0">
        <w:tc>
          <w:tcPr>
            <w:tcW w:w="2264" w:type="dxa"/>
            <w:tcBorders>
              <w:top w:val="single" w:sz="8" w:space="0" w:color="7F7F7F" w:themeColor="text1" w:themeTint="80"/>
              <w:bottom w:val="single" w:sz="8" w:space="0" w:color="7F7F7F" w:themeColor="text1" w:themeTint="80"/>
            </w:tcBorders>
            <w:shd w:val="clear" w:color="auto" w:fill="auto"/>
          </w:tcPr>
          <w:p w14:paraId="2BA24BB0" w14:textId="77777777" w:rsidR="008036B4" w:rsidRPr="008036B4" w:rsidRDefault="008036B4" w:rsidP="00777FB0">
            <w:pPr>
              <w:jc w:val="center"/>
              <w:rPr>
                <w:rFonts w:eastAsia="Times New Roman" w:cs="Times New Roman"/>
                <w:b/>
                <w:iCs/>
                <w:lang w:eastAsia="cs-CZ"/>
              </w:rPr>
            </w:pPr>
            <w:r w:rsidRPr="008036B4">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0C3E782E" w14:textId="77777777" w:rsidR="008036B4" w:rsidRPr="008036B4" w:rsidRDefault="008036B4" w:rsidP="00777FB0">
            <w:pPr>
              <w:jc w:val="right"/>
              <w:rPr>
                <w:rFonts w:eastAsia="Times New Roman" w:cs="Times New Roman"/>
                <w:b/>
                <w:iCs/>
                <w:lang w:eastAsia="cs-CZ"/>
              </w:rPr>
            </w:pPr>
            <w:r w:rsidRPr="008036B4">
              <w:rPr>
                <w:rFonts w:eastAsia="Times New Roman" w:cs="Times New Roman"/>
                <w:b/>
                <w:iCs/>
                <w:lang w:eastAsia="cs-CZ"/>
              </w:rPr>
              <w:t>8 116</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53953D00" w14:textId="77777777" w:rsidR="008036B4" w:rsidRPr="008036B4" w:rsidRDefault="008036B4" w:rsidP="00777FB0">
            <w:pPr>
              <w:jc w:val="right"/>
              <w:rPr>
                <w:rFonts w:eastAsia="Times New Roman" w:cs="Times New Roman"/>
                <w:b/>
                <w:iCs/>
                <w:lang w:eastAsia="cs-CZ"/>
              </w:rPr>
            </w:pPr>
            <w:r w:rsidRPr="008036B4">
              <w:rPr>
                <w:rFonts w:eastAsia="Times New Roman" w:cs="Times New Roman"/>
                <w:b/>
                <w:iCs/>
                <w:lang w:eastAsia="cs-CZ"/>
              </w:rPr>
              <w:t>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1F51FCFF" w14:textId="77777777" w:rsidR="008036B4" w:rsidRPr="008036B4" w:rsidRDefault="008036B4" w:rsidP="00777FB0">
            <w:pPr>
              <w:jc w:val="right"/>
              <w:rPr>
                <w:rFonts w:eastAsia="Times New Roman" w:cs="Times New Roman"/>
                <w:b/>
                <w:iCs/>
                <w:lang w:eastAsia="cs-CZ"/>
              </w:rPr>
            </w:pPr>
            <w:r w:rsidRPr="008036B4">
              <w:rPr>
                <w:rFonts w:eastAsia="Times New Roman" w:cs="Times New Roman"/>
                <w:b/>
                <w:iCs/>
                <w:lang w:eastAsia="cs-CZ"/>
              </w:rPr>
              <w:t>6 300</w:t>
            </w:r>
          </w:p>
        </w:tc>
      </w:tr>
    </w:tbl>
    <w:p w14:paraId="759159CF" w14:textId="31463F36" w:rsidR="008036B4" w:rsidRPr="004C4C9A" w:rsidRDefault="008036B4" w:rsidP="007E1BD7">
      <w:pPr>
        <w:keepLines/>
        <w:spacing w:before="240" w:after="240" w:line="276" w:lineRule="auto"/>
        <w:rPr>
          <w:rFonts w:eastAsia="Times New Roman" w:cs="Times New Roman"/>
          <w:iCs/>
          <w:szCs w:val="24"/>
          <w:lang w:eastAsia="cs-CZ"/>
        </w:rPr>
      </w:pPr>
      <w:r w:rsidRPr="008036B4">
        <w:rPr>
          <w:b/>
        </w:rPr>
        <w:t>Kapitálové výdaje</w:t>
      </w:r>
      <w:r w:rsidRPr="008036B4">
        <w:t xml:space="preserve"> pro organizaci DESÚ jsou rozpočtovány na rok 2025 v celkové výši </w:t>
      </w:r>
      <w:r w:rsidRPr="008036B4">
        <w:br/>
      </w:r>
      <w:r w:rsidRPr="008036B4">
        <w:rPr>
          <w:b/>
          <w:bCs/>
        </w:rPr>
        <w:t>6 300 tis. Kč</w:t>
      </w:r>
      <w:r w:rsidRPr="008036B4">
        <w:t xml:space="preserve"> a budou použity zejména na rozvoj informačních systémů (1 200 tis. Kč) a na serverové řešení IT infrastruktury, nákup scannerů a plotterů a rovněž zajištění rozvoje základny PC vybavení pro zaměstnance (5 100 tis. Kč).</w:t>
      </w:r>
    </w:p>
    <w:p w14:paraId="3D3B4BC2" w14:textId="414CACAF" w:rsidR="00BB459E" w:rsidRPr="00F54D9E" w:rsidRDefault="007E1BD7">
      <w:pPr>
        <w:pStyle w:val="Nadpis3"/>
      </w:pPr>
      <w:r w:rsidRPr="00AC49D6">
        <w:t xml:space="preserve"> </w:t>
      </w:r>
      <w:bookmarkStart w:id="228" w:name="_Toc115787312"/>
      <w:bookmarkStart w:id="229" w:name="_Toc115787902"/>
      <w:bookmarkStart w:id="230" w:name="_Toc115787313"/>
      <w:bookmarkStart w:id="231" w:name="_Toc115787903"/>
      <w:bookmarkStart w:id="232" w:name="_Toc115787904"/>
      <w:bookmarkStart w:id="233" w:name="_Toc179964108"/>
      <w:bookmarkEnd w:id="228"/>
      <w:bookmarkEnd w:id="229"/>
      <w:bookmarkEnd w:id="230"/>
      <w:bookmarkEnd w:id="231"/>
      <w:r w:rsidR="00554765" w:rsidRPr="00AC49D6">
        <w:t>Zřízené</w:t>
      </w:r>
      <w:r w:rsidR="00554765" w:rsidRPr="00F54D9E">
        <w:t xml:space="preserve"> p</w:t>
      </w:r>
      <w:bookmarkEnd w:id="224"/>
      <w:bookmarkEnd w:id="225"/>
      <w:bookmarkEnd w:id="232"/>
      <w:r w:rsidR="00BB459E" w:rsidRPr="00F54D9E">
        <w:t>říspěvkové organizace</w:t>
      </w:r>
      <w:bookmarkEnd w:id="226"/>
      <w:bookmarkEnd w:id="227"/>
      <w:bookmarkEnd w:id="233"/>
    </w:p>
    <w:p w14:paraId="2E877CD6" w14:textId="77777777" w:rsidR="00484930" w:rsidRDefault="00EA6595" w:rsidP="00EA6595">
      <w:pPr>
        <w:pStyle w:val="Styl1"/>
        <w:rPr>
          <w:bCs/>
          <w:iCs w:val="0"/>
          <w:highlight w:val="yellow"/>
        </w:rPr>
      </w:pPr>
      <w:bookmarkStart w:id="234" w:name="_Toc304375453"/>
      <w:bookmarkStart w:id="235" w:name="_Toc305406311"/>
      <w:bookmarkStart w:id="236" w:name="_Toc462314404"/>
      <w:bookmarkStart w:id="237" w:name="_Toc489274111"/>
      <w:r w:rsidRPr="00F54D9E">
        <w:t>Výdaje vedené v EDS/SMVS určené státním příspěvkovým organizacím jsou pro rozpočtový rok 202</w:t>
      </w:r>
      <w:r w:rsidR="00F54D9E" w:rsidRPr="00F54D9E">
        <w:t>5</w:t>
      </w:r>
      <w:r w:rsidRPr="00F54D9E">
        <w:t xml:space="preserve"> navrženy ve výši </w:t>
      </w:r>
      <w:r w:rsidR="00F54D9E" w:rsidRPr="00F54D9E">
        <w:t>10 205</w:t>
      </w:r>
      <w:r w:rsidRPr="00F54D9E">
        <w:t xml:space="preserve"> tis. Kč. Druhové členění výdajů vykazuje následující tabulka.</w:t>
      </w:r>
      <w:r w:rsidRPr="00D070B8">
        <w:rPr>
          <w:bCs/>
          <w:iCs w:val="0"/>
          <w:highlight w:val="yellow"/>
        </w:rPr>
        <w:t xml:space="preserve"> </w:t>
      </w:r>
    </w:p>
    <w:p w14:paraId="42B47D76" w14:textId="27CE405A" w:rsidR="00EA6595" w:rsidRPr="00D070B8" w:rsidRDefault="00EA6595" w:rsidP="00EA6595">
      <w:pPr>
        <w:pStyle w:val="Styl1"/>
        <w:rPr>
          <w:highlight w:val="yellow"/>
        </w:rPr>
      </w:pPr>
      <w:r w:rsidRPr="00D070B8">
        <w:rPr>
          <w:bCs/>
          <w:iCs w:val="0"/>
          <w:highlight w:val="yellow"/>
        </w:rPr>
        <w:t xml:space="preserve">                                     </w:t>
      </w:r>
    </w:p>
    <w:p w14:paraId="44945207" w14:textId="206FA16D" w:rsidR="00812245" w:rsidRPr="00F54D9E" w:rsidRDefault="00812245" w:rsidP="00812245">
      <w:pPr>
        <w:pStyle w:val="Titulek"/>
        <w:rPr>
          <w:noProof/>
        </w:rPr>
      </w:pPr>
      <w:r w:rsidRPr="00F54D9E">
        <w:lastRenderedPageBreak/>
        <w:t xml:space="preserve">Tabulka č. </w:t>
      </w:r>
      <w:r w:rsidRPr="00F54D9E">
        <w:rPr>
          <w:noProof/>
        </w:rPr>
        <w:fldChar w:fldCharType="begin"/>
      </w:r>
      <w:r w:rsidRPr="00F54D9E">
        <w:rPr>
          <w:noProof/>
        </w:rPr>
        <w:instrText xml:space="preserve"> SEQ Tabulka \* ARABIC </w:instrText>
      </w:r>
      <w:r w:rsidRPr="00F54D9E">
        <w:rPr>
          <w:noProof/>
        </w:rPr>
        <w:fldChar w:fldCharType="separate"/>
      </w:r>
      <w:r w:rsidR="005B3B1D">
        <w:rPr>
          <w:noProof/>
        </w:rPr>
        <w:t>43</w:t>
      </w:r>
      <w:r w:rsidRPr="00F54D9E">
        <w:rPr>
          <w:noProof/>
        </w:rPr>
        <w:fldChar w:fldCharType="end"/>
      </w:r>
      <w:r w:rsidRPr="00F54D9E">
        <w:rPr>
          <w:noProof/>
        </w:rPr>
        <w:t xml:space="preserve"> Výdaje příspěvkových organizací vedených v EDS/SMVS (v tis. Kč)</w:t>
      </w:r>
    </w:p>
    <w:tbl>
      <w:tblPr>
        <w:tblStyle w:val="Svtltabulkasmkou1zvraznn5"/>
        <w:tblW w:w="5024"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46"/>
        <w:gridCol w:w="1353"/>
        <w:gridCol w:w="1419"/>
        <w:gridCol w:w="1419"/>
        <w:gridCol w:w="1057"/>
      </w:tblGrid>
      <w:tr w:rsidR="00812245" w:rsidRPr="00F54D9E" w14:paraId="6F27DE59" w14:textId="77777777" w:rsidTr="00D07D18">
        <w:tc>
          <w:tcPr>
            <w:tcW w:w="21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91BA97E" w14:textId="77777777"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Ukazatel</w:t>
            </w:r>
          </w:p>
        </w:tc>
        <w:tc>
          <w:tcPr>
            <w:tcW w:w="74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41FD2D" w14:textId="77777777"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Skutečnost</w:t>
            </w:r>
          </w:p>
          <w:p w14:paraId="4F9A55E1" w14:textId="6FCA4339"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202</w:t>
            </w:r>
            <w:r w:rsidR="00F54D9E" w:rsidRPr="00F54D9E">
              <w:rPr>
                <w:rFonts w:eastAsia="Times New Roman" w:cs="Times New Roman"/>
                <w:b/>
                <w:lang w:eastAsia="cs-CZ"/>
              </w:rPr>
              <w:t>3</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EDD6ADB" w14:textId="77777777"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Schválený rozpočet</w:t>
            </w:r>
          </w:p>
          <w:p w14:paraId="3F5956C2" w14:textId="3988479E"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202</w:t>
            </w:r>
            <w:r w:rsidR="00F54D9E" w:rsidRPr="00F54D9E">
              <w:rPr>
                <w:rFonts w:eastAsia="Times New Roman" w:cs="Times New Roman"/>
                <w:b/>
                <w:lang w:eastAsia="cs-CZ"/>
              </w:rPr>
              <w:t>4</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1622C69" w14:textId="77777777"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Návrh</w:t>
            </w:r>
          </w:p>
          <w:p w14:paraId="0E4EB37B" w14:textId="77777777"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rozpočtu</w:t>
            </w:r>
          </w:p>
          <w:p w14:paraId="7C482868" w14:textId="24BBA0BD"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202</w:t>
            </w:r>
            <w:r w:rsidR="00F54D9E" w:rsidRPr="00F54D9E">
              <w:rPr>
                <w:rFonts w:eastAsia="Times New Roman" w:cs="Times New Roman"/>
                <w:b/>
                <w:lang w:eastAsia="cs-CZ"/>
              </w:rPr>
              <w:t>5</w:t>
            </w:r>
          </w:p>
        </w:tc>
        <w:tc>
          <w:tcPr>
            <w:tcW w:w="5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7431CDB" w14:textId="77777777"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Index</w:t>
            </w:r>
          </w:p>
          <w:p w14:paraId="64B70028" w14:textId="7A270F21"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202</w:t>
            </w:r>
            <w:r w:rsidR="00F54D9E" w:rsidRPr="00F54D9E">
              <w:rPr>
                <w:rFonts w:eastAsia="Times New Roman" w:cs="Times New Roman"/>
                <w:b/>
                <w:lang w:eastAsia="cs-CZ"/>
              </w:rPr>
              <w:t>5</w:t>
            </w:r>
            <w:r w:rsidRPr="00F54D9E">
              <w:rPr>
                <w:rFonts w:eastAsia="Times New Roman" w:cs="Times New Roman"/>
                <w:b/>
                <w:lang w:eastAsia="cs-CZ"/>
              </w:rPr>
              <w:t>/</w:t>
            </w:r>
            <w:r w:rsidRPr="00F54D9E">
              <w:rPr>
                <w:rFonts w:eastAsia="Times New Roman" w:cs="Times New Roman"/>
                <w:b/>
                <w:lang w:eastAsia="cs-CZ"/>
              </w:rPr>
              <w:br/>
              <w:t>202</w:t>
            </w:r>
            <w:r w:rsidR="00F54D9E" w:rsidRPr="00F54D9E">
              <w:rPr>
                <w:rFonts w:eastAsia="Times New Roman" w:cs="Times New Roman"/>
                <w:b/>
                <w:lang w:eastAsia="cs-CZ"/>
              </w:rPr>
              <w:t>4</w:t>
            </w:r>
          </w:p>
          <w:p w14:paraId="5B8DEF72" w14:textId="77777777" w:rsidR="00812245" w:rsidRPr="00F54D9E" w:rsidRDefault="00812245" w:rsidP="00D07D18">
            <w:pPr>
              <w:jc w:val="center"/>
              <w:rPr>
                <w:rFonts w:eastAsia="Times New Roman" w:cs="Times New Roman"/>
                <w:b/>
                <w:lang w:eastAsia="cs-CZ"/>
              </w:rPr>
            </w:pPr>
            <w:r w:rsidRPr="00F54D9E">
              <w:rPr>
                <w:rFonts w:eastAsia="Times New Roman" w:cs="Times New Roman"/>
                <w:b/>
                <w:lang w:eastAsia="cs-CZ"/>
              </w:rPr>
              <w:t>(v %)</w:t>
            </w:r>
          </w:p>
        </w:tc>
      </w:tr>
      <w:tr w:rsidR="00812245" w:rsidRPr="00F54D9E" w14:paraId="5E5521E2" w14:textId="77777777" w:rsidTr="00D07D18">
        <w:tc>
          <w:tcPr>
            <w:tcW w:w="2115" w:type="pct"/>
            <w:tcBorders>
              <w:top w:val="single" w:sz="4" w:space="0" w:color="7F7F7F" w:themeColor="text1" w:themeTint="80"/>
              <w:bottom w:val="single" w:sz="8" w:space="0" w:color="7F7F7F" w:themeColor="text1" w:themeTint="80"/>
            </w:tcBorders>
            <w:shd w:val="clear" w:color="auto" w:fill="auto"/>
          </w:tcPr>
          <w:p w14:paraId="6789F8C9" w14:textId="77777777" w:rsidR="00812245" w:rsidRPr="00F54D9E" w:rsidRDefault="00812245" w:rsidP="00D07D18">
            <w:pPr>
              <w:jc w:val="center"/>
              <w:rPr>
                <w:rFonts w:eastAsia="Times New Roman" w:cs="Times New Roman"/>
                <w:lang w:eastAsia="cs-CZ"/>
              </w:rPr>
            </w:pPr>
            <w:r w:rsidRPr="00F54D9E">
              <w:rPr>
                <w:rFonts w:eastAsia="Times New Roman" w:cs="Times New Roman"/>
                <w:lang w:eastAsia="cs-CZ"/>
              </w:rPr>
              <w:t>a</w:t>
            </w:r>
          </w:p>
        </w:tc>
        <w:tc>
          <w:tcPr>
            <w:tcW w:w="744" w:type="pct"/>
            <w:tcBorders>
              <w:top w:val="single" w:sz="4" w:space="0" w:color="7F7F7F" w:themeColor="text1" w:themeTint="80"/>
              <w:bottom w:val="single" w:sz="8" w:space="0" w:color="7F7F7F" w:themeColor="text1" w:themeTint="80"/>
            </w:tcBorders>
            <w:shd w:val="clear" w:color="auto" w:fill="auto"/>
          </w:tcPr>
          <w:p w14:paraId="331A2BFC" w14:textId="77777777" w:rsidR="00812245" w:rsidRPr="00F54D9E" w:rsidRDefault="00812245" w:rsidP="00D07D18">
            <w:pPr>
              <w:jc w:val="center"/>
              <w:rPr>
                <w:rFonts w:eastAsia="Times New Roman" w:cs="Times New Roman"/>
                <w:lang w:eastAsia="cs-CZ"/>
              </w:rPr>
            </w:pPr>
            <w:r w:rsidRPr="00F54D9E">
              <w:rPr>
                <w:rFonts w:eastAsia="Times New Roman" w:cs="Times New Roman"/>
                <w:lang w:eastAsia="cs-CZ"/>
              </w:rPr>
              <w:t>1</w:t>
            </w:r>
          </w:p>
        </w:tc>
        <w:tc>
          <w:tcPr>
            <w:tcW w:w="780" w:type="pct"/>
            <w:tcBorders>
              <w:top w:val="single" w:sz="4" w:space="0" w:color="7F7F7F" w:themeColor="text1" w:themeTint="80"/>
              <w:bottom w:val="single" w:sz="8" w:space="0" w:color="7F7F7F" w:themeColor="text1" w:themeTint="80"/>
            </w:tcBorders>
            <w:shd w:val="clear" w:color="auto" w:fill="auto"/>
          </w:tcPr>
          <w:p w14:paraId="0E162AC8" w14:textId="77777777" w:rsidR="00812245" w:rsidRPr="00F54D9E" w:rsidRDefault="00812245" w:rsidP="00D07D18">
            <w:pPr>
              <w:jc w:val="center"/>
              <w:rPr>
                <w:rFonts w:eastAsia="Times New Roman" w:cs="Times New Roman"/>
                <w:lang w:eastAsia="cs-CZ"/>
              </w:rPr>
            </w:pPr>
            <w:r w:rsidRPr="00F54D9E">
              <w:rPr>
                <w:rFonts w:eastAsia="Times New Roman" w:cs="Times New Roman"/>
                <w:lang w:eastAsia="cs-CZ"/>
              </w:rPr>
              <w:t>2</w:t>
            </w:r>
          </w:p>
        </w:tc>
        <w:tc>
          <w:tcPr>
            <w:tcW w:w="780" w:type="pct"/>
            <w:tcBorders>
              <w:top w:val="single" w:sz="4" w:space="0" w:color="7F7F7F" w:themeColor="text1" w:themeTint="80"/>
              <w:bottom w:val="single" w:sz="8" w:space="0" w:color="7F7F7F" w:themeColor="text1" w:themeTint="80"/>
            </w:tcBorders>
            <w:shd w:val="clear" w:color="auto" w:fill="auto"/>
          </w:tcPr>
          <w:p w14:paraId="0373F208" w14:textId="77777777" w:rsidR="00812245" w:rsidRPr="00F54D9E" w:rsidRDefault="00812245" w:rsidP="00D07D18">
            <w:pPr>
              <w:jc w:val="center"/>
              <w:rPr>
                <w:rFonts w:eastAsia="Times New Roman" w:cs="Times New Roman"/>
                <w:lang w:eastAsia="cs-CZ"/>
              </w:rPr>
            </w:pPr>
            <w:r w:rsidRPr="00F54D9E">
              <w:rPr>
                <w:rFonts w:eastAsia="Times New Roman" w:cs="Times New Roman"/>
                <w:lang w:eastAsia="cs-CZ"/>
              </w:rPr>
              <w:t>3</w:t>
            </w:r>
          </w:p>
        </w:tc>
        <w:tc>
          <w:tcPr>
            <w:tcW w:w="581" w:type="pct"/>
            <w:tcBorders>
              <w:top w:val="single" w:sz="4" w:space="0" w:color="7F7F7F" w:themeColor="text1" w:themeTint="80"/>
              <w:bottom w:val="single" w:sz="8" w:space="0" w:color="7F7F7F" w:themeColor="text1" w:themeTint="80"/>
            </w:tcBorders>
            <w:shd w:val="clear" w:color="auto" w:fill="auto"/>
          </w:tcPr>
          <w:p w14:paraId="1218D94D" w14:textId="77777777" w:rsidR="00812245" w:rsidRPr="00F54D9E" w:rsidRDefault="00812245" w:rsidP="00D07D18">
            <w:pPr>
              <w:jc w:val="center"/>
              <w:rPr>
                <w:rFonts w:eastAsia="Times New Roman" w:cs="Times New Roman"/>
                <w:lang w:eastAsia="cs-CZ"/>
              </w:rPr>
            </w:pPr>
            <w:r w:rsidRPr="00F54D9E">
              <w:rPr>
                <w:rFonts w:eastAsia="Times New Roman" w:cs="Times New Roman"/>
                <w:lang w:eastAsia="cs-CZ"/>
              </w:rPr>
              <w:t>4</w:t>
            </w:r>
          </w:p>
        </w:tc>
      </w:tr>
      <w:tr w:rsidR="00F54D9E" w:rsidRPr="00F54D9E" w14:paraId="72484B9E" w14:textId="77777777" w:rsidTr="00D07D18">
        <w:tc>
          <w:tcPr>
            <w:tcW w:w="2115" w:type="pct"/>
            <w:tcBorders>
              <w:top w:val="single" w:sz="8" w:space="0" w:color="7F7F7F" w:themeColor="text1" w:themeTint="80"/>
              <w:bottom w:val="single" w:sz="8" w:space="0" w:color="7F7F7F" w:themeColor="text1" w:themeTint="80"/>
            </w:tcBorders>
            <w:shd w:val="clear" w:color="auto" w:fill="auto"/>
          </w:tcPr>
          <w:p w14:paraId="0301BCD0" w14:textId="4B427DC5" w:rsidR="00F54D9E" w:rsidRPr="00F54D9E" w:rsidRDefault="00F54D9E" w:rsidP="00F54D9E">
            <w:pPr>
              <w:rPr>
                <w:rFonts w:eastAsia="Times New Roman" w:cs="Times New Roman"/>
                <w:b/>
                <w:lang w:eastAsia="cs-CZ"/>
              </w:rPr>
            </w:pPr>
            <w:r w:rsidRPr="00F54D9E">
              <w:rPr>
                <w:rFonts w:eastAsia="Times New Roman" w:cs="Times New Roman"/>
                <w:b/>
                <w:lang w:eastAsia="cs-CZ"/>
              </w:rPr>
              <w:t>Zřízené příspěvkové organizace               (</w:t>
            </w:r>
            <w:r w:rsidRPr="00F54D9E">
              <w:rPr>
                <w:rFonts w:eastAsia="Times New Roman" w:cs="Times New Roman"/>
                <w:lang w:eastAsia="cs-CZ"/>
              </w:rPr>
              <w:t>v tom):</w:t>
            </w:r>
          </w:p>
        </w:tc>
        <w:tc>
          <w:tcPr>
            <w:tcW w:w="744" w:type="pct"/>
            <w:tcBorders>
              <w:top w:val="single" w:sz="8" w:space="0" w:color="7F7F7F" w:themeColor="text1" w:themeTint="80"/>
              <w:bottom w:val="single" w:sz="8" w:space="0" w:color="7F7F7F" w:themeColor="text1" w:themeTint="80"/>
            </w:tcBorders>
            <w:shd w:val="clear" w:color="auto" w:fill="auto"/>
          </w:tcPr>
          <w:p w14:paraId="74B525A4" w14:textId="3AB4E6D3" w:rsidR="00F54D9E" w:rsidRPr="00F54D9E" w:rsidRDefault="00F54D9E" w:rsidP="00F54D9E">
            <w:pPr>
              <w:jc w:val="right"/>
              <w:rPr>
                <w:rFonts w:eastAsia="Times New Roman" w:cs="Times New Roman"/>
                <w:b/>
                <w:lang w:eastAsia="cs-CZ"/>
              </w:rPr>
            </w:pPr>
            <w:r w:rsidRPr="00F54D9E">
              <w:rPr>
                <w:rFonts w:eastAsia="Times New Roman" w:cs="Times New Roman"/>
                <w:b/>
                <w:lang w:eastAsia="cs-CZ"/>
              </w:rPr>
              <w:t>434 042</w:t>
            </w:r>
          </w:p>
        </w:tc>
        <w:tc>
          <w:tcPr>
            <w:tcW w:w="780" w:type="pct"/>
            <w:tcBorders>
              <w:top w:val="single" w:sz="8" w:space="0" w:color="7F7F7F" w:themeColor="text1" w:themeTint="80"/>
              <w:bottom w:val="single" w:sz="8" w:space="0" w:color="7F7F7F" w:themeColor="text1" w:themeTint="80"/>
            </w:tcBorders>
            <w:shd w:val="clear" w:color="auto" w:fill="auto"/>
          </w:tcPr>
          <w:p w14:paraId="6471F99E" w14:textId="52BA4F48" w:rsidR="00F54D9E" w:rsidRPr="00F54D9E" w:rsidRDefault="00F54D9E" w:rsidP="00F54D9E">
            <w:pPr>
              <w:jc w:val="right"/>
              <w:rPr>
                <w:rFonts w:eastAsia="Times New Roman" w:cs="Times New Roman"/>
                <w:b/>
                <w:lang w:eastAsia="cs-CZ"/>
              </w:rPr>
            </w:pPr>
            <w:r w:rsidRPr="00F54D9E">
              <w:rPr>
                <w:rFonts w:eastAsia="Times New Roman" w:cs="Times New Roman"/>
                <w:b/>
                <w:lang w:eastAsia="cs-CZ"/>
              </w:rPr>
              <w:t>15 609</w:t>
            </w:r>
          </w:p>
        </w:tc>
        <w:tc>
          <w:tcPr>
            <w:tcW w:w="780" w:type="pct"/>
            <w:tcBorders>
              <w:top w:val="single" w:sz="8" w:space="0" w:color="7F7F7F" w:themeColor="text1" w:themeTint="80"/>
              <w:bottom w:val="single" w:sz="8" w:space="0" w:color="7F7F7F" w:themeColor="text1" w:themeTint="80"/>
            </w:tcBorders>
            <w:shd w:val="clear" w:color="auto" w:fill="auto"/>
          </w:tcPr>
          <w:p w14:paraId="038208AE" w14:textId="695C465D" w:rsidR="00F54D9E" w:rsidRPr="00F54D9E" w:rsidRDefault="00F54D9E" w:rsidP="00F54D9E">
            <w:pPr>
              <w:jc w:val="right"/>
              <w:rPr>
                <w:rFonts w:eastAsia="Times New Roman" w:cs="Times New Roman"/>
                <w:b/>
                <w:lang w:eastAsia="cs-CZ"/>
              </w:rPr>
            </w:pPr>
            <w:r w:rsidRPr="00F54D9E">
              <w:rPr>
                <w:rFonts w:eastAsia="Times New Roman" w:cs="Times New Roman"/>
                <w:b/>
                <w:lang w:eastAsia="cs-CZ"/>
              </w:rPr>
              <w:t>10 205</w:t>
            </w:r>
          </w:p>
        </w:tc>
        <w:tc>
          <w:tcPr>
            <w:tcW w:w="581" w:type="pct"/>
            <w:tcBorders>
              <w:top w:val="single" w:sz="8" w:space="0" w:color="7F7F7F" w:themeColor="text1" w:themeTint="80"/>
              <w:bottom w:val="single" w:sz="8" w:space="0" w:color="7F7F7F" w:themeColor="text1" w:themeTint="80"/>
            </w:tcBorders>
            <w:shd w:val="clear" w:color="auto" w:fill="auto"/>
          </w:tcPr>
          <w:p w14:paraId="2E93AC5E" w14:textId="037488AB" w:rsidR="00F54D9E" w:rsidRPr="00F54D9E" w:rsidRDefault="00F54D9E" w:rsidP="00F54D9E">
            <w:pPr>
              <w:jc w:val="right"/>
              <w:rPr>
                <w:rFonts w:eastAsia="Times New Roman" w:cs="Times New Roman"/>
                <w:b/>
                <w:lang w:eastAsia="cs-CZ"/>
              </w:rPr>
            </w:pPr>
            <w:r w:rsidRPr="00F54D9E">
              <w:rPr>
                <w:rFonts w:eastAsia="Times New Roman" w:cs="Times New Roman"/>
                <w:b/>
                <w:lang w:eastAsia="cs-CZ"/>
              </w:rPr>
              <w:t>65,38</w:t>
            </w:r>
          </w:p>
        </w:tc>
      </w:tr>
      <w:tr w:rsidR="00F54D9E" w:rsidRPr="00F54D9E" w14:paraId="19E143B2" w14:textId="77777777" w:rsidTr="00D07D18">
        <w:tc>
          <w:tcPr>
            <w:tcW w:w="2115" w:type="pct"/>
            <w:tcBorders>
              <w:top w:val="single" w:sz="8" w:space="0" w:color="7F7F7F" w:themeColor="text1" w:themeTint="80"/>
              <w:bottom w:val="nil"/>
            </w:tcBorders>
            <w:shd w:val="clear" w:color="auto" w:fill="auto"/>
          </w:tcPr>
          <w:p w14:paraId="5A89D273" w14:textId="77777777" w:rsidR="00F54D9E" w:rsidRPr="00F54D9E" w:rsidRDefault="00F54D9E" w:rsidP="00F54D9E">
            <w:pPr>
              <w:rPr>
                <w:rFonts w:eastAsia="Times New Roman" w:cs="Times New Roman"/>
                <w:lang w:eastAsia="cs-CZ"/>
              </w:rPr>
            </w:pPr>
            <w:r w:rsidRPr="00F54D9E">
              <w:rPr>
                <w:rFonts w:eastAsia="Times New Roman" w:cs="Times New Roman"/>
                <w:lang w:eastAsia="cs-CZ"/>
              </w:rPr>
              <w:t>běžné výdaje v tom:</w:t>
            </w:r>
          </w:p>
        </w:tc>
        <w:tc>
          <w:tcPr>
            <w:tcW w:w="744" w:type="pct"/>
            <w:tcBorders>
              <w:top w:val="single" w:sz="8" w:space="0" w:color="7F7F7F" w:themeColor="text1" w:themeTint="80"/>
              <w:bottom w:val="nil"/>
            </w:tcBorders>
            <w:shd w:val="clear" w:color="auto" w:fill="auto"/>
          </w:tcPr>
          <w:p w14:paraId="745B6EE6" w14:textId="6906293C" w:rsidR="00F54D9E" w:rsidRPr="00F54D9E" w:rsidRDefault="00F54D9E" w:rsidP="00F54D9E">
            <w:pPr>
              <w:jc w:val="right"/>
              <w:rPr>
                <w:rFonts w:eastAsia="Times New Roman" w:cs="Times New Roman"/>
                <w:lang w:eastAsia="cs-CZ"/>
              </w:rPr>
            </w:pPr>
            <w:r w:rsidRPr="00F54D9E">
              <w:rPr>
                <w:rFonts w:eastAsia="Times New Roman" w:cs="Times New Roman"/>
                <w:lang w:eastAsia="cs-CZ"/>
              </w:rPr>
              <w:t>505</w:t>
            </w:r>
          </w:p>
        </w:tc>
        <w:tc>
          <w:tcPr>
            <w:tcW w:w="780" w:type="pct"/>
            <w:tcBorders>
              <w:top w:val="single" w:sz="8" w:space="0" w:color="7F7F7F" w:themeColor="text1" w:themeTint="80"/>
              <w:bottom w:val="nil"/>
            </w:tcBorders>
            <w:shd w:val="clear" w:color="auto" w:fill="auto"/>
          </w:tcPr>
          <w:p w14:paraId="72BA67AF" w14:textId="4C4FA5E6" w:rsidR="00F54D9E" w:rsidRPr="00F54D9E" w:rsidRDefault="00F54D9E" w:rsidP="00F54D9E">
            <w:pPr>
              <w:jc w:val="right"/>
              <w:rPr>
                <w:rFonts w:eastAsia="Times New Roman" w:cs="Times New Roman"/>
                <w:lang w:eastAsia="cs-CZ"/>
              </w:rPr>
            </w:pPr>
            <w:r w:rsidRPr="00F54D9E">
              <w:rPr>
                <w:rFonts w:eastAsia="Times New Roman" w:cs="Times New Roman"/>
                <w:iCs/>
                <w:lang w:eastAsia="cs-CZ"/>
              </w:rPr>
              <w:t>0</w:t>
            </w:r>
          </w:p>
        </w:tc>
        <w:tc>
          <w:tcPr>
            <w:tcW w:w="780" w:type="pct"/>
            <w:tcBorders>
              <w:top w:val="single" w:sz="8" w:space="0" w:color="7F7F7F" w:themeColor="text1" w:themeTint="80"/>
              <w:bottom w:val="nil"/>
            </w:tcBorders>
            <w:shd w:val="clear" w:color="auto" w:fill="auto"/>
          </w:tcPr>
          <w:p w14:paraId="7428A7C5" w14:textId="5532DCC6" w:rsidR="00F54D9E" w:rsidRPr="00F54D9E" w:rsidRDefault="00F54D9E" w:rsidP="00F54D9E">
            <w:pPr>
              <w:jc w:val="right"/>
              <w:rPr>
                <w:rFonts w:eastAsia="Times New Roman" w:cs="Times New Roman"/>
                <w:lang w:eastAsia="cs-CZ"/>
              </w:rPr>
            </w:pPr>
            <w:r w:rsidRPr="00F54D9E">
              <w:rPr>
                <w:rFonts w:eastAsia="Times New Roman" w:cs="Times New Roman"/>
                <w:iCs/>
                <w:lang w:eastAsia="cs-CZ"/>
              </w:rPr>
              <w:t>0</w:t>
            </w:r>
          </w:p>
        </w:tc>
        <w:tc>
          <w:tcPr>
            <w:tcW w:w="581" w:type="pct"/>
            <w:tcBorders>
              <w:top w:val="single" w:sz="8" w:space="0" w:color="7F7F7F" w:themeColor="text1" w:themeTint="80"/>
              <w:bottom w:val="nil"/>
            </w:tcBorders>
            <w:shd w:val="clear" w:color="auto" w:fill="auto"/>
          </w:tcPr>
          <w:p w14:paraId="56B932DE" w14:textId="60E30B26" w:rsidR="00F54D9E" w:rsidRPr="00F54D9E" w:rsidRDefault="00F54D9E" w:rsidP="00F54D9E">
            <w:pPr>
              <w:jc w:val="right"/>
              <w:rPr>
                <w:rFonts w:eastAsia="Times New Roman" w:cs="Times New Roman"/>
                <w:lang w:eastAsia="cs-CZ"/>
              </w:rPr>
            </w:pPr>
            <w:r w:rsidRPr="00F54D9E">
              <w:rPr>
                <w:rFonts w:eastAsia="Times New Roman" w:cs="Times New Roman"/>
                <w:iCs/>
                <w:lang w:eastAsia="cs-CZ"/>
              </w:rPr>
              <w:t>x</w:t>
            </w:r>
          </w:p>
        </w:tc>
      </w:tr>
      <w:tr w:rsidR="00F54D9E" w:rsidRPr="00F54D9E" w14:paraId="2F0C5CAA" w14:textId="77777777" w:rsidTr="00D07D18">
        <w:tc>
          <w:tcPr>
            <w:tcW w:w="2115" w:type="pct"/>
            <w:tcBorders>
              <w:top w:val="nil"/>
              <w:bottom w:val="nil"/>
            </w:tcBorders>
            <w:shd w:val="clear" w:color="auto" w:fill="auto"/>
          </w:tcPr>
          <w:p w14:paraId="71EEBD5B" w14:textId="77777777" w:rsidR="00F54D9E" w:rsidRPr="00F54D9E" w:rsidRDefault="00F54D9E" w:rsidP="00F54D9E">
            <w:pPr>
              <w:rPr>
                <w:rFonts w:eastAsia="Times New Roman" w:cs="Times New Roman"/>
                <w:i/>
                <w:lang w:eastAsia="cs-CZ"/>
              </w:rPr>
            </w:pPr>
            <w:r w:rsidRPr="00F54D9E">
              <w:rPr>
                <w:rFonts w:eastAsia="Times New Roman" w:cs="Times New Roman"/>
                <w:i/>
                <w:lang w:eastAsia="cs-CZ"/>
              </w:rPr>
              <w:t xml:space="preserve">       prostředky SR </w:t>
            </w:r>
          </w:p>
        </w:tc>
        <w:tc>
          <w:tcPr>
            <w:tcW w:w="744" w:type="pct"/>
            <w:tcBorders>
              <w:top w:val="nil"/>
              <w:bottom w:val="nil"/>
            </w:tcBorders>
            <w:shd w:val="clear" w:color="auto" w:fill="auto"/>
          </w:tcPr>
          <w:p w14:paraId="6EE34703" w14:textId="18C123CA"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0</w:t>
            </w:r>
          </w:p>
        </w:tc>
        <w:tc>
          <w:tcPr>
            <w:tcW w:w="780" w:type="pct"/>
            <w:tcBorders>
              <w:top w:val="nil"/>
              <w:bottom w:val="nil"/>
            </w:tcBorders>
            <w:shd w:val="clear" w:color="auto" w:fill="auto"/>
          </w:tcPr>
          <w:p w14:paraId="20284124" w14:textId="7D12B3BB"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0</w:t>
            </w:r>
          </w:p>
        </w:tc>
        <w:tc>
          <w:tcPr>
            <w:tcW w:w="780" w:type="pct"/>
            <w:tcBorders>
              <w:top w:val="nil"/>
              <w:bottom w:val="nil"/>
            </w:tcBorders>
            <w:shd w:val="clear" w:color="auto" w:fill="auto"/>
          </w:tcPr>
          <w:p w14:paraId="4357D014" w14:textId="1EE96715"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0</w:t>
            </w:r>
          </w:p>
        </w:tc>
        <w:tc>
          <w:tcPr>
            <w:tcW w:w="581" w:type="pct"/>
            <w:tcBorders>
              <w:top w:val="nil"/>
              <w:bottom w:val="nil"/>
            </w:tcBorders>
            <w:shd w:val="clear" w:color="auto" w:fill="auto"/>
          </w:tcPr>
          <w:p w14:paraId="1AD66C7B" w14:textId="3B1E9CEB"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x</w:t>
            </w:r>
          </w:p>
        </w:tc>
      </w:tr>
      <w:tr w:rsidR="00F54D9E" w:rsidRPr="00F54D9E" w14:paraId="4A378729" w14:textId="77777777" w:rsidTr="00D07D18">
        <w:tc>
          <w:tcPr>
            <w:tcW w:w="2115" w:type="pct"/>
            <w:tcBorders>
              <w:top w:val="nil"/>
              <w:bottom w:val="single" w:sz="4" w:space="0" w:color="7F7F7F" w:themeColor="text1" w:themeTint="80"/>
            </w:tcBorders>
            <w:shd w:val="clear" w:color="auto" w:fill="auto"/>
          </w:tcPr>
          <w:p w14:paraId="084B9F28" w14:textId="77777777" w:rsidR="00F54D9E" w:rsidRPr="00F54D9E" w:rsidRDefault="00F54D9E" w:rsidP="00F54D9E">
            <w:pPr>
              <w:rPr>
                <w:rFonts w:eastAsia="Times New Roman" w:cs="Times New Roman"/>
                <w:i/>
                <w:lang w:eastAsia="cs-CZ"/>
              </w:rPr>
            </w:pPr>
            <w:r w:rsidRPr="00F54D9E">
              <w:rPr>
                <w:rFonts w:eastAsia="Times New Roman" w:cs="Times New Roman"/>
                <w:i/>
                <w:lang w:eastAsia="cs-CZ"/>
              </w:rPr>
              <w:t xml:space="preserve">       prostředky EU</w:t>
            </w:r>
          </w:p>
        </w:tc>
        <w:tc>
          <w:tcPr>
            <w:tcW w:w="744" w:type="pct"/>
            <w:tcBorders>
              <w:top w:val="nil"/>
              <w:bottom w:val="single" w:sz="2" w:space="0" w:color="7F7F7F" w:themeColor="text1" w:themeTint="80"/>
            </w:tcBorders>
            <w:shd w:val="clear" w:color="auto" w:fill="auto"/>
          </w:tcPr>
          <w:p w14:paraId="58257A40" w14:textId="05C1583E"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505</w:t>
            </w:r>
          </w:p>
        </w:tc>
        <w:tc>
          <w:tcPr>
            <w:tcW w:w="780" w:type="pct"/>
            <w:tcBorders>
              <w:top w:val="nil"/>
              <w:bottom w:val="single" w:sz="2" w:space="0" w:color="7F7F7F" w:themeColor="text1" w:themeTint="80"/>
            </w:tcBorders>
            <w:shd w:val="clear" w:color="auto" w:fill="auto"/>
          </w:tcPr>
          <w:p w14:paraId="30CFD659" w14:textId="201CB454"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 xml:space="preserve">0 </w:t>
            </w:r>
          </w:p>
        </w:tc>
        <w:tc>
          <w:tcPr>
            <w:tcW w:w="780" w:type="pct"/>
            <w:tcBorders>
              <w:top w:val="nil"/>
              <w:bottom w:val="single" w:sz="2" w:space="0" w:color="7F7F7F" w:themeColor="text1" w:themeTint="80"/>
            </w:tcBorders>
            <w:shd w:val="clear" w:color="auto" w:fill="auto"/>
          </w:tcPr>
          <w:p w14:paraId="305ED9CB" w14:textId="6C90C24C"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0</w:t>
            </w:r>
          </w:p>
        </w:tc>
        <w:tc>
          <w:tcPr>
            <w:tcW w:w="581" w:type="pct"/>
            <w:tcBorders>
              <w:top w:val="nil"/>
              <w:bottom w:val="single" w:sz="2" w:space="0" w:color="7F7F7F" w:themeColor="text1" w:themeTint="80"/>
            </w:tcBorders>
            <w:shd w:val="clear" w:color="auto" w:fill="auto"/>
          </w:tcPr>
          <w:p w14:paraId="41D602D5" w14:textId="6C404A72"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x</w:t>
            </w:r>
          </w:p>
        </w:tc>
      </w:tr>
      <w:tr w:rsidR="00F54D9E" w:rsidRPr="00F54D9E" w14:paraId="314E64F5" w14:textId="77777777" w:rsidTr="00D07D18">
        <w:tc>
          <w:tcPr>
            <w:tcW w:w="2115" w:type="pct"/>
            <w:tcBorders>
              <w:top w:val="single" w:sz="4" w:space="0" w:color="7F7F7F" w:themeColor="text1" w:themeTint="80"/>
              <w:bottom w:val="nil"/>
            </w:tcBorders>
            <w:shd w:val="clear" w:color="auto" w:fill="auto"/>
          </w:tcPr>
          <w:p w14:paraId="4F490B4E" w14:textId="77777777" w:rsidR="00F54D9E" w:rsidRPr="00F54D9E" w:rsidRDefault="00F54D9E" w:rsidP="00F54D9E">
            <w:pPr>
              <w:spacing w:before="27"/>
              <w:rPr>
                <w:rFonts w:eastAsia="Times New Roman" w:cs="Times New Roman"/>
                <w:lang w:eastAsia="cs-CZ"/>
              </w:rPr>
            </w:pPr>
            <w:r w:rsidRPr="00F54D9E">
              <w:rPr>
                <w:rFonts w:eastAsia="Times New Roman" w:cs="Times New Roman"/>
                <w:lang w:eastAsia="cs-CZ"/>
              </w:rPr>
              <w:t>kapitálové výdaje v tom:</w:t>
            </w:r>
          </w:p>
        </w:tc>
        <w:tc>
          <w:tcPr>
            <w:tcW w:w="744" w:type="pct"/>
            <w:tcBorders>
              <w:top w:val="single" w:sz="2" w:space="0" w:color="7F7F7F" w:themeColor="text1" w:themeTint="80"/>
              <w:bottom w:val="nil"/>
            </w:tcBorders>
            <w:shd w:val="clear" w:color="auto" w:fill="auto"/>
          </w:tcPr>
          <w:p w14:paraId="4043A041" w14:textId="44B1506F" w:rsidR="00F54D9E" w:rsidRPr="00F54D9E" w:rsidRDefault="00F54D9E" w:rsidP="00F54D9E">
            <w:pPr>
              <w:jc w:val="right"/>
              <w:rPr>
                <w:rFonts w:eastAsia="Times New Roman" w:cs="Times New Roman"/>
                <w:lang w:eastAsia="cs-CZ"/>
              </w:rPr>
            </w:pPr>
            <w:r w:rsidRPr="00F54D9E">
              <w:rPr>
                <w:rFonts w:eastAsia="Times New Roman" w:cs="Times New Roman"/>
                <w:lang w:eastAsia="cs-CZ"/>
              </w:rPr>
              <w:t>433 537</w:t>
            </w:r>
          </w:p>
        </w:tc>
        <w:tc>
          <w:tcPr>
            <w:tcW w:w="780" w:type="pct"/>
            <w:tcBorders>
              <w:top w:val="single" w:sz="2" w:space="0" w:color="7F7F7F" w:themeColor="text1" w:themeTint="80"/>
              <w:bottom w:val="nil"/>
            </w:tcBorders>
            <w:shd w:val="clear" w:color="auto" w:fill="auto"/>
          </w:tcPr>
          <w:p w14:paraId="7D67AD2F" w14:textId="59EF5628" w:rsidR="00F54D9E" w:rsidRPr="00F54D9E" w:rsidRDefault="00F54D9E" w:rsidP="00F54D9E">
            <w:pPr>
              <w:jc w:val="right"/>
              <w:rPr>
                <w:rFonts w:eastAsia="Times New Roman" w:cs="Times New Roman"/>
                <w:lang w:eastAsia="cs-CZ"/>
              </w:rPr>
            </w:pPr>
            <w:r w:rsidRPr="00F54D9E">
              <w:rPr>
                <w:rFonts w:eastAsia="Times New Roman" w:cs="Times New Roman"/>
                <w:lang w:eastAsia="cs-CZ"/>
              </w:rPr>
              <w:t>15 609</w:t>
            </w:r>
          </w:p>
        </w:tc>
        <w:tc>
          <w:tcPr>
            <w:tcW w:w="780" w:type="pct"/>
            <w:tcBorders>
              <w:top w:val="single" w:sz="2" w:space="0" w:color="7F7F7F" w:themeColor="text1" w:themeTint="80"/>
              <w:bottom w:val="nil"/>
            </w:tcBorders>
            <w:shd w:val="clear" w:color="auto" w:fill="auto"/>
          </w:tcPr>
          <w:p w14:paraId="0D6BE089" w14:textId="37F2FA99" w:rsidR="00F54D9E" w:rsidRPr="00F54D9E" w:rsidRDefault="00F54D9E" w:rsidP="00F54D9E">
            <w:pPr>
              <w:jc w:val="right"/>
              <w:rPr>
                <w:rFonts w:eastAsia="Times New Roman" w:cs="Times New Roman"/>
                <w:lang w:eastAsia="cs-CZ"/>
              </w:rPr>
            </w:pPr>
            <w:r w:rsidRPr="00F54D9E">
              <w:rPr>
                <w:rFonts w:eastAsia="Times New Roman" w:cs="Times New Roman"/>
                <w:lang w:eastAsia="cs-CZ"/>
              </w:rPr>
              <w:t>10 205</w:t>
            </w:r>
          </w:p>
        </w:tc>
        <w:tc>
          <w:tcPr>
            <w:tcW w:w="581" w:type="pct"/>
            <w:tcBorders>
              <w:top w:val="single" w:sz="2" w:space="0" w:color="7F7F7F" w:themeColor="text1" w:themeTint="80"/>
              <w:bottom w:val="nil"/>
            </w:tcBorders>
            <w:shd w:val="clear" w:color="auto" w:fill="auto"/>
          </w:tcPr>
          <w:p w14:paraId="7E919001" w14:textId="196C7F09" w:rsidR="00F54D9E" w:rsidRPr="00F54D9E" w:rsidRDefault="00F54D9E" w:rsidP="00F54D9E">
            <w:pPr>
              <w:jc w:val="right"/>
              <w:rPr>
                <w:rFonts w:eastAsia="Times New Roman" w:cs="Times New Roman"/>
                <w:lang w:eastAsia="cs-CZ"/>
              </w:rPr>
            </w:pPr>
            <w:r w:rsidRPr="00F54D9E">
              <w:rPr>
                <w:rFonts w:eastAsia="Times New Roman" w:cs="Times New Roman"/>
                <w:lang w:eastAsia="cs-CZ"/>
              </w:rPr>
              <w:t>65,38</w:t>
            </w:r>
          </w:p>
        </w:tc>
      </w:tr>
      <w:tr w:rsidR="00F54D9E" w:rsidRPr="00F54D9E" w14:paraId="661B081B" w14:textId="77777777" w:rsidTr="00D07D18">
        <w:tc>
          <w:tcPr>
            <w:tcW w:w="2115" w:type="pct"/>
            <w:tcBorders>
              <w:top w:val="nil"/>
              <w:bottom w:val="nil"/>
            </w:tcBorders>
            <w:shd w:val="clear" w:color="auto" w:fill="auto"/>
          </w:tcPr>
          <w:p w14:paraId="2783E8BE" w14:textId="77777777" w:rsidR="00F54D9E" w:rsidRPr="00F54D9E" w:rsidRDefault="00F54D9E" w:rsidP="00F54D9E">
            <w:pPr>
              <w:rPr>
                <w:rFonts w:eastAsia="Times New Roman" w:cs="Times New Roman"/>
                <w:i/>
                <w:lang w:eastAsia="cs-CZ"/>
              </w:rPr>
            </w:pPr>
            <w:r w:rsidRPr="00F54D9E">
              <w:rPr>
                <w:rFonts w:eastAsia="Times New Roman" w:cs="Times New Roman"/>
                <w:i/>
                <w:lang w:eastAsia="cs-CZ"/>
              </w:rPr>
              <w:t xml:space="preserve">      prostředky SR</w:t>
            </w:r>
          </w:p>
        </w:tc>
        <w:tc>
          <w:tcPr>
            <w:tcW w:w="744" w:type="pct"/>
            <w:tcBorders>
              <w:top w:val="nil"/>
              <w:bottom w:val="nil"/>
            </w:tcBorders>
            <w:shd w:val="clear" w:color="auto" w:fill="auto"/>
          </w:tcPr>
          <w:p w14:paraId="0A847D6B" w14:textId="56D8FA3B"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4 727</w:t>
            </w:r>
          </w:p>
        </w:tc>
        <w:tc>
          <w:tcPr>
            <w:tcW w:w="780" w:type="pct"/>
            <w:tcBorders>
              <w:top w:val="nil"/>
              <w:bottom w:val="nil"/>
            </w:tcBorders>
            <w:shd w:val="clear" w:color="auto" w:fill="auto"/>
          </w:tcPr>
          <w:p w14:paraId="17CC34C9" w14:textId="102FF17C"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15 609</w:t>
            </w:r>
          </w:p>
        </w:tc>
        <w:tc>
          <w:tcPr>
            <w:tcW w:w="780" w:type="pct"/>
            <w:tcBorders>
              <w:top w:val="nil"/>
              <w:bottom w:val="nil"/>
            </w:tcBorders>
            <w:shd w:val="clear" w:color="auto" w:fill="auto"/>
          </w:tcPr>
          <w:p w14:paraId="1011BE5E" w14:textId="0648EA21"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10 205</w:t>
            </w:r>
          </w:p>
        </w:tc>
        <w:tc>
          <w:tcPr>
            <w:tcW w:w="581" w:type="pct"/>
            <w:tcBorders>
              <w:top w:val="nil"/>
              <w:bottom w:val="nil"/>
            </w:tcBorders>
            <w:shd w:val="clear" w:color="auto" w:fill="auto"/>
          </w:tcPr>
          <w:p w14:paraId="13C0CA3B" w14:textId="675DE50A"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65,38</w:t>
            </w:r>
          </w:p>
        </w:tc>
      </w:tr>
      <w:tr w:rsidR="00F54D9E" w:rsidRPr="00F54D9E" w14:paraId="4C6AF311" w14:textId="77777777" w:rsidTr="00D07D18">
        <w:tc>
          <w:tcPr>
            <w:tcW w:w="2115" w:type="pct"/>
            <w:tcBorders>
              <w:top w:val="nil"/>
              <w:bottom w:val="single" w:sz="8" w:space="0" w:color="7F7F7F" w:themeColor="text1" w:themeTint="80"/>
            </w:tcBorders>
            <w:shd w:val="clear" w:color="auto" w:fill="auto"/>
          </w:tcPr>
          <w:p w14:paraId="3612E95F" w14:textId="77777777" w:rsidR="00F54D9E" w:rsidRPr="00F54D9E" w:rsidRDefault="00F54D9E" w:rsidP="00F54D9E">
            <w:pPr>
              <w:rPr>
                <w:rFonts w:eastAsia="Times New Roman" w:cs="Times New Roman"/>
                <w:i/>
                <w:lang w:eastAsia="cs-CZ"/>
              </w:rPr>
            </w:pPr>
            <w:r w:rsidRPr="00F54D9E">
              <w:rPr>
                <w:rFonts w:eastAsia="Times New Roman" w:cs="Times New Roman"/>
                <w:i/>
                <w:lang w:eastAsia="cs-CZ"/>
              </w:rPr>
              <w:t xml:space="preserve">      prostředky EU</w:t>
            </w:r>
          </w:p>
        </w:tc>
        <w:tc>
          <w:tcPr>
            <w:tcW w:w="744" w:type="pct"/>
            <w:tcBorders>
              <w:top w:val="nil"/>
              <w:bottom w:val="single" w:sz="8" w:space="0" w:color="7F7F7F" w:themeColor="text1" w:themeTint="80"/>
            </w:tcBorders>
            <w:shd w:val="clear" w:color="auto" w:fill="auto"/>
          </w:tcPr>
          <w:p w14:paraId="0E8FBB21" w14:textId="6B6E1AEA"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428 810</w:t>
            </w:r>
          </w:p>
        </w:tc>
        <w:tc>
          <w:tcPr>
            <w:tcW w:w="780" w:type="pct"/>
            <w:tcBorders>
              <w:top w:val="nil"/>
              <w:bottom w:val="single" w:sz="8" w:space="0" w:color="7F7F7F" w:themeColor="text1" w:themeTint="80"/>
            </w:tcBorders>
            <w:shd w:val="clear" w:color="auto" w:fill="auto"/>
          </w:tcPr>
          <w:p w14:paraId="3B0A9DC1" w14:textId="2237B419"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0</w:t>
            </w:r>
          </w:p>
        </w:tc>
        <w:tc>
          <w:tcPr>
            <w:tcW w:w="780" w:type="pct"/>
            <w:tcBorders>
              <w:top w:val="nil"/>
              <w:bottom w:val="single" w:sz="8" w:space="0" w:color="7F7F7F" w:themeColor="text1" w:themeTint="80"/>
            </w:tcBorders>
            <w:shd w:val="clear" w:color="auto" w:fill="auto"/>
          </w:tcPr>
          <w:p w14:paraId="2152DADE" w14:textId="2B76F450"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0</w:t>
            </w:r>
          </w:p>
        </w:tc>
        <w:tc>
          <w:tcPr>
            <w:tcW w:w="581" w:type="pct"/>
            <w:tcBorders>
              <w:top w:val="nil"/>
              <w:bottom w:val="single" w:sz="8" w:space="0" w:color="7F7F7F" w:themeColor="text1" w:themeTint="80"/>
            </w:tcBorders>
            <w:shd w:val="clear" w:color="auto" w:fill="auto"/>
          </w:tcPr>
          <w:p w14:paraId="02A343C1" w14:textId="1D38B2FF" w:rsidR="00F54D9E" w:rsidRPr="00F54D9E" w:rsidRDefault="00F54D9E" w:rsidP="00F54D9E">
            <w:pPr>
              <w:jc w:val="right"/>
              <w:rPr>
                <w:rFonts w:eastAsia="Times New Roman" w:cs="Times New Roman"/>
                <w:i/>
                <w:lang w:eastAsia="cs-CZ"/>
              </w:rPr>
            </w:pPr>
            <w:r w:rsidRPr="00F54D9E">
              <w:rPr>
                <w:rFonts w:eastAsia="Times New Roman" w:cs="Times New Roman"/>
                <w:i/>
                <w:lang w:eastAsia="cs-CZ"/>
              </w:rPr>
              <w:t>x</w:t>
            </w:r>
          </w:p>
        </w:tc>
      </w:tr>
    </w:tbl>
    <w:p w14:paraId="3DFBB69C" w14:textId="0982D356" w:rsidR="00812245" w:rsidRPr="00F54D9E" w:rsidRDefault="00812245" w:rsidP="00812245">
      <w:pPr>
        <w:pStyle w:val="Styl1"/>
      </w:pPr>
      <w:r w:rsidRPr="00F54D9E">
        <w:t>Státní příspěvkov</w:t>
      </w:r>
      <w:r w:rsidR="00F54D9E" w:rsidRPr="00F54D9E">
        <w:t>ou</w:t>
      </w:r>
      <w:r w:rsidRPr="00F54D9E">
        <w:t xml:space="preserve"> organizac</w:t>
      </w:r>
      <w:r w:rsidR="00F54D9E" w:rsidRPr="00F54D9E">
        <w:t>í</w:t>
      </w:r>
      <w:r w:rsidRPr="00F54D9E">
        <w:t xml:space="preserve"> v působnosti Ministerstva dopravy </w:t>
      </w:r>
      <w:r w:rsidR="00A00C70" w:rsidRPr="00F54D9E">
        <w:t>je pouze</w:t>
      </w:r>
      <w:r w:rsidRPr="00F54D9E">
        <w:t xml:space="preserve"> Centrum služeb pro silniční dopravu. </w:t>
      </w:r>
      <w:r w:rsidR="00A00C70" w:rsidRPr="00F54D9E">
        <w:t xml:space="preserve">ŘSD ČR </w:t>
      </w:r>
      <w:r w:rsidR="00F54D9E" w:rsidRPr="00F54D9E">
        <w:t>bylo k</w:t>
      </w:r>
      <w:r w:rsidR="00A00C70" w:rsidRPr="00F54D9E">
        <w:t xml:space="preserve"> 1. ledn</w:t>
      </w:r>
      <w:r w:rsidR="00F54D9E" w:rsidRPr="00F54D9E">
        <w:t>u</w:t>
      </w:r>
      <w:r w:rsidR="00A00C70" w:rsidRPr="00F54D9E">
        <w:t xml:space="preserve"> 2024</w:t>
      </w:r>
      <w:r w:rsidR="00F54D9E" w:rsidRPr="00F54D9E">
        <w:t xml:space="preserve"> transformováno na</w:t>
      </w:r>
      <w:r w:rsidR="00A00C70" w:rsidRPr="00F54D9E">
        <w:t xml:space="preserve"> státní podnik.</w:t>
      </w:r>
    </w:p>
    <w:p w14:paraId="1FCEC352" w14:textId="77777777" w:rsidR="00812245" w:rsidRPr="00F54D9E" w:rsidRDefault="00812245" w:rsidP="00812245">
      <w:pPr>
        <w:pStyle w:val="Styl1"/>
      </w:pPr>
      <w:r w:rsidRPr="00F54D9E">
        <w:t xml:space="preserve">V dalším textu je uváděn návrh rozpočtu výdajů vedených v EDS/SMVS v členění </w:t>
      </w:r>
      <w:r w:rsidRPr="00F54D9E">
        <w:br/>
        <w:t xml:space="preserve">na jednotlivé programy a v členění dle konečných příjemců. </w:t>
      </w:r>
    </w:p>
    <w:p w14:paraId="5A27D311" w14:textId="77777777" w:rsidR="00812245" w:rsidRPr="00FF40FD" w:rsidRDefault="00812245" w:rsidP="00812245">
      <w:pPr>
        <w:spacing w:before="200" w:line="240" w:lineRule="auto"/>
        <w:rPr>
          <w:rFonts w:eastAsia="Times New Roman" w:cs="Times New Roman"/>
          <w:b/>
          <w:bCs/>
          <w:szCs w:val="24"/>
          <w:u w:val="single"/>
          <w:lang w:eastAsia="cs-CZ"/>
        </w:rPr>
      </w:pPr>
      <w:r w:rsidRPr="00FF40FD">
        <w:rPr>
          <w:rFonts w:eastAsia="Times New Roman" w:cs="Times New Roman"/>
          <w:b/>
          <w:bCs/>
          <w:szCs w:val="24"/>
          <w:u w:val="single"/>
          <w:lang w:eastAsia="cs-CZ"/>
        </w:rPr>
        <w:t>Ředitelství silnic a dálnic ČR</w:t>
      </w:r>
    </w:p>
    <w:p w14:paraId="44D90872" w14:textId="0CADBB31" w:rsidR="00812245" w:rsidRPr="00FF40FD" w:rsidRDefault="00812245" w:rsidP="00812245">
      <w:pPr>
        <w:pStyle w:val="Titulek"/>
        <w:rPr>
          <w:noProof/>
        </w:rPr>
      </w:pPr>
      <w:r w:rsidRPr="00FF40FD">
        <w:t xml:space="preserve">Tabulka č. </w:t>
      </w:r>
      <w:r w:rsidRPr="00FF40FD">
        <w:rPr>
          <w:noProof/>
        </w:rPr>
        <w:fldChar w:fldCharType="begin"/>
      </w:r>
      <w:r w:rsidRPr="00FF40FD">
        <w:rPr>
          <w:noProof/>
        </w:rPr>
        <w:instrText xml:space="preserve"> SEQ Tabulka \* ARABIC </w:instrText>
      </w:r>
      <w:r w:rsidRPr="00FF40FD">
        <w:rPr>
          <w:noProof/>
        </w:rPr>
        <w:fldChar w:fldCharType="separate"/>
      </w:r>
      <w:r w:rsidR="005B3B1D">
        <w:rPr>
          <w:noProof/>
        </w:rPr>
        <w:t>44</w:t>
      </w:r>
      <w:r w:rsidRPr="00FF40FD">
        <w:rPr>
          <w:noProof/>
        </w:rPr>
        <w:fldChar w:fldCharType="end"/>
      </w:r>
      <w:r w:rsidRPr="00FF40FD">
        <w:rPr>
          <w:noProof/>
        </w:rPr>
        <w:t xml:space="preserve"> Výdaje Ředitelství silnic a dálnic ČR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7"/>
        <w:gridCol w:w="1132"/>
        <w:gridCol w:w="1131"/>
        <w:gridCol w:w="1131"/>
        <w:gridCol w:w="1133"/>
        <w:gridCol w:w="1131"/>
        <w:gridCol w:w="1126"/>
      </w:tblGrid>
      <w:tr w:rsidR="00812245" w:rsidRPr="00FF40FD" w14:paraId="1C36006B" w14:textId="77777777" w:rsidTr="00D07D18">
        <w:tc>
          <w:tcPr>
            <w:tcW w:w="1252"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525CC03" w14:textId="77777777" w:rsidR="00812245" w:rsidRPr="00FF40FD" w:rsidRDefault="00812245" w:rsidP="00D07D18">
            <w:pPr>
              <w:spacing w:line="240" w:lineRule="auto"/>
              <w:jc w:val="center"/>
              <w:rPr>
                <w:rFonts w:eastAsia="Times New Roman" w:cs="Times New Roman"/>
                <w:b/>
                <w:bCs/>
                <w:lang w:eastAsia="cs-CZ"/>
              </w:rPr>
            </w:pPr>
            <w:r w:rsidRPr="00FF40FD">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6107DB0" w14:textId="29CD3E92" w:rsidR="00812245" w:rsidRPr="00FF40FD" w:rsidRDefault="00812245" w:rsidP="00D07D18">
            <w:pPr>
              <w:jc w:val="center"/>
              <w:rPr>
                <w:rFonts w:eastAsia="Times New Roman" w:cs="Times New Roman"/>
                <w:b/>
                <w:bCs/>
                <w:lang w:eastAsia="cs-CZ"/>
              </w:rPr>
            </w:pPr>
            <w:r w:rsidRPr="00FF40FD">
              <w:rPr>
                <w:rFonts w:eastAsia="Times New Roman" w:cs="Times New Roman"/>
                <w:b/>
                <w:bCs/>
                <w:lang w:eastAsia="cs-CZ"/>
              </w:rPr>
              <w:t xml:space="preserve">Skutečnost </w:t>
            </w:r>
            <w:r w:rsidRPr="00FF40FD">
              <w:rPr>
                <w:rFonts w:eastAsia="Times New Roman" w:cs="Times New Roman"/>
                <w:b/>
                <w:bCs/>
                <w:lang w:eastAsia="cs-CZ"/>
              </w:rPr>
              <w:br/>
              <w:t>202</w:t>
            </w:r>
            <w:r w:rsidR="00FF40FD" w:rsidRPr="00FF40FD">
              <w:rPr>
                <w:rFonts w:eastAsia="Times New Roman" w:cs="Times New Roman"/>
                <w:b/>
                <w:bCs/>
                <w:lang w:eastAsia="cs-CZ"/>
              </w:rPr>
              <w:t>3</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1B2804F" w14:textId="390BECA5" w:rsidR="00812245" w:rsidRPr="00FF40FD" w:rsidRDefault="00812245" w:rsidP="00D07D18">
            <w:pPr>
              <w:jc w:val="center"/>
              <w:rPr>
                <w:rFonts w:eastAsia="Times New Roman" w:cs="Times New Roman"/>
                <w:b/>
                <w:bCs/>
                <w:lang w:eastAsia="cs-CZ"/>
              </w:rPr>
            </w:pPr>
            <w:r w:rsidRPr="00FF40FD">
              <w:rPr>
                <w:rFonts w:eastAsia="Times New Roman" w:cs="Times New Roman"/>
                <w:b/>
                <w:bCs/>
                <w:lang w:eastAsia="cs-CZ"/>
              </w:rPr>
              <w:t>Schválený rozpočet 202</w:t>
            </w:r>
            <w:r w:rsidR="00FF40FD" w:rsidRPr="00FF40FD">
              <w:rPr>
                <w:rFonts w:eastAsia="Times New Roman" w:cs="Times New Roman"/>
                <w:b/>
                <w:bCs/>
                <w:lang w:eastAsia="cs-CZ"/>
              </w:rPr>
              <w:t>4</w:t>
            </w:r>
          </w:p>
        </w:tc>
        <w:tc>
          <w:tcPr>
            <w:tcW w:w="124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7F13975" w14:textId="355B72ED" w:rsidR="00812245" w:rsidRPr="00FF40FD" w:rsidRDefault="00812245" w:rsidP="00D07D18">
            <w:pPr>
              <w:jc w:val="center"/>
              <w:rPr>
                <w:rFonts w:eastAsia="Times New Roman" w:cs="Times New Roman"/>
                <w:b/>
                <w:bCs/>
                <w:lang w:eastAsia="cs-CZ"/>
              </w:rPr>
            </w:pPr>
            <w:r w:rsidRPr="00FF40FD">
              <w:rPr>
                <w:rFonts w:eastAsia="Times New Roman" w:cs="Times New Roman"/>
                <w:b/>
                <w:bCs/>
                <w:lang w:eastAsia="cs-CZ"/>
              </w:rPr>
              <w:t xml:space="preserve">Návrh rozpočtu </w:t>
            </w:r>
            <w:r w:rsidRPr="00FF40FD">
              <w:rPr>
                <w:rFonts w:eastAsia="Times New Roman" w:cs="Times New Roman"/>
                <w:b/>
                <w:bCs/>
                <w:lang w:eastAsia="cs-CZ"/>
              </w:rPr>
              <w:br/>
              <w:t>202</w:t>
            </w:r>
            <w:r w:rsidR="00FF40FD" w:rsidRPr="00FF40FD">
              <w:rPr>
                <w:rFonts w:eastAsia="Times New Roman" w:cs="Times New Roman"/>
                <w:b/>
                <w:bCs/>
                <w:lang w:eastAsia="cs-CZ"/>
              </w:rPr>
              <w:t>5</w:t>
            </w:r>
          </w:p>
        </w:tc>
      </w:tr>
      <w:tr w:rsidR="00812245" w:rsidRPr="00FF40FD" w14:paraId="764F04A2" w14:textId="77777777" w:rsidTr="00D07D18">
        <w:tc>
          <w:tcPr>
            <w:tcW w:w="1252"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EBAC436" w14:textId="77777777" w:rsidR="00812245" w:rsidRPr="00FF40FD" w:rsidRDefault="00812245" w:rsidP="00D07D18">
            <w:pPr>
              <w:spacing w:line="240" w:lineRule="auto"/>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E06466D"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1C89247"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6A056A1"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028381A"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1FD2094"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SR</w:t>
            </w:r>
          </w:p>
        </w:tc>
        <w:tc>
          <w:tcPr>
            <w:tcW w:w="62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6D78D27"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EU</w:t>
            </w:r>
          </w:p>
        </w:tc>
      </w:tr>
      <w:tr w:rsidR="00812245" w:rsidRPr="00FF40FD" w14:paraId="68A45F16" w14:textId="77777777" w:rsidTr="00D07D18">
        <w:tc>
          <w:tcPr>
            <w:tcW w:w="1252" w:type="pct"/>
            <w:tcBorders>
              <w:bottom w:val="single" w:sz="8" w:space="0" w:color="7F7F7F" w:themeColor="text1" w:themeTint="80"/>
            </w:tcBorders>
            <w:shd w:val="clear" w:color="auto" w:fill="auto"/>
          </w:tcPr>
          <w:p w14:paraId="5071A82C" w14:textId="77777777" w:rsidR="00812245" w:rsidRPr="00FF40FD" w:rsidRDefault="00812245" w:rsidP="00D07D18">
            <w:pPr>
              <w:jc w:val="center"/>
              <w:rPr>
                <w:rFonts w:eastAsia="Times New Roman" w:cs="Times New Roman"/>
                <w:bCs/>
                <w:lang w:eastAsia="cs-CZ"/>
              </w:rPr>
            </w:pPr>
            <w:r w:rsidRPr="00FF40FD">
              <w:rPr>
                <w:rFonts w:eastAsia="Times New Roman" w:cs="Times New Roman"/>
                <w:bCs/>
                <w:lang w:eastAsia="cs-CZ"/>
              </w:rPr>
              <w:t>127 06</w:t>
            </w:r>
          </w:p>
        </w:tc>
        <w:tc>
          <w:tcPr>
            <w:tcW w:w="625" w:type="pct"/>
            <w:tcBorders>
              <w:bottom w:val="single" w:sz="8" w:space="0" w:color="7F7F7F" w:themeColor="text1" w:themeTint="80"/>
            </w:tcBorders>
            <w:shd w:val="clear" w:color="auto" w:fill="auto"/>
          </w:tcPr>
          <w:p w14:paraId="334D7A6D" w14:textId="77777777" w:rsidR="00812245" w:rsidRPr="00FF40FD" w:rsidRDefault="00812245" w:rsidP="00D07D18">
            <w:pPr>
              <w:jc w:val="right"/>
              <w:rPr>
                <w:rFonts w:eastAsia="Times New Roman" w:cs="Times New Roman"/>
                <w:bCs/>
                <w:lang w:eastAsia="cs-CZ"/>
              </w:rPr>
            </w:pPr>
            <w:r w:rsidRPr="00FF40FD">
              <w:rPr>
                <w:rFonts w:eastAsia="Times New Roman" w:cs="Times New Roman"/>
                <w:bCs/>
                <w:lang w:eastAsia="cs-CZ"/>
              </w:rPr>
              <w:t>0</w:t>
            </w:r>
          </w:p>
        </w:tc>
        <w:tc>
          <w:tcPr>
            <w:tcW w:w="625" w:type="pct"/>
            <w:tcBorders>
              <w:bottom w:val="single" w:sz="8" w:space="0" w:color="7F7F7F" w:themeColor="text1" w:themeTint="80"/>
            </w:tcBorders>
            <w:shd w:val="clear" w:color="auto" w:fill="auto"/>
          </w:tcPr>
          <w:p w14:paraId="3E5E644A" w14:textId="45E079B8" w:rsidR="00812245" w:rsidRPr="00FF40FD" w:rsidRDefault="00FF40FD" w:rsidP="00D07D18">
            <w:pPr>
              <w:jc w:val="right"/>
              <w:rPr>
                <w:rFonts w:eastAsia="Times New Roman" w:cs="Times New Roman"/>
                <w:bCs/>
                <w:lang w:eastAsia="cs-CZ"/>
              </w:rPr>
            </w:pPr>
            <w:r w:rsidRPr="00FF40FD">
              <w:rPr>
                <w:rFonts w:eastAsia="Times New Roman" w:cs="Times New Roman"/>
                <w:bCs/>
                <w:lang w:eastAsia="cs-CZ"/>
              </w:rPr>
              <w:t>429 315</w:t>
            </w:r>
          </w:p>
        </w:tc>
        <w:tc>
          <w:tcPr>
            <w:tcW w:w="625" w:type="pct"/>
            <w:tcBorders>
              <w:bottom w:val="single" w:sz="8" w:space="0" w:color="7F7F7F" w:themeColor="text1" w:themeTint="80"/>
            </w:tcBorders>
            <w:shd w:val="clear" w:color="auto" w:fill="auto"/>
          </w:tcPr>
          <w:p w14:paraId="463A49AB" w14:textId="77777777" w:rsidR="00812245" w:rsidRPr="00FF40FD" w:rsidRDefault="00812245" w:rsidP="00D07D18">
            <w:pPr>
              <w:jc w:val="right"/>
              <w:rPr>
                <w:rFonts w:eastAsia="Times New Roman" w:cs="Times New Roman"/>
                <w:bCs/>
                <w:lang w:eastAsia="cs-CZ"/>
              </w:rPr>
            </w:pPr>
            <w:r w:rsidRPr="00FF40FD">
              <w:rPr>
                <w:rFonts w:eastAsia="Times New Roman" w:cs="Times New Roman"/>
                <w:bCs/>
                <w:lang w:eastAsia="cs-CZ"/>
              </w:rPr>
              <w:t>0</w:t>
            </w:r>
          </w:p>
        </w:tc>
        <w:tc>
          <w:tcPr>
            <w:tcW w:w="626" w:type="pct"/>
            <w:tcBorders>
              <w:bottom w:val="single" w:sz="8" w:space="0" w:color="7F7F7F" w:themeColor="text1" w:themeTint="80"/>
            </w:tcBorders>
            <w:shd w:val="clear" w:color="auto" w:fill="auto"/>
          </w:tcPr>
          <w:p w14:paraId="4528F658" w14:textId="580A75E1" w:rsidR="00812245" w:rsidRPr="00FF40FD" w:rsidRDefault="00FF40FD" w:rsidP="00D07D18">
            <w:pPr>
              <w:jc w:val="right"/>
              <w:rPr>
                <w:rFonts w:eastAsia="Times New Roman" w:cs="Times New Roman"/>
                <w:bCs/>
                <w:lang w:eastAsia="cs-CZ"/>
              </w:rPr>
            </w:pPr>
            <w:r w:rsidRPr="00FF40FD">
              <w:rPr>
                <w:rFonts w:eastAsia="Times New Roman" w:cs="Times New Roman"/>
                <w:bCs/>
                <w:lang w:eastAsia="cs-CZ"/>
              </w:rPr>
              <w:t>0</w:t>
            </w:r>
          </w:p>
        </w:tc>
        <w:tc>
          <w:tcPr>
            <w:tcW w:w="625" w:type="pct"/>
            <w:tcBorders>
              <w:bottom w:val="single" w:sz="8" w:space="0" w:color="7F7F7F" w:themeColor="text1" w:themeTint="80"/>
            </w:tcBorders>
            <w:shd w:val="clear" w:color="auto" w:fill="auto"/>
          </w:tcPr>
          <w:p w14:paraId="4F7F63E9" w14:textId="3A8004BB" w:rsidR="00812245" w:rsidRPr="00FF40FD" w:rsidRDefault="00FF40FD" w:rsidP="00D07D18">
            <w:pPr>
              <w:jc w:val="right"/>
              <w:rPr>
                <w:rFonts w:eastAsia="Times New Roman" w:cs="Times New Roman"/>
                <w:bCs/>
                <w:lang w:eastAsia="cs-CZ"/>
              </w:rPr>
            </w:pPr>
            <w:r w:rsidRPr="00FF40FD">
              <w:rPr>
                <w:rFonts w:eastAsia="Times New Roman" w:cs="Times New Roman"/>
                <w:bCs/>
                <w:lang w:eastAsia="cs-CZ"/>
              </w:rPr>
              <w:t>0</w:t>
            </w:r>
          </w:p>
        </w:tc>
        <w:tc>
          <w:tcPr>
            <w:tcW w:w="622" w:type="pct"/>
            <w:tcBorders>
              <w:bottom w:val="single" w:sz="8" w:space="0" w:color="7F7F7F" w:themeColor="text1" w:themeTint="80"/>
            </w:tcBorders>
            <w:shd w:val="clear" w:color="auto" w:fill="auto"/>
          </w:tcPr>
          <w:p w14:paraId="6528C898" w14:textId="78411CD7" w:rsidR="00812245" w:rsidRPr="00FF40FD" w:rsidRDefault="00FF40FD" w:rsidP="00D07D18">
            <w:pPr>
              <w:jc w:val="right"/>
              <w:rPr>
                <w:rFonts w:eastAsia="Times New Roman" w:cs="Times New Roman"/>
                <w:bCs/>
                <w:lang w:eastAsia="cs-CZ"/>
              </w:rPr>
            </w:pPr>
            <w:r w:rsidRPr="00FF40FD">
              <w:rPr>
                <w:rFonts w:eastAsia="Times New Roman" w:cs="Times New Roman"/>
                <w:bCs/>
                <w:lang w:eastAsia="cs-CZ"/>
              </w:rPr>
              <w:t>0</w:t>
            </w:r>
          </w:p>
        </w:tc>
      </w:tr>
      <w:tr w:rsidR="00812245" w:rsidRPr="00FF40FD" w14:paraId="103497A0" w14:textId="77777777" w:rsidTr="00D07D18">
        <w:trPr>
          <w:trHeight w:val="138"/>
        </w:trPr>
        <w:tc>
          <w:tcPr>
            <w:tcW w:w="1252" w:type="pct"/>
            <w:tcBorders>
              <w:top w:val="single" w:sz="8" w:space="0" w:color="7F7F7F" w:themeColor="text1" w:themeTint="80"/>
              <w:bottom w:val="single" w:sz="8" w:space="0" w:color="7F7F7F" w:themeColor="text1" w:themeTint="80"/>
            </w:tcBorders>
            <w:shd w:val="clear" w:color="auto" w:fill="auto"/>
          </w:tcPr>
          <w:p w14:paraId="04E0B01A" w14:textId="77777777" w:rsidR="00812245" w:rsidRPr="00FF40FD" w:rsidRDefault="00812245" w:rsidP="00D07D18">
            <w:pPr>
              <w:spacing w:line="240" w:lineRule="auto"/>
              <w:jc w:val="center"/>
              <w:rPr>
                <w:rFonts w:eastAsia="Times New Roman" w:cs="Times New Roman"/>
                <w:b/>
                <w:bCs/>
                <w:lang w:eastAsia="cs-CZ"/>
              </w:rPr>
            </w:pPr>
            <w:r w:rsidRPr="00FF40FD">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14:paraId="3AD09882" w14:textId="77777777" w:rsidR="00812245" w:rsidRPr="00FF40FD" w:rsidRDefault="00812245" w:rsidP="00D07D18">
            <w:pPr>
              <w:jc w:val="right"/>
              <w:rPr>
                <w:rFonts w:eastAsia="Times New Roman" w:cs="Times New Roman"/>
                <w:b/>
                <w:bCs/>
                <w:lang w:eastAsia="cs-CZ"/>
              </w:rPr>
            </w:pPr>
            <w:r w:rsidRPr="00FF40FD">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6F777C81" w14:textId="7E989102" w:rsidR="00812245" w:rsidRPr="00FF40FD" w:rsidRDefault="00FF40FD" w:rsidP="00D07D18">
            <w:pPr>
              <w:spacing w:line="240" w:lineRule="auto"/>
              <w:jc w:val="right"/>
              <w:rPr>
                <w:rFonts w:eastAsia="Times New Roman" w:cs="Times New Roman"/>
                <w:b/>
                <w:bCs/>
                <w:lang w:eastAsia="cs-CZ"/>
              </w:rPr>
            </w:pPr>
            <w:r>
              <w:rPr>
                <w:rFonts w:eastAsia="Times New Roman" w:cs="Times New Roman"/>
                <w:b/>
                <w:bCs/>
                <w:lang w:eastAsia="cs-CZ"/>
              </w:rPr>
              <w:t>429 315</w:t>
            </w:r>
          </w:p>
        </w:tc>
        <w:tc>
          <w:tcPr>
            <w:tcW w:w="625" w:type="pct"/>
            <w:tcBorders>
              <w:top w:val="single" w:sz="8" w:space="0" w:color="7F7F7F" w:themeColor="text1" w:themeTint="80"/>
              <w:bottom w:val="single" w:sz="8" w:space="0" w:color="7F7F7F" w:themeColor="text1" w:themeTint="80"/>
            </w:tcBorders>
            <w:shd w:val="clear" w:color="auto" w:fill="auto"/>
          </w:tcPr>
          <w:p w14:paraId="55F0536D" w14:textId="77777777" w:rsidR="00812245" w:rsidRPr="00FF40FD" w:rsidRDefault="00812245" w:rsidP="00D07D18">
            <w:pPr>
              <w:spacing w:line="240" w:lineRule="auto"/>
              <w:jc w:val="right"/>
              <w:rPr>
                <w:rFonts w:eastAsia="Times New Roman" w:cs="Times New Roman"/>
                <w:b/>
                <w:bCs/>
                <w:lang w:eastAsia="cs-CZ"/>
              </w:rPr>
            </w:pPr>
            <w:r w:rsidRPr="00FF40FD">
              <w:rPr>
                <w:rFonts w:eastAsia="Times New Roman" w:cs="Times New Roman"/>
                <w:b/>
                <w:b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14:paraId="7FBD7275" w14:textId="0C6358D0" w:rsidR="00812245" w:rsidRPr="00FF40FD" w:rsidRDefault="00FF40FD" w:rsidP="00D07D18">
            <w:pPr>
              <w:spacing w:line="240" w:lineRule="auto"/>
              <w:jc w:val="right"/>
              <w:rPr>
                <w:rFonts w:eastAsia="Times New Roman" w:cs="Times New Roman"/>
                <w:b/>
                <w:bCs/>
                <w:lang w:eastAsia="cs-CZ"/>
              </w:rPr>
            </w:pPr>
            <w:r w:rsidRPr="00FF40FD">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21DCE7FE" w14:textId="0F005AB6" w:rsidR="00812245" w:rsidRPr="00FF40FD" w:rsidRDefault="00FF40FD" w:rsidP="00D07D18">
            <w:pPr>
              <w:spacing w:line="240" w:lineRule="auto"/>
              <w:jc w:val="right"/>
              <w:rPr>
                <w:rFonts w:eastAsia="Times New Roman" w:cs="Times New Roman"/>
                <w:b/>
                <w:bCs/>
                <w:lang w:eastAsia="cs-CZ"/>
              </w:rPr>
            </w:pPr>
            <w:r w:rsidRPr="00FF40FD">
              <w:rPr>
                <w:rFonts w:eastAsia="Times New Roman" w:cs="Times New Roman"/>
                <w:b/>
                <w:bCs/>
                <w:lang w:eastAsia="cs-CZ"/>
              </w:rPr>
              <w:t>0</w:t>
            </w:r>
          </w:p>
        </w:tc>
        <w:tc>
          <w:tcPr>
            <w:tcW w:w="622" w:type="pct"/>
            <w:tcBorders>
              <w:top w:val="single" w:sz="8" w:space="0" w:color="7F7F7F" w:themeColor="text1" w:themeTint="80"/>
              <w:bottom w:val="single" w:sz="8" w:space="0" w:color="7F7F7F" w:themeColor="text1" w:themeTint="80"/>
            </w:tcBorders>
            <w:shd w:val="clear" w:color="auto" w:fill="auto"/>
          </w:tcPr>
          <w:p w14:paraId="32BCCDEC" w14:textId="191DE376" w:rsidR="00812245" w:rsidRPr="00FF40FD" w:rsidRDefault="00FF40FD" w:rsidP="00D07D18">
            <w:pPr>
              <w:spacing w:line="240" w:lineRule="auto"/>
              <w:jc w:val="right"/>
              <w:rPr>
                <w:rFonts w:eastAsia="Times New Roman" w:cs="Times New Roman"/>
                <w:b/>
                <w:bCs/>
                <w:lang w:eastAsia="cs-CZ"/>
              </w:rPr>
            </w:pPr>
            <w:r w:rsidRPr="00FF40FD">
              <w:rPr>
                <w:rFonts w:eastAsia="Times New Roman" w:cs="Times New Roman"/>
                <w:b/>
                <w:bCs/>
                <w:lang w:eastAsia="cs-CZ"/>
              </w:rPr>
              <w:t>0</w:t>
            </w:r>
          </w:p>
        </w:tc>
      </w:tr>
    </w:tbl>
    <w:p w14:paraId="4CA99424" w14:textId="77777777" w:rsidR="00812245" w:rsidRPr="00FF40FD" w:rsidRDefault="00812245" w:rsidP="00812245">
      <w:pPr>
        <w:pStyle w:val="Nadpis9"/>
        <w:spacing w:before="120"/>
        <w:rPr>
          <w:lang w:eastAsia="cs-CZ"/>
        </w:rPr>
      </w:pPr>
      <w:r w:rsidRPr="00FF40FD">
        <w:rPr>
          <w:lang w:eastAsia="cs-CZ"/>
        </w:rPr>
        <w:t>Centrum služeb pro silniční dopravu</w:t>
      </w:r>
    </w:p>
    <w:p w14:paraId="20A4F9B4" w14:textId="1BB8BC43" w:rsidR="00812245" w:rsidRPr="00FF40FD" w:rsidRDefault="00812245" w:rsidP="00812245">
      <w:pPr>
        <w:pStyle w:val="Titulek"/>
        <w:rPr>
          <w:noProof/>
        </w:rPr>
      </w:pPr>
      <w:r w:rsidRPr="00FF40FD">
        <w:t xml:space="preserve">Tabulka č. </w:t>
      </w:r>
      <w:r w:rsidRPr="00FF40FD">
        <w:rPr>
          <w:bCs w:val="0"/>
          <w:noProof/>
        </w:rPr>
        <w:fldChar w:fldCharType="begin"/>
      </w:r>
      <w:r w:rsidRPr="00FF40FD">
        <w:rPr>
          <w:bCs w:val="0"/>
          <w:noProof/>
        </w:rPr>
        <w:instrText xml:space="preserve"> SEQ Tabulka \* ARABIC </w:instrText>
      </w:r>
      <w:r w:rsidRPr="00FF40FD">
        <w:rPr>
          <w:bCs w:val="0"/>
          <w:noProof/>
        </w:rPr>
        <w:fldChar w:fldCharType="separate"/>
      </w:r>
      <w:r w:rsidR="005B3B1D">
        <w:rPr>
          <w:bCs w:val="0"/>
          <w:noProof/>
        </w:rPr>
        <w:t>45</w:t>
      </w:r>
      <w:r w:rsidRPr="00FF40FD">
        <w:rPr>
          <w:bCs w:val="0"/>
          <w:noProof/>
        </w:rPr>
        <w:fldChar w:fldCharType="end"/>
      </w:r>
      <w:r w:rsidRPr="00FF40FD">
        <w:rPr>
          <w:bCs w:val="0"/>
          <w:noProof/>
        </w:rPr>
        <w:t xml:space="preserve"> </w:t>
      </w:r>
      <w:r w:rsidRPr="00FF40FD">
        <w:rPr>
          <w:noProof/>
        </w:rPr>
        <w:t>Výdaje Centra služeb pro silniční dopravu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7"/>
        <w:gridCol w:w="1132"/>
        <w:gridCol w:w="1131"/>
        <w:gridCol w:w="1131"/>
        <w:gridCol w:w="1133"/>
        <w:gridCol w:w="1131"/>
        <w:gridCol w:w="1126"/>
      </w:tblGrid>
      <w:tr w:rsidR="00812245" w:rsidRPr="00FF40FD" w14:paraId="7E68EAD9" w14:textId="77777777" w:rsidTr="00D07D18">
        <w:tc>
          <w:tcPr>
            <w:tcW w:w="1252"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40C32F2" w14:textId="77777777" w:rsidR="00812245" w:rsidRPr="00FF40FD" w:rsidRDefault="00812245" w:rsidP="00D07D18">
            <w:pPr>
              <w:spacing w:before="163"/>
              <w:jc w:val="center"/>
              <w:rPr>
                <w:rFonts w:eastAsia="Times New Roman" w:cs="Times New Roman"/>
                <w:b/>
                <w:bCs/>
                <w:lang w:eastAsia="cs-CZ"/>
              </w:rPr>
            </w:pPr>
            <w:r w:rsidRPr="00FF40FD">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30B75D6" w14:textId="1CBA1886" w:rsidR="00812245" w:rsidRPr="00FF40FD" w:rsidRDefault="00812245" w:rsidP="00D07D18">
            <w:pPr>
              <w:jc w:val="center"/>
              <w:rPr>
                <w:rFonts w:eastAsia="Times New Roman" w:cs="Times New Roman"/>
                <w:b/>
                <w:bCs/>
                <w:lang w:eastAsia="cs-CZ"/>
              </w:rPr>
            </w:pPr>
            <w:r w:rsidRPr="00FF40FD">
              <w:rPr>
                <w:rFonts w:eastAsia="Times New Roman" w:cs="Times New Roman"/>
                <w:b/>
                <w:bCs/>
                <w:lang w:eastAsia="cs-CZ"/>
              </w:rPr>
              <w:t xml:space="preserve">Skutečnost </w:t>
            </w:r>
            <w:r w:rsidRPr="00FF40FD">
              <w:rPr>
                <w:rFonts w:eastAsia="Times New Roman" w:cs="Times New Roman"/>
                <w:b/>
                <w:bCs/>
                <w:lang w:eastAsia="cs-CZ"/>
              </w:rPr>
              <w:br/>
              <w:t>202</w:t>
            </w:r>
            <w:r w:rsidR="00FF40FD" w:rsidRPr="00FF40FD">
              <w:rPr>
                <w:rFonts w:eastAsia="Times New Roman" w:cs="Times New Roman"/>
                <w:b/>
                <w:bCs/>
                <w:lang w:eastAsia="cs-CZ"/>
              </w:rPr>
              <w:t>3</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9B45966" w14:textId="32403980" w:rsidR="00812245" w:rsidRPr="00FF40FD" w:rsidRDefault="00812245" w:rsidP="00D07D18">
            <w:pPr>
              <w:jc w:val="center"/>
              <w:rPr>
                <w:rFonts w:eastAsia="Times New Roman" w:cs="Times New Roman"/>
                <w:b/>
                <w:bCs/>
                <w:lang w:eastAsia="cs-CZ"/>
              </w:rPr>
            </w:pPr>
            <w:r w:rsidRPr="00FF40FD">
              <w:rPr>
                <w:rFonts w:eastAsia="Times New Roman" w:cs="Times New Roman"/>
                <w:b/>
                <w:bCs/>
                <w:lang w:eastAsia="cs-CZ"/>
              </w:rPr>
              <w:t>Schválený rozpočet 202</w:t>
            </w:r>
            <w:r w:rsidR="00FF40FD" w:rsidRPr="00FF40FD">
              <w:rPr>
                <w:rFonts w:eastAsia="Times New Roman" w:cs="Times New Roman"/>
                <w:b/>
                <w:bCs/>
                <w:lang w:eastAsia="cs-CZ"/>
              </w:rPr>
              <w:t>4</w:t>
            </w:r>
          </w:p>
        </w:tc>
        <w:tc>
          <w:tcPr>
            <w:tcW w:w="124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6D682E8" w14:textId="19D68227" w:rsidR="00812245" w:rsidRPr="00FF40FD" w:rsidRDefault="00812245" w:rsidP="00D07D18">
            <w:pPr>
              <w:jc w:val="center"/>
              <w:rPr>
                <w:rFonts w:eastAsia="Times New Roman" w:cs="Times New Roman"/>
                <w:b/>
                <w:bCs/>
                <w:lang w:eastAsia="cs-CZ"/>
              </w:rPr>
            </w:pPr>
            <w:r w:rsidRPr="00FF40FD">
              <w:rPr>
                <w:rFonts w:eastAsia="Times New Roman" w:cs="Times New Roman"/>
                <w:b/>
                <w:bCs/>
                <w:lang w:eastAsia="cs-CZ"/>
              </w:rPr>
              <w:t xml:space="preserve">Návrh rozpočtu </w:t>
            </w:r>
            <w:r w:rsidRPr="00FF40FD">
              <w:rPr>
                <w:rFonts w:eastAsia="Times New Roman" w:cs="Times New Roman"/>
                <w:b/>
                <w:bCs/>
                <w:lang w:eastAsia="cs-CZ"/>
              </w:rPr>
              <w:br/>
              <w:t>202</w:t>
            </w:r>
            <w:r w:rsidR="00FF40FD" w:rsidRPr="00FF40FD">
              <w:rPr>
                <w:rFonts w:eastAsia="Times New Roman" w:cs="Times New Roman"/>
                <w:b/>
                <w:bCs/>
                <w:lang w:eastAsia="cs-CZ"/>
              </w:rPr>
              <w:t>5</w:t>
            </w:r>
          </w:p>
        </w:tc>
      </w:tr>
      <w:tr w:rsidR="00812245" w:rsidRPr="00FF40FD" w14:paraId="12D44161" w14:textId="77777777" w:rsidTr="00D07D18">
        <w:tc>
          <w:tcPr>
            <w:tcW w:w="1252"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A068E9B" w14:textId="77777777" w:rsidR="00812245" w:rsidRPr="00FF40FD" w:rsidRDefault="00812245" w:rsidP="00D07D18">
            <w:pPr>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89988E2"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524FEE7"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7538B41"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B122450"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207F9E3"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SR</w:t>
            </w:r>
          </w:p>
        </w:tc>
        <w:tc>
          <w:tcPr>
            <w:tcW w:w="62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70A57B9" w14:textId="77777777" w:rsidR="00812245" w:rsidRPr="00FF40FD" w:rsidRDefault="00812245" w:rsidP="00D07D18">
            <w:pPr>
              <w:jc w:val="center"/>
              <w:rPr>
                <w:rFonts w:eastAsia="Times New Roman" w:cs="Times New Roman"/>
                <w:b/>
                <w:lang w:eastAsia="cs-CZ"/>
              </w:rPr>
            </w:pPr>
            <w:r w:rsidRPr="00FF40FD">
              <w:rPr>
                <w:rFonts w:eastAsia="Times New Roman" w:cs="Times New Roman"/>
                <w:b/>
                <w:lang w:eastAsia="cs-CZ"/>
              </w:rPr>
              <w:t>EU</w:t>
            </w:r>
          </w:p>
        </w:tc>
      </w:tr>
      <w:tr w:rsidR="00812245" w:rsidRPr="00FF40FD" w14:paraId="7BB55FDD" w14:textId="77777777" w:rsidTr="00D07D18">
        <w:tc>
          <w:tcPr>
            <w:tcW w:w="1252" w:type="pct"/>
            <w:tcBorders>
              <w:top w:val="single" w:sz="4" w:space="0" w:color="7F7F7F" w:themeColor="text1" w:themeTint="80"/>
              <w:bottom w:val="single" w:sz="8" w:space="0" w:color="7F7F7F" w:themeColor="text1" w:themeTint="80"/>
            </w:tcBorders>
            <w:shd w:val="clear" w:color="auto" w:fill="auto"/>
          </w:tcPr>
          <w:p w14:paraId="73DCF2AA" w14:textId="77777777" w:rsidR="00812245" w:rsidRPr="00FF40FD" w:rsidRDefault="00812245" w:rsidP="00D07D18">
            <w:pPr>
              <w:jc w:val="center"/>
              <w:rPr>
                <w:rFonts w:eastAsia="Times New Roman" w:cs="Times New Roman"/>
                <w:lang w:eastAsia="cs-CZ"/>
              </w:rPr>
            </w:pPr>
            <w:r w:rsidRPr="00FF40FD">
              <w:rPr>
                <w:rFonts w:eastAsia="Times New Roman" w:cs="Times New Roman"/>
                <w:lang w:eastAsia="cs-CZ"/>
              </w:rPr>
              <w:t>127 06</w:t>
            </w:r>
          </w:p>
        </w:tc>
        <w:tc>
          <w:tcPr>
            <w:tcW w:w="625" w:type="pct"/>
            <w:tcBorders>
              <w:top w:val="single" w:sz="4" w:space="0" w:color="7F7F7F" w:themeColor="text1" w:themeTint="80"/>
              <w:bottom w:val="single" w:sz="8" w:space="0" w:color="7F7F7F" w:themeColor="text1" w:themeTint="80"/>
            </w:tcBorders>
            <w:shd w:val="clear" w:color="auto" w:fill="auto"/>
          </w:tcPr>
          <w:p w14:paraId="7E564815" w14:textId="6834FB8B" w:rsidR="00812245" w:rsidRPr="00FF40FD" w:rsidRDefault="00FF40FD" w:rsidP="00D07D18">
            <w:pPr>
              <w:jc w:val="right"/>
              <w:rPr>
                <w:rFonts w:eastAsia="Times New Roman" w:cs="Times New Roman"/>
                <w:lang w:eastAsia="cs-CZ"/>
              </w:rPr>
            </w:pPr>
            <w:r w:rsidRPr="00FF40FD">
              <w:rPr>
                <w:rFonts w:eastAsia="Times New Roman" w:cs="Times New Roman"/>
                <w:lang w:eastAsia="cs-CZ"/>
              </w:rPr>
              <w:t>4 727</w:t>
            </w:r>
          </w:p>
        </w:tc>
        <w:tc>
          <w:tcPr>
            <w:tcW w:w="625" w:type="pct"/>
            <w:tcBorders>
              <w:top w:val="single" w:sz="4" w:space="0" w:color="7F7F7F" w:themeColor="text1" w:themeTint="80"/>
              <w:bottom w:val="single" w:sz="8" w:space="0" w:color="7F7F7F" w:themeColor="text1" w:themeTint="80"/>
            </w:tcBorders>
            <w:shd w:val="clear" w:color="auto" w:fill="auto"/>
          </w:tcPr>
          <w:p w14:paraId="4F185639" w14:textId="77777777" w:rsidR="00812245" w:rsidRPr="00FF40FD" w:rsidRDefault="00812245" w:rsidP="00D07D18">
            <w:pPr>
              <w:jc w:val="right"/>
              <w:rPr>
                <w:rFonts w:eastAsia="Times New Roman" w:cs="Times New Roman"/>
                <w:lang w:eastAsia="cs-CZ"/>
              </w:rPr>
            </w:pPr>
            <w:r w:rsidRPr="00FF40FD">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73B0A7A3" w14:textId="77777777" w:rsidR="00812245" w:rsidRPr="00FF40FD" w:rsidRDefault="00812245" w:rsidP="00D07D18">
            <w:pPr>
              <w:jc w:val="right"/>
              <w:rPr>
                <w:rFonts w:eastAsia="Times New Roman" w:cs="Times New Roman"/>
                <w:lang w:eastAsia="cs-CZ"/>
              </w:rPr>
            </w:pPr>
            <w:r w:rsidRPr="00FF40FD">
              <w:rPr>
                <w:rFonts w:eastAsia="Times New Roman" w:cs="Times New Roman"/>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14:paraId="5B1C1DBC" w14:textId="77777777" w:rsidR="00812245" w:rsidRPr="00FF40FD" w:rsidRDefault="00812245" w:rsidP="00D07D18">
            <w:pPr>
              <w:jc w:val="right"/>
              <w:rPr>
                <w:rFonts w:eastAsia="Times New Roman" w:cs="Times New Roman"/>
                <w:lang w:eastAsia="cs-CZ"/>
              </w:rPr>
            </w:pPr>
            <w:r w:rsidRPr="00FF40FD">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60ADA982" w14:textId="77777777" w:rsidR="00812245" w:rsidRPr="00FF40FD" w:rsidRDefault="00812245" w:rsidP="00D07D18">
            <w:pPr>
              <w:jc w:val="right"/>
              <w:rPr>
                <w:rFonts w:eastAsia="Times New Roman" w:cs="Times New Roman"/>
                <w:lang w:eastAsia="cs-CZ"/>
              </w:rPr>
            </w:pPr>
            <w:r w:rsidRPr="00FF40FD">
              <w:rPr>
                <w:rFonts w:eastAsia="Times New Roman" w:cs="Times New Roman"/>
                <w:lang w:eastAsia="cs-CZ"/>
              </w:rPr>
              <w:t>0</w:t>
            </w:r>
          </w:p>
        </w:tc>
        <w:tc>
          <w:tcPr>
            <w:tcW w:w="622" w:type="pct"/>
            <w:tcBorders>
              <w:top w:val="single" w:sz="4" w:space="0" w:color="7F7F7F" w:themeColor="text1" w:themeTint="80"/>
              <w:bottom w:val="single" w:sz="8" w:space="0" w:color="7F7F7F" w:themeColor="text1" w:themeTint="80"/>
            </w:tcBorders>
            <w:shd w:val="clear" w:color="auto" w:fill="auto"/>
          </w:tcPr>
          <w:p w14:paraId="014CD5DE" w14:textId="77777777" w:rsidR="00812245" w:rsidRPr="00FF40FD" w:rsidRDefault="00812245" w:rsidP="00D07D18">
            <w:pPr>
              <w:jc w:val="right"/>
              <w:rPr>
                <w:rFonts w:eastAsia="Times New Roman" w:cs="Times New Roman"/>
                <w:lang w:eastAsia="cs-CZ"/>
              </w:rPr>
            </w:pPr>
            <w:r w:rsidRPr="00FF40FD">
              <w:rPr>
                <w:rFonts w:eastAsia="Times New Roman" w:cs="Times New Roman"/>
                <w:lang w:eastAsia="cs-CZ"/>
              </w:rPr>
              <w:t>0</w:t>
            </w:r>
          </w:p>
        </w:tc>
      </w:tr>
      <w:tr w:rsidR="00812245" w:rsidRPr="00FF40FD" w14:paraId="6C3BDFEF" w14:textId="77777777" w:rsidTr="00D07D18">
        <w:tc>
          <w:tcPr>
            <w:tcW w:w="1252" w:type="pct"/>
            <w:tcBorders>
              <w:top w:val="single" w:sz="4" w:space="0" w:color="7F7F7F" w:themeColor="text1" w:themeTint="80"/>
              <w:bottom w:val="single" w:sz="8" w:space="0" w:color="7F7F7F" w:themeColor="text1" w:themeTint="80"/>
            </w:tcBorders>
            <w:shd w:val="clear" w:color="auto" w:fill="auto"/>
          </w:tcPr>
          <w:p w14:paraId="782BA6A8" w14:textId="77777777" w:rsidR="00812245" w:rsidRPr="00FF40FD" w:rsidRDefault="00812245" w:rsidP="00D07D18">
            <w:pPr>
              <w:jc w:val="center"/>
              <w:rPr>
                <w:rFonts w:eastAsia="Times New Roman" w:cs="Times New Roman"/>
                <w:b/>
                <w:bCs/>
                <w:lang w:eastAsia="cs-CZ"/>
              </w:rPr>
            </w:pPr>
            <w:r w:rsidRPr="00FF40FD">
              <w:rPr>
                <w:rFonts w:eastAsia="Times New Roman" w:cs="Times New Roman"/>
                <w:lang w:eastAsia="cs-CZ"/>
              </w:rPr>
              <w:t>127 08</w:t>
            </w:r>
          </w:p>
        </w:tc>
        <w:tc>
          <w:tcPr>
            <w:tcW w:w="625" w:type="pct"/>
            <w:tcBorders>
              <w:top w:val="single" w:sz="4" w:space="0" w:color="7F7F7F" w:themeColor="text1" w:themeTint="80"/>
              <w:bottom w:val="single" w:sz="8" w:space="0" w:color="7F7F7F" w:themeColor="text1" w:themeTint="80"/>
            </w:tcBorders>
            <w:shd w:val="clear" w:color="auto" w:fill="auto"/>
          </w:tcPr>
          <w:p w14:paraId="3DA56CB3" w14:textId="77777777" w:rsidR="00812245" w:rsidRPr="00FF40FD" w:rsidRDefault="00812245" w:rsidP="00D07D18">
            <w:pPr>
              <w:jc w:val="right"/>
              <w:rPr>
                <w:rFonts w:eastAsia="Times New Roman" w:cs="Times New Roman"/>
                <w:b/>
                <w:bCs/>
                <w:lang w:eastAsia="cs-CZ"/>
              </w:rPr>
            </w:pPr>
            <w:r w:rsidRPr="00FF40FD">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0E47D7A3" w14:textId="77777777" w:rsidR="00812245" w:rsidRPr="00FF40FD" w:rsidRDefault="00812245" w:rsidP="00D07D18">
            <w:pPr>
              <w:jc w:val="right"/>
              <w:rPr>
                <w:rFonts w:eastAsia="Times New Roman" w:cs="Times New Roman"/>
                <w:b/>
                <w:bCs/>
                <w:lang w:eastAsia="cs-CZ"/>
              </w:rPr>
            </w:pPr>
            <w:r w:rsidRPr="00FF40FD">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75283C10" w14:textId="4D67EAC8" w:rsidR="00812245" w:rsidRPr="00FF40FD" w:rsidRDefault="00FF40FD" w:rsidP="00D07D18">
            <w:pPr>
              <w:jc w:val="right"/>
              <w:rPr>
                <w:rFonts w:eastAsia="Times New Roman" w:cs="Times New Roman"/>
                <w:lang w:eastAsia="cs-CZ"/>
              </w:rPr>
            </w:pPr>
            <w:r w:rsidRPr="00FF40FD">
              <w:rPr>
                <w:rFonts w:eastAsia="Times New Roman" w:cs="Times New Roman"/>
                <w:lang w:eastAsia="cs-CZ"/>
              </w:rPr>
              <w:t>15 609</w:t>
            </w:r>
          </w:p>
        </w:tc>
        <w:tc>
          <w:tcPr>
            <w:tcW w:w="626" w:type="pct"/>
            <w:tcBorders>
              <w:top w:val="single" w:sz="4" w:space="0" w:color="7F7F7F" w:themeColor="text1" w:themeTint="80"/>
              <w:bottom w:val="single" w:sz="8" w:space="0" w:color="7F7F7F" w:themeColor="text1" w:themeTint="80"/>
            </w:tcBorders>
            <w:shd w:val="clear" w:color="auto" w:fill="auto"/>
          </w:tcPr>
          <w:p w14:paraId="23952654" w14:textId="77777777" w:rsidR="00812245" w:rsidRPr="00FF40FD" w:rsidRDefault="00812245" w:rsidP="00D07D18">
            <w:pPr>
              <w:jc w:val="right"/>
              <w:rPr>
                <w:rFonts w:eastAsia="Times New Roman" w:cs="Times New Roman"/>
                <w:b/>
                <w:bCs/>
                <w:lang w:eastAsia="cs-CZ"/>
              </w:rPr>
            </w:pPr>
            <w:r w:rsidRPr="00FF40FD">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2BEC2960" w14:textId="682E084A" w:rsidR="00812245" w:rsidRPr="00FF40FD" w:rsidRDefault="00FF40FD" w:rsidP="00D07D18">
            <w:pPr>
              <w:jc w:val="right"/>
              <w:rPr>
                <w:rFonts w:eastAsia="Times New Roman" w:cs="Times New Roman"/>
                <w:b/>
                <w:bCs/>
                <w:lang w:eastAsia="cs-CZ"/>
              </w:rPr>
            </w:pPr>
            <w:r w:rsidRPr="00FF40FD">
              <w:rPr>
                <w:rFonts w:eastAsia="Times New Roman" w:cs="Times New Roman"/>
                <w:lang w:eastAsia="cs-CZ"/>
              </w:rPr>
              <w:t>10 205</w:t>
            </w:r>
          </w:p>
        </w:tc>
        <w:tc>
          <w:tcPr>
            <w:tcW w:w="622" w:type="pct"/>
            <w:tcBorders>
              <w:top w:val="single" w:sz="4" w:space="0" w:color="7F7F7F" w:themeColor="text1" w:themeTint="80"/>
              <w:bottom w:val="single" w:sz="8" w:space="0" w:color="7F7F7F" w:themeColor="text1" w:themeTint="80"/>
            </w:tcBorders>
            <w:shd w:val="clear" w:color="auto" w:fill="auto"/>
          </w:tcPr>
          <w:p w14:paraId="1DFC1EF2" w14:textId="77777777" w:rsidR="00812245" w:rsidRPr="00FF40FD" w:rsidRDefault="00812245" w:rsidP="00D07D18">
            <w:pPr>
              <w:jc w:val="right"/>
              <w:rPr>
                <w:rFonts w:eastAsia="Times New Roman" w:cs="Times New Roman"/>
                <w:b/>
                <w:bCs/>
                <w:lang w:eastAsia="cs-CZ"/>
              </w:rPr>
            </w:pPr>
            <w:r w:rsidRPr="00FF40FD">
              <w:rPr>
                <w:rFonts w:eastAsia="Times New Roman" w:cs="Times New Roman"/>
                <w:lang w:eastAsia="cs-CZ"/>
              </w:rPr>
              <w:t>0</w:t>
            </w:r>
          </w:p>
        </w:tc>
      </w:tr>
      <w:tr w:rsidR="00FF40FD" w:rsidRPr="00FF40FD" w14:paraId="5297FC85" w14:textId="77777777" w:rsidTr="00D07D18">
        <w:tc>
          <w:tcPr>
            <w:tcW w:w="1252" w:type="pct"/>
            <w:tcBorders>
              <w:top w:val="single" w:sz="8" w:space="0" w:color="7F7F7F" w:themeColor="text1" w:themeTint="80"/>
              <w:bottom w:val="single" w:sz="8" w:space="0" w:color="7F7F7F" w:themeColor="text1" w:themeTint="80"/>
            </w:tcBorders>
            <w:shd w:val="clear" w:color="auto" w:fill="auto"/>
          </w:tcPr>
          <w:p w14:paraId="500AD29A" w14:textId="77777777" w:rsidR="00FF40FD" w:rsidRPr="00FF40FD" w:rsidRDefault="00FF40FD" w:rsidP="00FF40FD">
            <w:pPr>
              <w:jc w:val="center"/>
              <w:rPr>
                <w:rFonts w:eastAsia="Times New Roman" w:cs="Times New Roman"/>
                <w:b/>
                <w:bCs/>
                <w:lang w:eastAsia="cs-CZ"/>
              </w:rPr>
            </w:pPr>
            <w:r w:rsidRPr="00FF40FD">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14:paraId="4A3E44AC" w14:textId="500A70C0" w:rsidR="00FF40FD" w:rsidRPr="00FF40FD" w:rsidRDefault="00FF40FD" w:rsidP="00FF40FD">
            <w:pPr>
              <w:jc w:val="right"/>
              <w:rPr>
                <w:rFonts w:eastAsia="Times New Roman" w:cs="Times New Roman"/>
                <w:b/>
                <w:bCs/>
                <w:lang w:eastAsia="cs-CZ"/>
              </w:rPr>
            </w:pPr>
            <w:r w:rsidRPr="00FF40FD">
              <w:rPr>
                <w:rFonts w:eastAsia="Times New Roman" w:cs="Times New Roman"/>
                <w:b/>
                <w:bCs/>
                <w:lang w:eastAsia="cs-CZ"/>
              </w:rPr>
              <w:t>4 727</w:t>
            </w:r>
          </w:p>
        </w:tc>
        <w:tc>
          <w:tcPr>
            <w:tcW w:w="625" w:type="pct"/>
            <w:tcBorders>
              <w:top w:val="single" w:sz="8" w:space="0" w:color="7F7F7F" w:themeColor="text1" w:themeTint="80"/>
              <w:bottom w:val="single" w:sz="8" w:space="0" w:color="7F7F7F" w:themeColor="text1" w:themeTint="80"/>
            </w:tcBorders>
            <w:shd w:val="clear" w:color="auto" w:fill="auto"/>
          </w:tcPr>
          <w:p w14:paraId="51DD5572" w14:textId="429612D9" w:rsidR="00FF40FD" w:rsidRPr="00FF40FD" w:rsidRDefault="00FF40FD" w:rsidP="00FF40FD">
            <w:pPr>
              <w:jc w:val="right"/>
              <w:rPr>
                <w:rFonts w:eastAsia="Times New Roman" w:cs="Times New Roman"/>
                <w:b/>
                <w:bCs/>
                <w:lang w:eastAsia="cs-CZ"/>
              </w:rPr>
            </w:pPr>
            <w:r w:rsidRPr="00FF40FD">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3323E3E3" w14:textId="38017CAA" w:rsidR="00FF40FD" w:rsidRPr="00FF40FD" w:rsidRDefault="00FF40FD" w:rsidP="00FF40FD">
            <w:pPr>
              <w:jc w:val="right"/>
              <w:rPr>
                <w:rFonts w:eastAsia="Times New Roman" w:cs="Times New Roman"/>
                <w:b/>
                <w:bCs/>
                <w:lang w:eastAsia="cs-CZ"/>
              </w:rPr>
            </w:pPr>
            <w:r w:rsidRPr="00FF40FD">
              <w:rPr>
                <w:rFonts w:eastAsia="Times New Roman" w:cs="Times New Roman"/>
                <w:b/>
                <w:bCs/>
                <w:lang w:eastAsia="cs-CZ"/>
              </w:rPr>
              <w:t>15 609</w:t>
            </w:r>
          </w:p>
        </w:tc>
        <w:tc>
          <w:tcPr>
            <w:tcW w:w="626" w:type="pct"/>
            <w:tcBorders>
              <w:top w:val="single" w:sz="8" w:space="0" w:color="7F7F7F" w:themeColor="text1" w:themeTint="80"/>
              <w:bottom w:val="single" w:sz="8" w:space="0" w:color="7F7F7F" w:themeColor="text1" w:themeTint="80"/>
            </w:tcBorders>
            <w:shd w:val="clear" w:color="auto" w:fill="auto"/>
          </w:tcPr>
          <w:p w14:paraId="02EA3D68" w14:textId="3E999C6F" w:rsidR="00FF40FD" w:rsidRPr="00FF40FD" w:rsidRDefault="00FF40FD" w:rsidP="00FF40FD">
            <w:pPr>
              <w:jc w:val="right"/>
              <w:rPr>
                <w:rFonts w:eastAsia="Times New Roman" w:cs="Times New Roman"/>
                <w:b/>
                <w:bCs/>
                <w:lang w:eastAsia="cs-CZ"/>
              </w:rPr>
            </w:pPr>
            <w:r w:rsidRPr="00FF40FD">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6F426C43" w14:textId="48DBBAB6" w:rsidR="00FF40FD" w:rsidRPr="00FF40FD" w:rsidRDefault="00FF40FD" w:rsidP="00FF40FD">
            <w:pPr>
              <w:jc w:val="right"/>
              <w:rPr>
                <w:rFonts w:eastAsia="Times New Roman" w:cs="Times New Roman"/>
                <w:b/>
                <w:bCs/>
                <w:lang w:eastAsia="cs-CZ"/>
              </w:rPr>
            </w:pPr>
            <w:r w:rsidRPr="00FF40FD">
              <w:rPr>
                <w:rFonts w:eastAsia="Times New Roman" w:cs="Times New Roman"/>
                <w:b/>
                <w:bCs/>
                <w:lang w:eastAsia="cs-CZ"/>
              </w:rPr>
              <w:t>10 205</w:t>
            </w:r>
          </w:p>
        </w:tc>
        <w:tc>
          <w:tcPr>
            <w:tcW w:w="622" w:type="pct"/>
            <w:tcBorders>
              <w:top w:val="single" w:sz="8" w:space="0" w:color="7F7F7F" w:themeColor="text1" w:themeTint="80"/>
              <w:bottom w:val="single" w:sz="8" w:space="0" w:color="7F7F7F" w:themeColor="text1" w:themeTint="80"/>
            </w:tcBorders>
            <w:shd w:val="clear" w:color="auto" w:fill="auto"/>
          </w:tcPr>
          <w:p w14:paraId="624029FF" w14:textId="77777777" w:rsidR="00FF40FD" w:rsidRPr="00FF40FD" w:rsidRDefault="00FF40FD" w:rsidP="00FF40FD">
            <w:pPr>
              <w:jc w:val="right"/>
              <w:rPr>
                <w:rFonts w:eastAsia="Times New Roman" w:cs="Times New Roman"/>
                <w:b/>
                <w:bCs/>
                <w:lang w:eastAsia="cs-CZ"/>
              </w:rPr>
            </w:pPr>
            <w:r w:rsidRPr="00FF40FD">
              <w:rPr>
                <w:rFonts w:eastAsia="Times New Roman" w:cs="Times New Roman"/>
                <w:b/>
                <w:bCs/>
                <w:lang w:eastAsia="cs-CZ"/>
              </w:rPr>
              <w:t>0</w:t>
            </w:r>
          </w:p>
        </w:tc>
      </w:tr>
    </w:tbl>
    <w:p w14:paraId="2BBF4ED6" w14:textId="77777777" w:rsidR="00812245" w:rsidRPr="00357392" w:rsidRDefault="00812245" w:rsidP="00812245">
      <w:pPr>
        <w:pStyle w:val="Nadpis8"/>
        <w:spacing w:before="120"/>
      </w:pPr>
      <w:r w:rsidRPr="00357392">
        <w:t>Číslo a název programu:</w:t>
      </w:r>
    </w:p>
    <w:p w14:paraId="65403D62" w14:textId="6CA58023" w:rsidR="00812245" w:rsidRPr="00357392" w:rsidRDefault="00812245" w:rsidP="00812245">
      <w:pPr>
        <w:pStyle w:val="Odstavecseseznamem"/>
        <w:numPr>
          <w:ilvl w:val="0"/>
          <w:numId w:val="9"/>
        </w:numPr>
        <w:tabs>
          <w:tab w:val="num" w:pos="567"/>
        </w:tabs>
        <w:spacing w:before="120" w:after="120"/>
        <w:ind w:left="568" w:hanging="284"/>
      </w:pPr>
      <w:r w:rsidRPr="00357392">
        <w:t xml:space="preserve">127 06 „Rozvoj a obnova materiálně-technické základny systému řízení </w:t>
      </w:r>
      <w:r w:rsidR="00EF1FED" w:rsidRPr="00357392">
        <w:t>MD – PO</w:t>
      </w:r>
      <w:r w:rsidRPr="00357392">
        <w:t xml:space="preserve">, SFDI“ </w:t>
      </w:r>
    </w:p>
    <w:p w14:paraId="6C7FCA0A" w14:textId="23117392" w:rsidR="00812245" w:rsidRPr="00357392" w:rsidRDefault="00812245" w:rsidP="00812245">
      <w:pPr>
        <w:pStyle w:val="Odstavecseseznamem"/>
        <w:numPr>
          <w:ilvl w:val="0"/>
          <w:numId w:val="9"/>
        </w:numPr>
        <w:tabs>
          <w:tab w:val="num" w:pos="567"/>
        </w:tabs>
        <w:spacing w:before="120" w:after="120"/>
        <w:ind w:left="568" w:hanging="284"/>
      </w:pPr>
      <w:r w:rsidRPr="00357392">
        <w:t xml:space="preserve">127 08 „Rozvoj a obnova materiálně-technické základny systému řízení </w:t>
      </w:r>
      <w:r w:rsidR="00EF1FED" w:rsidRPr="00357392">
        <w:t>MD – PO</w:t>
      </w:r>
      <w:r w:rsidRPr="00357392">
        <w:t>“</w:t>
      </w:r>
    </w:p>
    <w:p w14:paraId="13DFCE3A" w14:textId="79D47AAB" w:rsidR="00812245" w:rsidRPr="00357392" w:rsidRDefault="00812245" w:rsidP="0060543D">
      <w:pPr>
        <w:pStyle w:val="Styl1"/>
        <w:rPr>
          <w:color w:val="FF0000"/>
        </w:rPr>
      </w:pPr>
      <w:r w:rsidRPr="00357392">
        <w:t xml:space="preserve">V rámci programu </w:t>
      </w:r>
      <w:r w:rsidRPr="00357392">
        <w:rPr>
          <w:b/>
        </w:rPr>
        <w:t xml:space="preserve">127 08 „Rozvoj a obnova materiálně-technické základny systému řízení MD-PO“ </w:t>
      </w:r>
      <w:r w:rsidRPr="00357392">
        <w:t>jsou na rok 202</w:t>
      </w:r>
      <w:r w:rsidR="00AC49D6" w:rsidRPr="00357392">
        <w:t>5</w:t>
      </w:r>
      <w:r w:rsidRPr="00357392">
        <w:t xml:space="preserve"> nárokovány pro Centrum služeb pro silniční dopravu prostředky ve výši </w:t>
      </w:r>
      <w:r w:rsidR="00357392" w:rsidRPr="00357392">
        <w:rPr>
          <w:b/>
        </w:rPr>
        <w:t>10 205</w:t>
      </w:r>
      <w:r w:rsidRPr="00357392">
        <w:rPr>
          <w:b/>
        </w:rPr>
        <w:t xml:space="preserve"> tis. Kč</w:t>
      </w:r>
      <w:r w:rsidRPr="00357392">
        <w:t>. Prostředky budou použity na obnovu speciálních vozidel pro zajištění činnosti mobilních expertních jednotek.</w:t>
      </w:r>
    </w:p>
    <w:p w14:paraId="3567518F" w14:textId="57207971" w:rsidR="00BB459E" w:rsidRPr="00820E52" w:rsidRDefault="00BB459E" w:rsidP="00812245">
      <w:pPr>
        <w:pStyle w:val="Nadpis3"/>
        <w:spacing w:before="200"/>
      </w:pPr>
      <w:bookmarkStart w:id="238" w:name="_Toc179964109"/>
      <w:r w:rsidRPr="00820E52">
        <w:lastRenderedPageBreak/>
        <w:t>Podnikatelské subjekty</w:t>
      </w:r>
      <w:bookmarkEnd w:id="234"/>
      <w:bookmarkEnd w:id="235"/>
      <w:bookmarkEnd w:id="236"/>
      <w:bookmarkEnd w:id="237"/>
      <w:bookmarkEnd w:id="238"/>
    </w:p>
    <w:p w14:paraId="5B26F9E2" w14:textId="3F919DC6" w:rsidR="00B6282D" w:rsidRPr="00D070B8" w:rsidRDefault="00820E52" w:rsidP="00B6282D">
      <w:pPr>
        <w:pStyle w:val="Styl1"/>
        <w:spacing w:after="200"/>
        <w:rPr>
          <w:highlight w:val="yellow"/>
        </w:rPr>
      </w:pPr>
      <w:r w:rsidRPr="00DB0D83">
        <w:t>Výdaje vedené v EDS/SMVS určené pro podnikatelské subjekty nejsou pro rok 2025 rozpočtovány</w:t>
      </w:r>
      <w:r w:rsidR="00B6282D" w:rsidRPr="00820E52">
        <w:t>.</w:t>
      </w:r>
      <w:r w:rsidRPr="00820E52">
        <w:tab/>
      </w:r>
    </w:p>
    <w:p w14:paraId="4FF1A339" w14:textId="77777777" w:rsidR="00941FD5" w:rsidRPr="00820E52" w:rsidRDefault="00941FD5" w:rsidP="00941FD5">
      <w:pPr>
        <w:pStyle w:val="Styl1"/>
        <w:spacing w:after="200"/>
      </w:pPr>
      <w:r w:rsidRPr="00820E52">
        <w:t xml:space="preserve">Druhové členění vykazuje následující tabulka.                                                                                                                                          </w:t>
      </w:r>
    </w:p>
    <w:p w14:paraId="040FA5AA" w14:textId="7CCACEA2" w:rsidR="00941FD5" w:rsidRPr="00820E52" w:rsidRDefault="00941FD5" w:rsidP="00941FD5">
      <w:pPr>
        <w:pStyle w:val="Titulek"/>
        <w:rPr>
          <w:noProof/>
        </w:rPr>
      </w:pPr>
      <w:r w:rsidRPr="00820E52">
        <w:t xml:space="preserve">Tabulka č. </w:t>
      </w:r>
      <w:r w:rsidRPr="00820E52">
        <w:rPr>
          <w:noProof/>
        </w:rPr>
        <w:fldChar w:fldCharType="begin"/>
      </w:r>
      <w:r w:rsidRPr="00820E52">
        <w:rPr>
          <w:noProof/>
        </w:rPr>
        <w:instrText xml:space="preserve"> SEQ Tabulka \* ARABIC </w:instrText>
      </w:r>
      <w:r w:rsidRPr="00820E52">
        <w:rPr>
          <w:noProof/>
        </w:rPr>
        <w:fldChar w:fldCharType="separate"/>
      </w:r>
      <w:r w:rsidR="005B3B1D" w:rsidRPr="00820E52">
        <w:rPr>
          <w:noProof/>
        </w:rPr>
        <w:t>46</w:t>
      </w:r>
      <w:r w:rsidRPr="00820E52">
        <w:rPr>
          <w:noProof/>
        </w:rPr>
        <w:fldChar w:fldCharType="end"/>
      </w:r>
      <w:r w:rsidRPr="00820E52">
        <w:rPr>
          <w:noProof/>
        </w:rPr>
        <w:t xml:space="preserve"> Výdaje podnikatelských subjektů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34"/>
        <w:gridCol w:w="1367"/>
        <w:gridCol w:w="1367"/>
        <w:gridCol w:w="1428"/>
        <w:gridCol w:w="1055"/>
      </w:tblGrid>
      <w:tr w:rsidR="00941FD5" w:rsidRPr="00820E52" w14:paraId="3EAD7BF3" w14:textId="77777777" w:rsidTr="00D07D18">
        <w:trPr>
          <w:trHeight w:val="1060"/>
        </w:trPr>
        <w:tc>
          <w:tcPr>
            <w:tcW w:w="211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7532A12"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Ukazatel</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81E108"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Skutečnost</w:t>
            </w:r>
          </w:p>
          <w:p w14:paraId="1DA2F0B6" w14:textId="766D0DBA"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202</w:t>
            </w:r>
            <w:r w:rsidR="00820E52" w:rsidRPr="00820E52">
              <w:rPr>
                <w:rFonts w:eastAsia="Times New Roman" w:cs="Times New Roman"/>
                <w:b/>
                <w:lang w:eastAsia="cs-CZ"/>
              </w:rPr>
              <w:t>3</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F932E3"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Schválený rozpočet</w:t>
            </w:r>
          </w:p>
          <w:p w14:paraId="0921EDDC" w14:textId="3B0DD8FC"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202</w:t>
            </w:r>
            <w:r w:rsidR="00820E52" w:rsidRPr="00820E52">
              <w:rPr>
                <w:rFonts w:eastAsia="Times New Roman" w:cs="Times New Roman"/>
                <w:b/>
                <w:lang w:eastAsia="cs-CZ"/>
              </w:rPr>
              <w:t>4</w:t>
            </w:r>
          </w:p>
        </w:tc>
        <w:tc>
          <w:tcPr>
            <w:tcW w:w="78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5AEB7A8"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Návrh</w:t>
            </w:r>
          </w:p>
          <w:p w14:paraId="4AC8A4B6"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rozpočtu</w:t>
            </w:r>
          </w:p>
          <w:p w14:paraId="0E63BD8D" w14:textId="3E59E62E"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202</w:t>
            </w:r>
            <w:r w:rsidR="00820E52" w:rsidRPr="00820E52">
              <w:rPr>
                <w:rFonts w:eastAsia="Times New Roman" w:cs="Times New Roman"/>
                <w:b/>
                <w:lang w:eastAsia="cs-CZ"/>
              </w:rPr>
              <w:t>5</w:t>
            </w:r>
          </w:p>
        </w:tc>
        <w:tc>
          <w:tcPr>
            <w:tcW w:w="5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36B7F20"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Index</w:t>
            </w:r>
          </w:p>
          <w:p w14:paraId="6DF8AB3D" w14:textId="6E876CE0"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202</w:t>
            </w:r>
            <w:r w:rsidR="00820E52" w:rsidRPr="00820E52">
              <w:rPr>
                <w:rFonts w:eastAsia="Times New Roman" w:cs="Times New Roman"/>
                <w:b/>
                <w:lang w:eastAsia="cs-CZ"/>
              </w:rPr>
              <w:t>5</w:t>
            </w:r>
            <w:r w:rsidRPr="00820E52">
              <w:rPr>
                <w:rFonts w:eastAsia="Times New Roman" w:cs="Times New Roman"/>
                <w:b/>
                <w:lang w:eastAsia="cs-CZ"/>
              </w:rPr>
              <w:t>/</w:t>
            </w:r>
            <w:r w:rsidRPr="00820E52">
              <w:rPr>
                <w:rFonts w:eastAsia="Times New Roman" w:cs="Times New Roman"/>
                <w:b/>
                <w:lang w:eastAsia="cs-CZ"/>
              </w:rPr>
              <w:br/>
              <w:t>202</w:t>
            </w:r>
            <w:r w:rsidR="00820E52" w:rsidRPr="00820E52">
              <w:rPr>
                <w:rFonts w:eastAsia="Times New Roman" w:cs="Times New Roman"/>
                <w:b/>
                <w:lang w:eastAsia="cs-CZ"/>
              </w:rPr>
              <w:t>4</w:t>
            </w:r>
          </w:p>
          <w:p w14:paraId="77CE4156"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(v %)</w:t>
            </w:r>
          </w:p>
        </w:tc>
      </w:tr>
      <w:tr w:rsidR="00941FD5" w:rsidRPr="00820E52" w14:paraId="45E46D04" w14:textId="77777777" w:rsidTr="00D07D18">
        <w:tc>
          <w:tcPr>
            <w:tcW w:w="2118" w:type="pct"/>
            <w:tcBorders>
              <w:top w:val="single" w:sz="4" w:space="0" w:color="7F7F7F" w:themeColor="text1" w:themeTint="80"/>
              <w:bottom w:val="single" w:sz="8" w:space="0" w:color="7F7F7F" w:themeColor="text1" w:themeTint="80"/>
            </w:tcBorders>
            <w:shd w:val="clear" w:color="auto" w:fill="auto"/>
          </w:tcPr>
          <w:p w14:paraId="2078EEEC" w14:textId="77777777" w:rsidR="00941FD5" w:rsidRPr="00820E52" w:rsidRDefault="00941FD5" w:rsidP="00D07D18">
            <w:pPr>
              <w:jc w:val="center"/>
              <w:rPr>
                <w:rFonts w:eastAsia="Times New Roman" w:cs="Times New Roman"/>
                <w:lang w:eastAsia="cs-CZ"/>
              </w:rPr>
            </w:pPr>
            <w:r w:rsidRPr="00820E52">
              <w:rPr>
                <w:rFonts w:eastAsia="Times New Roman" w:cs="Times New Roman"/>
                <w:lang w:eastAsia="cs-CZ"/>
              </w:rPr>
              <w:t>a</w:t>
            </w:r>
          </w:p>
        </w:tc>
        <w:tc>
          <w:tcPr>
            <w:tcW w:w="755" w:type="pct"/>
            <w:tcBorders>
              <w:top w:val="single" w:sz="4" w:space="0" w:color="7F7F7F" w:themeColor="text1" w:themeTint="80"/>
              <w:bottom w:val="single" w:sz="8" w:space="0" w:color="7F7F7F" w:themeColor="text1" w:themeTint="80"/>
            </w:tcBorders>
            <w:shd w:val="clear" w:color="auto" w:fill="auto"/>
          </w:tcPr>
          <w:p w14:paraId="5A729ED0" w14:textId="77777777" w:rsidR="00941FD5" w:rsidRPr="00820E52" w:rsidRDefault="00941FD5" w:rsidP="00D07D18">
            <w:pPr>
              <w:jc w:val="center"/>
              <w:rPr>
                <w:rFonts w:eastAsia="Times New Roman" w:cs="Times New Roman"/>
                <w:lang w:eastAsia="cs-CZ"/>
              </w:rPr>
            </w:pPr>
            <w:r w:rsidRPr="00820E52">
              <w:rPr>
                <w:rFonts w:eastAsia="Times New Roman" w:cs="Times New Roman"/>
                <w:lang w:eastAsia="cs-CZ"/>
              </w:rPr>
              <w:t>1</w:t>
            </w:r>
          </w:p>
        </w:tc>
        <w:tc>
          <w:tcPr>
            <w:tcW w:w="755" w:type="pct"/>
            <w:tcBorders>
              <w:top w:val="single" w:sz="4" w:space="0" w:color="7F7F7F" w:themeColor="text1" w:themeTint="80"/>
              <w:bottom w:val="single" w:sz="8" w:space="0" w:color="7F7F7F" w:themeColor="text1" w:themeTint="80"/>
            </w:tcBorders>
            <w:shd w:val="clear" w:color="auto" w:fill="auto"/>
          </w:tcPr>
          <w:p w14:paraId="7A436B8C" w14:textId="77777777" w:rsidR="00941FD5" w:rsidRPr="00820E52" w:rsidRDefault="00941FD5" w:rsidP="00D07D18">
            <w:pPr>
              <w:jc w:val="center"/>
              <w:rPr>
                <w:rFonts w:eastAsia="Times New Roman" w:cs="Times New Roman"/>
                <w:lang w:eastAsia="cs-CZ"/>
              </w:rPr>
            </w:pPr>
            <w:r w:rsidRPr="00820E52">
              <w:rPr>
                <w:rFonts w:eastAsia="Times New Roman" w:cs="Times New Roman"/>
                <w:lang w:eastAsia="cs-CZ"/>
              </w:rPr>
              <w:t>2</w:t>
            </w:r>
          </w:p>
        </w:tc>
        <w:tc>
          <w:tcPr>
            <w:tcW w:w="789" w:type="pct"/>
            <w:tcBorders>
              <w:top w:val="single" w:sz="4" w:space="0" w:color="7F7F7F" w:themeColor="text1" w:themeTint="80"/>
              <w:bottom w:val="single" w:sz="8" w:space="0" w:color="7F7F7F" w:themeColor="text1" w:themeTint="80"/>
            </w:tcBorders>
            <w:shd w:val="clear" w:color="auto" w:fill="auto"/>
          </w:tcPr>
          <w:p w14:paraId="0781DFD6" w14:textId="77777777" w:rsidR="00941FD5" w:rsidRPr="00820E52" w:rsidRDefault="00941FD5" w:rsidP="00D07D18">
            <w:pPr>
              <w:jc w:val="center"/>
              <w:rPr>
                <w:rFonts w:eastAsia="Times New Roman" w:cs="Times New Roman"/>
                <w:lang w:eastAsia="cs-CZ"/>
              </w:rPr>
            </w:pPr>
            <w:r w:rsidRPr="00820E52">
              <w:rPr>
                <w:rFonts w:eastAsia="Times New Roman" w:cs="Times New Roman"/>
                <w:lang w:eastAsia="cs-CZ"/>
              </w:rPr>
              <w:t>3</w:t>
            </w:r>
          </w:p>
        </w:tc>
        <w:tc>
          <w:tcPr>
            <w:tcW w:w="583" w:type="pct"/>
            <w:tcBorders>
              <w:top w:val="single" w:sz="4" w:space="0" w:color="7F7F7F" w:themeColor="text1" w:themeTint="80"/>
              <w:bottom w:val="single" w:sz="8" w:space="0" w:color="7F7F7F" w:themeColor="text1" w:themeTint="80"/>
            </w:tcBorders>
            <w:shd w:val="clear" w:color="auto" w:fill="auto"/>
          </w:tcPr>
          <w:p w14:paraId="1C74BF87" w14:textId="77777777" w:rsidR="00941FD5" w:rsidRPr="00820E52" w:rsidRDefault="00941FD5" w:rsidP="00D07D18">
            <w:pPr>
              <w:jc w:val="center"/>
              <w:rPr>
                <w:rFonts w:eastAsia="Times New Roman" w:cs="Times New Roman"/>
                <w:lang w:eastAsia="cs-CZ"/>
              </w:rPr>
            </w:pPr>
            <w:r w:rsidRPr="00820E52">
              <w:rPr>
                <w:rFonts w:eastAsia="Times New Roman" w:cs="Times New Roman"/>
                <w:lang w:eastAsia="cs-CZ"/>
              </w:rPr>
              <w:t>4</w:t>
            </w:r>
          </w:p>
        </w:tc>
      </w:tr>
      <w:tr w:rsidR="00820E52" w:rsidRPr="00820E52" w14:paraId="4A3386FF" w14:textId="77777777" w:rsidTr="00D07D18">
        <w:trPr>
          <w:trHeight w:val="342"/>
        </w:trPr>
        <w:tc>
          <w:tcPr>
            <w:tcW w:w="2118" w:type="pct"/>
            <w:tcBorders>
              <w:top w:val="single" w:sz="8" w:space="0" w:color="7F7F7F" w:themeColor="text1" w:themeTint="80"/>
              <w:bottom w:val="single" w:sz="8" w:space="0" w:color="7F7F7F" w:themeColor="text1" w:themeTint="80"/>
            </w:tcBorders>
            <w:shd w:val="clear" w:color="auto" w:fill="auto"/>
          </w:tcPr>
          <w:p w14:paraId="67371D86" w14:textId="77777777" w:rsidR="00820E52" w:rsidRPr="00820E52" w:rsidRDefault="00820E52" w:rsidP="00820E52">
            <w:pPr>
              <w:rPr>
                <w:rFonts w:eastAsia="Times New Roman" w:cs="Times New Roman"/>
                <w:lang w:eastAsia="cs-CZ"/>
              </w:rPr>
            </w:pPr>
            <w:r w:rsidRPr="00820E52">
              <w:rPr>
                <w:rFonts w:eastAsia="Times New Roman" w:cs="Times New Roman"/>
                <w:b/>
                <w:lang w:eastAsia="cs-CZ"/>
              </w:rPr>
              <w:t>Podnikatelské subjekty</w:t>
            </w:r>
            <w:r w:rsidRPr="00820E52">
              <w:rPr>
                <w:rFonts w:eastAsia="Times New Roman" w:cs="Times New Roman"/>
                <w:b/>
                <w:vertAlign w:val="superscript"/>
                <w:lang w:eastAsia="cs-CZ"/>
              </w:rPr>
              <w:t xml:space="preserve"> </w:t>
            </w:r>
            <w:r w:rsidRPr="00820E52">
              <w:rPr>
                <w:rFonts w:ascii="Times New Roman tučné" w:eastAsia="Times New Roman" w:hAnsi="Times New Roman tučné" w:cs="Times New Roman"/>
                <w:lang w:eastAsia="cs-CZ"/>
              </w:rPr>
              <w:t>(</w:t>
            </w:r>
            <w:r w:rsidRPr="00820E52">
              <w:rPr>
                <w:rFonts w:eastAsia="Times New Roman" w:cs="Times New Roman"/>
                <w:lang w:eastAsia="cs-CZ"/>
              </w:rPr>
              <w:t>v tom):</w:t>
            </w:r>
          </w:p>
        </w:tc>
        <w:tc>
          <w:tcPr>
            <w:tcW w:w="755" w:type="pct"/>
            <w:tcBorders>
              <w:top w:val="single" w:sz="8" w:space="0" w:color="7F7F7F" w:themeColor="text1" w:themeTint="80"/>
              <w:bottom w:val="single" w:sz="4" w:space="0" w:color="auto"/>
            </w:tcBorders>
            <w:shd w:val="clear" w:color="auto" w:fill="auto"/>
            <w:vAlign w:val="center"/>
          </w:tcPr>
          <w:p w14:paraId="48748D2C" w14:textId="209EE1B8" w:rsidR="00820E52" w:rsidRPr="00820E52" w:rsidRDefault="00820E52" w:rsidP="00820E52">
            <w:pPr>
              <w:jc w:val="right"/>
              <w:rPr>
                <w:rFonts w:eastAsia="Times New Roman" w:cs="Times New Roman"/>
                <w:b/>
                <w:lang w:eastAsia="cs-CZ"/>
              </w:rPr>
            </w:pPr>
            <w:r w:rsidRPr="00820E52">
              <w:rPr>
                <w:rFonts w:eastAsia="Times New Roman" w:cs="Times New Roman"/>
                <w:b/>
                <w:lang w:eastAsia="cs-CZ"/>
              </w:rPr>
              <w:t>978 544</w:t>
            </w:r>
          </w:p>
        </w:tc>
        <w:tc>
          <w:tcPr>
            <w:tcW w:w="755" w:type="pct"/>
            <w:tcBorders>
              <w:top w:val="single" w:sz="8" w:space="0" w:color="7F7F7F" w:themeColor="text1" w:themeTint="80"/>
              <w:bottom w:val="single" w:sz="4" w:space="0" w:color="auto"/>
            </w:tcBorders>
            <w:shd w:val="clear" w:color="auto" w:fill="auto"/>
            <w:vAlign w:val="center"/>
          </w:tcPr>
          <w:p w14:paraId="3A58B59D" w14:textId="3D3ED856" w:rsidR="00820E52" w:rsidRPr="00820E52" w:rsidRDefault="00820E52" w:rsidP="00820E52">
            <w:pPr>
              <w:jc w:val="right"/>
              <w:rPr>
                <w:rFonts w:eastAsia="Times New Roman" w:cs="Times New Roman"/>
                <w:b/>
                <w:lang w:eastAsia="cs-CZ"/>
              </w:rPr>
            </w:pPr>
            <w:r w:rsidRPr="00820E52">
              <w:rPr>
                <w:rFonts w:eastAsia="Times New Roman" w:cs="Times New Roman"/>
                <w:b/>
                <w:lang w:eastAsia="cs-CZ"/>
              </w:rPr>
              <w:t>0</w:t>
            </w:r>
          </w:p>
        </w:tc>
        <w:tc>
          <w:tcPr>
            <w:tcW w:w="789" w:type="pct"/>
            <w:tcBorders>
              <w:top w:val="single" w:sz="8" w:space="0" w:color="7F7F7F" w:themeColor="text1" w:themeTint="80"/>
              <w:bottom w:val="single" w:sz="4" w:space="0" w:color="auto"/>
            </w:tcBorders>
            <w:shd w:val="clear" w:color="auto" w:fill="auto"/>
            <w:vAlign w:val="center"/>
          </w:tcPr>
          <w:p w14:paraId="783C1FB3" w14:textId="6AF0A529" w:rsidR="00820E52" w:rsidRPr="00820E52" w:rsidRDefault="00820E52" w:rsidP="00820E52">
            <w:pPr>
              <w:jc w:val="right"/>
              <w:rPr>
                <w:rFonts w:eastAsia="Times New Roman" w:cs="Times New Roman"/>
                <w:b/>
                <w:lang w:eastAsia="cs-CZ"/>
              </w:rPr>
            </w:pPr>
            <w:r w:rsidRPr="00820E52">
              <w:rPr>
                <w:rFonts w:eastAsia="Times New Roman" w:cs="Times New Roman"/>
                <w:b/>
                <w:lang w:eastAsia="cs-CZ"/>
              </w:rPr>
              <w:t>0</w:t>
            </w:r>
          </w:p>
        </w:tc>
        <w:tc>
          <w:tcPr>
            <w:tcW w:w="583" w:type="pct"/>
            <w:tcBorders>
              <w:top w:val="single" w:sz="8" w:space="0" w:color="7F7F7F" w:themeColor="text1" w:themeTint="80"/>
              <w:bottom w:val="single" w:sz="4" w:space="0" w:color="auto"/>
            </w:tcBorders>
            <w:shd w:val="clear" w:color="auto" w:fill="auto"/>
            <w:vAlign w:val="center"/>
          </w:tcPr>
          <w:p w14:paraId="359903CC" w14:textId="7F0A0B17" w:rsidR="00820E52" w:rsidRPr="00820E52" w:rsidRDefault="00820E52" w:rsidP="00820E52">
            <w:pPr>
              <w:jc w:val="right"/>
              <w:rPr>
                <w:rFonts w:eastAsia="Times New Roman" w:cs="Times New Roman"/>
                <w:b/>
                <w:lang w:eastAsia="cs-CZ"/>
              </w:rPr>
            </w:pPr>
            <w:r w:rsidRPr="00820E52">
              <w:rPr>
                <w:rFonts w:eastAsia="Times New Roman" w:cs="Times New Roman"/>
                <w:b/>
                <w:lang w:eastAsia="cs-CZ"/>
              </w:rPr>
              <w:t>x</w:t>
            </w:r>
          </w:p>
        </w:tc>
      </w:tr>
      <w:tr w:rsidR="00820E52" w:rsidRPr="00820E52" w14:paraId="67DFCA51" w14:textId="77777777" w:rsidTr="00D07D18">
        <w:tc>
          <w:tcPr>
            <w:tcW w:w="2118" w:type="pct"/>
            <w:tcBorders>
              <w:top w:val="single" w:sz="8" w:space="0" w:color="7F7F7F" w:themeColor="text1" w:themeTint="80"/>
              <w:bottom w:val="nil"/>
            </w:tcBorders>
            <w:shd w:val="clear" w:color="auto" w:fill="auto"/>
          </w:tcPr>
          <w:p w14:paraId="35CEAEF7" w14:textId="77777777" w:rsidR="00820E52" w:rsidRPr="00820E52" w:rsidRDefault="00820E52" w:rsidP="00820E52">
            <w:pPr>
              <w:rPr>
                <w:rFonts w:eastAsia="Times New Roman" w:cs="Times New Roman"/>
                <w:lang w:eastAsia="cs-CZ"/>
              </w:rPr>
            </w:pPr>
            <w:r w:rsidRPr="00820E52">
              <w:rPr>
                <w:rFonts w:eastAsia="Times New Roman" w:cs="Times New Roman"/>
                <w:lang w:eastAsia="cs-CZ"/>
              </w:rPr>
              <w:t>běžné výdaje v tom:</w:t>
            </w:r>
          </w:p>
        </w:tc>
        <w:tc>
          <w:tcPr>
            <w:tcW w:w="755" w:type="pct"/>
            <w:tcBorders>
              <w:top w:val="single" w:sz="4" w:space="0" w:color="auto"/>
              <w:bottom w:val="nil"/>
            </w:tcBorders>
            <w:shd w:val="clear" w:color="auto" w:fill="auto"/>
            <w:vAlign w:val="center"/>
          </w:tcPr>
          <w:p w14:paraId="551B1AC3" w14:textId="40599D7E" w:rsidR="00820E52" w:rsidRPr="00820E52" w:rsidRDefault="00820E52" w:rsidP="00820E52">
            <w:pPr>
              <w:jc w:val="right"/>
              <w:rPr>
                <w:rFonts w:eastAsia="Times New Roman" w:cs="Times New Roman"/>
                <w:vertAlign w:val="superscript"/>
                <w:lang w:eastAsia="cs-CZ"/>
              </w:rPr>
            </w:pPr>
            <w:r w:rsidRPr="00820E52">
              <w:rPr>
                <w:rFonts w:eastAsia="Times New Roman" w:cs="Times New Roman"/>
                <w:lang w:eastAsia="cs-CZ"/>
              </w:rPr>
              <w:t>4 180</w:t>
            </w:r>
          </w:p>
        </w:tc>
        <w:tc>
          <w:tcPr>
            <w:tcW w:w="755" w:type="pct"/>
            <w:tcBorders>
              <w:top w:val="single" w:sz="4" w:space="0" w:color="auto"/>
              <w:bottom w:val="nil"/>
            </w:tcBorders>
            <w:shd w:val="clear" w:color="auto" w:fill="auto"/>
            <w:vAlign w:val="center"/>
          </w:tcPr>
          <w:p w14:paraId="0BDE8D4D" w14:textId="7A5CD31D"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 xml:space="preserve">0 </w:t>
            </w:r>
          </w:p>
        </w:tc>
        <w:tc>
          <w:tcPr>
            <w:tcW w:w="789" w:type="pct"/>
            <w:tcBorders>
              <w:top w:val="single" w:sz="4" w:space="0" w:color="auto"/>
              <w:bottom w:val="nil"/>
            </w:tcBorders>
            <w:shd w:val="clear" w:color="auto" w:fill="auto"/>
            <w:vAlign w:val="center"/>
          </w:tcPr>
          <w:p w14:paraId="73DF6A02" w14:textId="0A90AE73"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 xml:space="preserve">0 </w:t>
            </w:r>
          </w:p>
        </w:tc>
        <w:tc>
          <w:tcPr>
            <w:tcW w:w="583" w:type="pct"/>
            <w:tcBorders>
              <w:top w:val="single" w:sz="4" w:space="0" w:color="auto"/>
              <w:bottom w:val="nil"/>
            </w:tcBorders>
            <w:shd w:val="clear" w:color="auto" w:fill="auto"/>
            <w:vAlign w:val="center"/>
          </w:tcPr>
          <w:p w14:paraId="5CF2C0EA" w14:textId="53E6A723"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x</w:t>
            </w:r>
          </w:p>
        </w:tc>
      </w:tr>
      <w:tr w:rsidR="00820E52" w:rsidRPr="00820E52" w14:paraId="284353DA" w14:textId="77777777" w:rsidTr="00D07D18">
        <w:tc>
          <w:tcPr>
            <w:tcW w:w="2118" w:type="pct"/>
            <w:tcBorders>
              <w:top w:val="nil"/>
              <w:bottom w:val="nil"/>
              <w:right w:val="single" w:sz="4" w:space="0" w:color="7F7F7F" w:themeColor="text1" w:themeTint="80"/>
            </w:tcBorders>
            <w:shd w:val="clear" w:color="auto" w:fill="auto"/>
          </w:tcPr>
          <w:p w14:paraId="0F616231" w14:textId="77777777" w:rsidR="00820E52" w:rsidRPr="00820E52" w:rsidRDefault="00820E52" w:rsidP="00820E52">
            <w:pPr>
              <w:rPr>
                <w:rFonts w:eastAsia="Times New Roman" w:cs="Times New Roman"/>
                <w:i/>
                <w:lang w:eastAsia="cs-CZ"/>
              </w:rPr>
            </w:pPr>
            <w:r w:rsidRPr="00820E52">
              <w:rPr>
                <w:rFonts w:eastAsia="Times New Roman" w:cs="Times New Roman"/>
                <w:i/>
                <w:lang w:eastAsia="cs-CZ"/>
              </w:rPr>
              <w:t xml:space="preserve">      prostředky SR</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2600A055" w14:textId="669702FE"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4 146</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0113AF01" w14:textId="1495A458"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 xml:space="preserve">0 </w:t>
            </w:r>
          </w:p>
        </w:tc>
        <w:tc>
          <w:tcPr>
            <w:tcW w:w="789"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6B2D6FD5" w14:textId="4DAEC0B8"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 xml:space="preserve">0 </w:t>
            </w:r>
          </w:p>
        </w:tc>
        <w:tc>
          <w:tcPr>
            <w:tcW w:w="583" w:type="pct"/>
            <w:tcBorders>
              <w:top w:val="nil"/>
              <w:left w:val="single" w:sz="2" w:space="0" w:color="7F7F7F" w:themeColor="text1" w:themeTint="80"/>
              <w:bottom w:val="nil"/>
            </w:tcBorders>
            <w:shd w:val="clear" w:color="auto" w:fill="auto"/>
            <w:vAlign w:val="center"/>
          </w:tcPr>
          <w:p w14:paraId="4928409B" w14:textId="3C657524"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x</w:t>
            </w:r>
          </w:p>
        </w:tc>
      </w:tr>
      <w:tr w:rsidR="00820E52" w:rsidRPr="00820E52" w14:paraId="62301F56" w14:textId="77777777" w:rsidTr="004E049D">
        <w:tc>
          <w:tcPr>
            <w:tcW w:w="2118" w:type="pct"/>
            <w:tcBorders>
              <w:top w:val="nil"/>
              <w:bottom w:val="single" w:sz="4" w:space="0" w:color="auto"/>
              <w:right w:val="single" w:sz="4" w:space="0" w:color="7F7F7F" w:themeColor="text1" w:themeTint="80"/>
            </w:tcBorders>
            <w:shd w:val="clear" w:color="auto" w:fill="auto"/>
          </w:tcPr>
          <w:p w14:paraId="39F487FF" w14:textId="77777777" w:rsidR="00820E52" w:rsidRPr="00820E52" w:rsidRDefault="00820E52" w:rsidP="00820E52">
            <w:pPr>
              <w:rPr>
                <w:rFonts w:eastAsia="Times New Roman" w:cs="Times New Roman"/>
                <w:i/>
                <w:lang w:eastAsia="cs-CZ"/>
              </w:rPr>
            </w:pPr>
            <w:r w:rsidRPr="00820E52">
              <w:rPr>
                <w:rFonts w:eastAsia="Times New Roman" w:cs="Times New Roman"/>
                <w:i/>
                <w:lang w:eastAsia="cs-CZ"/>
              </w:rPr>
              <w:t xml:space="preserve">      prostředky EU</w:t>
            </w:r>
          </w:p>
        </w:tc>
        <w:tc>
          <w:tcPr>
            <w:tcW w:w="755" w:type="pct"/>
            <w:tcBorders>
              <w:top w:val="nil"/>
              <w:left w:val="single" w:sz="4" w:space="0" w:color="7F7F7F" w:themeColor="text1" w:themeTint="80"/>
              <w:bottom w:val="single" w:sz="4" w:space="0" w:color="auto"/>
              <w:right w:val="single" w:sz="4" w:space="0" w:color="7F7F7F" w:themeColor="text1" w:themeTint="80"/>
            </w:tcBorders>
            <w:shd w:val="clear" w:color="auto" w:fill="auto"/>
            <w:vAlign w:val="center"/>
          </w:tcPr>
          <w:p w14:paraId="75120525" w14:textId="43C3AF68"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34</w:t>
            </w:r>
          </w:p>
        </w:tc>
        <w:tc>
          <w:tcPr>
            <w:tcW w:w="755" w:type="pct"/>
            <w:tcBorders>
              <w:top w:val="nil"/>
              <w:left w:val="single" w:sz="4" w:space="0" w:color="7F7F7F" w:themeColor="text1" w:themeTint="80"/>
              <w:bottom w:val="single" w:sz="4" w:space="0" w:color="auto"/>
              <w:right w:val="single" w:sz="4" w:space="0" w:color="7F7F7F" w:themeColor="text1" w:themeTint="80"/>
            </w:tcBorders>
            <w:shd w:val="clear" w:color="auto" w:fill="auto"/>
            <w:vAlign w:val="center"/>
          </w:tcPr>
          <w:p w14:paraId="4F5C4F88" w14:textId="69886DEA"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0</w:t>
            </w:r>
          </w:p>
        </w:tc>
        <w:tc>
          <w:tcPr>
            <w:tcW w:w="789" w:type="pct"/>
            <w:tcBorders>
              <w:top w:val="nil"/>
              <w:left w:val="single" w:sz="4" w:space="0" w:color="7F7F7F" w:themeColor="text1" w:themeTint="80"/>
              <w:bottom w:val="single" w:sz="4" w:space="0" w:color="auto"/>
              <w:right w:val="single" w:sz="4" w:space="0" w:color="7F7F7F" w:themeColor="text1" w:themeTint="80"/>
            </w:tcBorders>
            <w:shd w:val="clear" w:color="auto" w:fill="auto"/>
            <w:vAlign w:val="center"/>
          </w:tcPr>
          <w:p w14:paraId="2363EE3F" w14:textId="05C46A00"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0</w:t>
            </w:r>
          </w:p>
        </w:tc>
        <w:tc>
          <w:tcPr>
            <w:tcW w:w="583" w:type="pct"/>
            <w:tcBorders>
              <w:top w:val="nil"/>
              <w:left w:val="single" w:sz="2" w:space="0" w:color="7F7F7F" w:themeColor="text1" w:themeTint="80"/>
              <w:bottom w:val="single" w:sz="4" w:space="0" w:color="auto"/>
            </w:tcBorders>
            <w:shd w:val="clear" w:color="auto" w:fill="auto"/>
            <w:vAlign w:val="center"/>
          </w:tcPr>
          <w:p w14:paraId="4BB7B88F" w14:textId="7048E0AE"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x</w:t>
            </w:r>
          </w:p>
        </w:tc>
      </w:tr>
      <w:tr w:rsidR="00820E52" w:rsidRPr="00820E52" w14:paraId="7921D1FD" w14:textId="77777777" w:rsidTr="004E049D">
        <w:tc>
          <w:tcPr>
            <w:tcW w:w="2118" w:type="pct"/>
            <w:tcBorders>
              <w:top w:val="single" w:sz="4" w:space="0" w:color="auto"/>
              <w:bottom w:val="nil"/>
            </w:tcBorders>
            <w:shd w:val="clear" w:color="auto" w:fill="auto"/>
          </w:tcPr>
          <w:p w14:paraId="6B2F1AD4" w14:textId="77777777" w:rsidR="00820E52" w:rsidRPr="00820E52" w:rsidRDefault="00820E52" w:rsidP="00820E52">
            <w:pPr>
              <w:rPr>
                <w:rFonts w:eastAsia="Times New Roman" w:cs="Times New Roman"/>
                <w:lang w:eastAsia="cs-CZ"/>
              </w:rPr>
            </w:pPr>
            <w:r w:rsidRPr="00820E52">
              <w:rPr>
                <w:rFonts w:eastAsia="Times New Roman" w:cs="Times New Roman"/>
                <w:lang w:eastAsia="cs-CZ"/>
              </w:rPr>
              <w:t>kapitálové výdaje v tom:</w:t>
            </w:r>
          </w:p>
        </w:tc>
        <w:tc>
          <w:tcPr>
            <w:tcW w:w="755" w:type="pct"/>
            <w:tcBorders>
              <w:top w:val="single" w:sz="4" w:space="0" w:color="auto"/>
              <w:bottom w:val="nil"/>
            </w:tcBorders>
            <w:shd w:val="clear" w:color="auto" w:fill="auto"/>
            <w:vAlign w:val="center"/>
          </w:tcPr>
          <w:p w14:paraId="09252923" w14:textId="5A14CE23"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974 364</w:t>
            </w:r>
          </w:p>
        </w:tc>
        <w:tc>
          <w:tcPr>
            <w:tcW w:w="755" w:type="pct"/>
            <w:tcBorders>
              <w:top w:val="single" w:sz="4" w:space="0" w:color="auto"/>
              <w:bottom w:val="nil"/>
            </w:tcBorders>
            <w:shd w:val="clear" w:color="auto" w:fill="auto"/>
            <w:vAlign w:val="center"/>
          </w:tcPr>
          <w:p w14:paraId="71A7C967" w14:textId="67D8F8F5"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  0</w:t>
            </w:r>
          </w:p>
        </w:tc>
        <w:tc>
          <w:tcPr>
            <w:tcW w:w="789" w:type="pct"/>
            <w:tcBorders>
              <w:top w:val="single" w:sz="4" w:space="0" w:color="auto"/>
              <w:bottom w:val="nil"/>
            </w:tcBorders>
            <w:shd w:val="clear" w:color="auto" w:fill="auto"/>
            <w:vAlign w:val="center"/>
          </w:tcPr>
          <w:p w14:paraId="4CE65C45" w14:textId="1846350A"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  0</w:t>
            </w:r>
          </w:p>
        </w:tc>
        <w:tc>
          <w:tcPr>
            <w:tcW w:w="583" w:type="pct"/>
            <w:tcBorders>
              <w:top w:val="single" w:sz="4" w:space="0" w:color="auto"/>
              <w:bottom w:val="nil"/>
            </w:tcBorders>
            <w:shd w:val="clear" w:color="auto" w:fill="auto"/>
            <w:vAlign w:val="center"/>
          </w:tcPr>
          <w:p w14:paraId="3C6E939D" w14:textId="7C67CCAF"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x</w:t>
            </w:r>
          </w:p>
        </w:tc>
      </w:tr>
      <w:tr w:rsidR="00820E52" w:rsidRPr="00820E52" w14:paraId="3877B97E" w14:textId="77777777" w:rsidTr="00D07D18">
        <w:tc>
          <w:tcPr>
            <w:tcW w:w="2118" w:type="pct"/>
            <w:tcBorders>
              <w:top w:val="nil"/>
              <w:bottom w:val="nil"/>
            </w:tcBorders>
            <w:shd w:val="clear" w:color="auto" w:fill="auto"/>
          </w:tcPr>
          <w:p w14:paraId="2181BC97" w14:textId="77777777" w:rsidR="00820E52" w:rsidRPr="00820E52" w:rsidRDefault="00820E52" w:rsidP="00820E52">
            <w:pPr>
              <w:rPr>
                <w:rFonts w:eastAsia="Times New Roman" w:cs="Times New Roman"/>
                <w:i/>
                <w:lang w:eastAsia="cs-CZ"/>
              </w:rPr>
            </w:pPr>
            <w:r w:rsidRPr="00820E52">
              <w:rPr>
                <w:rFonts w:eastAsia="Times New Roman" w:cs="Times New Roman"/>
                <w:i/>
                <w:lang w:eastAsia="cs-CZ"/>
              </w:rPr>
              <w:t xml:space="preserve">      prostředky SR</w:t>
            </w:r>
          </w:p>
        </w:tc>
        <w:tc>
          <w:tcPr>
            <w:tcW w:w="755" w:type="pct"/>
            <w:tcBorders>
              <w:top w:val="nil"/>
              <w:bottom w:val="nil"/>
            </w:tcBorders>
            <w:shd w:val="clear" w:color="auto" w:fill="auto"/>
            <w:vAlign w:val="center"/>
          </w:tcPr>
          <w:p w14:paraId="092CB311" w14:textId="4AB42ACD"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  0</w:t>
            </w:r>
          </w:p>
        </w:tc>
        <w:tc>
          <w:tcPr>
            <w:tcW w:w="755" w:type="pct"/>
            <w:tcBorders>
              <w:top w:val="nil"/>
              <w:bottom w:val="nil"/>
            </w:tcBorders>
            <w:shd w:val="clear" w:color="auto" w:fill="auto"/>
            <w:vAlign w:val="center"/>
          </w:tcPr>
          <w:p w14:paraId="12DE4E39" w14:textId="75264F2B"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0</w:t>
            </w:r>
          </w:p>
        </w:tc>
        <w:tc>
          <w:tcPr>
            <w:tcW w:w="789" w:type="pct"/>
            <w:tcBorders>
              <w:top w:val="nil"/>
              <w:bottom w:val="nil"/>
            </w:tcBorders>
            <w:shd w:val="clear" w:color="auto" w:fill="auto"/>
            <w:vAlign w:val="center"/>
          </w:tcPr>
          <w:p w14:paraId="756B9946" w14:textId="053EE8DF"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0</w:t>
            </w:r>
          </w:p>
        </w:tc>
        <w:tc>
          <w:tcPr>
            <w:tcW w:w="583" w:type="pct"/>
            <w:tcBorders>
              <w:top w:val="nil"/>
              <w:bottom w:val="nil"/>
            </w:tcBorders>
            <w:shd w:val="clear" w:color="auto" w:fill="auto"/>
            <w:vAlign w:val="center"/>
          </w:tcPr>
          <w:p w14:paraId="3BE417F4" w14:textId="7DA9DC6E"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 xml:space="preserve"> x</w:t>
            </w:r>
          </w:p>
        </w:tc>
      </w:tr>
      <w:tr w:rsidR="00820E52" w:rsidRPr="00820E52" w14:paraId="2FEB086B" w14:textId="77777777" w:rsidTr="00D07D18">
        <w:tc>
          <w:tcPr>
            <w:tcW w:w="2118" w:type="pct"/>
            <w:tcBorders>
              <w:top w:val="nil"/>
              <w:bottom w:val="single" w:sz="8" w:space="0" w:color="7F7F7F" w:themeColor="text1" w:themeTint="80"/>
            </w:tcBorders>
            <w:shd w:val="clear" w:color="auto" w:fill="auto"/>
          </w:tcPr>
          <w:p w14:paraId="6413E60C" w14:textId="77777777" w:rsidR="00820E52" w:rsidRPr="00820E52" w:rsidRDefault="00820E52" w:rsidP="00820E52">
            <w:pPr>
              <w:rPr>
                <w:rFonts w:eastAsia="Times New Roman" w:cs="Times New Roman"/>
                <w:i/>
                <w:lang w:eastAsia="cs-CZ"/>
              </w:rPr>
            </w:pPr>
            <w:r w:rsidRPr="00820E52">
              <w:rPr>
                <w:rFonts w:eastAsia="Times New Roman" w:cs="Times New Roman"/>
                <w:i/>
                <w:lang w:eastAsia="cs-CZ"/>
              </w:rPr>
              <w:t xml:space="preserve">      prostředky EU</w:t>
            </w:r>
          </w:p>
        </w:tc>
        <w:tc>
          <w:tcPr>
            <w:tcW w:w="755" w:type="pct"/>
            <w:tcBorders>
              <w:top w:val="nil"/>
              <w:bottom w:val="single" w:sz="4" w:space="0" w:color="auto"/>
            </w:tcBorders>
            <w:shd w:val="clear" w:color="auto" w:fill="auto"/>
            <w:vAlign w:val="center"/>
          </w:tcPr>
          <w:p w14:paraId="6A6D3AF1" w14:textId="08462440"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974 364</w:t>
            </w:r>
          </w:p>
        </w:tc>
        <w:tc>
          <w:tcPr>
            <w:tcW w:w="755" w:type="pct"/>
            <w:tcBorders>
              <w:top w:val="nil"/>
              <w:bottom w:val="single" w:sz="8" w:space="0" w:color="7F7F7F" w:themeColor="text1" w:themeTint="80"/>
            </w:tcBorders>
            <w:shd w:val="clear" w:color="auto" w:fill="auto"/>
            <w:vAlign w:val="center"/>
          </w:tcPr>
          <w:p w14:paraId="7B7B0E8E" w14:textId="66484734"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0</w:t>
            </w:r>
          </w:p>
        </w:tc>
        <w:tc>
          <w:tcPr>
            <w:tcW w:w="789" w:type="pct"/>
            <w:tcBorders>
              <w:top w:val="nil"/>
              <w:bottom w:val="single" w:sz="8" w:space="0" w:color="7F7F7F" w:themeColor="text1" w:themeTint="80"/>
            </w:tcBorders>
            <w:shd w:val="clear" w:color="auto" w:fill="auto"/>
            <w:vAlign w:val="center"/>
          </w:tcPr>
          <w:p w14:paraId="3AEA6A14" w14:textId="2A023E61"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0</w:t>
            </w:r>
          </w:p>
        </w:tc>
        <w:tc>
          <w:tcPr>
            <w:tcW w:w="583" w:type="pct"/>
            <w:tcBorders>
              <w:top w:val="nil"/>
              <w:bottom w:val="single" w:sz="8" w:space="0" w:color="7F7F7F" w:themeColor="text1" w:themeTint="80"/>
            </w:tcBorders>
            <w:shd w:val="clear" w:color="auto" w:fill="auto"/>
            <w:vAlign w:val="center"/>
          </w:tcPr>
          <w:p w14:paraId="4DF44AEB" w14:textId="65EDA799" w:rsidR="00820E52" w:rsidRPr="00820E52" w:rsidRDefault="00820E52" w:rsidP="00820E52">
            <w:pPr>
              <w:jc w:val="right"/>
              <w:rPr>
                <w:rFonts w:eastAsia="Times New Roman" w:cs="Times New Roman"/>
                <w:i/>
                <w:lang w:eastAsia="cs-CZ"/>
              </w:rPr>
            </w:pPr>
            <w:r w:rsidRPr="00820E52">
              <w:rPr>
                <w:rFonts w:eastAsia="Times New Roman" w:cs="Times New Roman"/>
                <w:i/>
                <w:lang w:eastAsia="cs-CZ"/>
              </w:rPr>
              <w:t>x</w:t>
            </w:r>
          </w:p>
        </w:tc>
      </w:tr>
    </w:tbl>
    <w:p w14:paraId="66AEABB0" w14:textId="77777777" w:rsidR="00941FD5" w:rsidRPr="00820E52" w:rsidRDefault="00941FD5" w:rsidP="00941FD5">
      <w:pPr>
        <w:pStyle w:val="Styl1"/>
        <w:spacing w:before="200" w:after="200"/>
      </w:pPr>
      <w:r w:rsidRPr="00820E52">
        <w:t xml:space="preserve">V dalším textu je uváděn návrh rozpočtu výdajů na financování reprodukce majetku v členění na jednotlivé programy vedené v EDS/SMVS. </w:t>
      </w:r>
    </w:p>
    <w:p w14:paraId="55FD6F54" w14:textId="18CC5A9A" w:rsidR="00941FD5" w:rsidRPr="00820E52" w:rsidRDefault="00941FD5" w:rsidP="00941FD5">
      <w:pPr>
        <w:pStyle w:val="Titulek"/>
        <w:rPr>
          <w:noProof/>
        </w:rPr>
      </w:pPr>
      <w:r w:rsidRPr="00820E52">
        <w:t xml:space="preserve">Tabulka č. </w:t>
      </w:r>
      <w:r w:rsidRPr="00820E52">
        <w:rPr>
          <w:noProof/>
        </w:rPr>
        <w:fldChar w:fldCharType="begin"/>
      </w:r>
      <w:r w:rsidRPr="00820E52">
        <w:rPr>
          <w:noProof/>
        </w:rPr>
        <w:instrText xml:space="preserve"> SEQ Tabulka \* ARABIC </w:instrText>
      </w:r>
      <w:r w:rsidRPr="00820E52">
        <w:rPr>
          <w:noProof/>
        </w:rPr>
        <w:fldChar w:fldCharType="separate"/>
      </w:r>
      <w:r w:rsidR="005B3B1D" w:rsidRPr="00820E52">
        <w:rPr>
          <w:noProof/>
        </w:rPr>
        <w:t>47</w:t>
      </w:r>
      <w:r w:rsidRPr="00820E52">
        <w:rPr>
          <w:noProof/>
        </w:rPr>
        <w:fldChar w:fldCharType="end"/>
      </w:r>
      <w:r w:rsidRPr="00820E52">
        <w:rPr>
          <w:noProof/>
        </w:rPr>
        <w:t xml:space="preserve"> Přehled jednotlivých programů vedených v EDS/SMVS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117"/>
        <w:gridCol w:w="1136"/>
        <w:gridCol w:w="1135"/>
        <w:gridCol w:w="1135"/>
        <w:gridCol w:w="1274"/>
        <w:gridCol w:w="991"/>
        <w:gridCol w:w="1274"/>
      </w:tblGrid>
      <w:tr w:rsidR="00941FD5" w:rsidRPr="00820E52" w14:paraId="6124C7DA" w14:textId="77777777" w:rsidTr="00D07D18">
        <w:tc>
          <w:tcPr>
            <w:tcW w:w="1168"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6A4D509" w14:textId="77777777" w:rsidR="00941FD5" w:rsidRPr="00820E52" w:rsidRDefault="00941FD5" w:rsidP="00D07D18">
            <w:pPr>
              <w:spacing w:before="163"/>
              <w:jc w:val="center"/>
              <w:rPr>
                <w:rFonts w:eastAsia="Times New Roman" w:cs="Times New Roman"/>
                <w:b/>
                <w:bCs/>
                <w:lang w:eastAsia="cs-CZ"/>
              </w:rPr>
            </w:pPr>
            <w:r w:rsidRPr="00820E52">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C8DAD36" w14:textId="131F0A00" w:rsidR="00941FD5" w:rsidRPr="00820E52" w:rsidRDefault="00941FD5" w:rsidP="00D07D18">
            <w:pPr>
              <w:jc w:val="center"/>
              <w:rPr>
                <w:rFonts w:eastAsia="Times New Roman" w:cs="Times New Roman"/>
                <w:b/>
                <w:bCs/>
                <w:lang w:eastAsia="cs-CZ"/>
              </w:rPr>
            </w:pPr>
            <w:r w:rsidRPr="00820E52">
              <w:rPr>
                <w:rFonts w:eastAsia="Times New Roman" w:cs="Times New Roman"/>
                <w:b/>
                <w:bCs/>
                <w:lang w:eastAsia="cs-CZ"/>
              </w:rPr>
              <w:t xml:space="preserve">Skutečnost </w:t>
            </w:r>
            <w:r w:rsidRPr="00820E52">
              <w:rPr>
                <w:rFonts w:eastAsia="Times New Roman" w:cs="Times New Roman"/>
                <w:b/>
                <w:bCs/>
                <w:lang w:eastAsia="cs-CZ"/>
              </w:rPr>
              <w:br/>
              <w:t>202</w:t>
            </w:r>
            <w:r w:rsidR="00820E52" w:rsidRPr="00820E52">
              <w:rPr>
                <w:rFonts w:eastAsia="Times New Roman" w:cs="Times New Roman"/>
                <w:b/>
                <w:bCs/>
                <w:lang w:eastAsia="cs-CZ"/>
              </w:rPr>
              <w:t>3</w:t>
            </w:r>
          </w:p>
        </w:tc>
        <w:tc>
          <w:tcPr>
            <w:tcW w:w="132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23ABCAB" w14:textId="33A4CB4A" w:rsidR="00941FD5" w:rsidRPr="00820E52" w:rsidRDefault="00941FD5" w:rsidP="00D07D18">
            <w:pPr>
              <w:jc w:val="center"/>
              <w:rPr>
                <w:rFonts w:eastAsia="Times New Roman" w:cs="Times New Roman"/>
                <w:b/>
                <w:bCs/>
                <w:lang w:eastAsia="cs-CZ"/>
              </w:rPr>
            </w:pPr>
            <w:r w:rsidRPr="00820E52">
              <w:rPr>
                <w:rFonts w:eastAsia="Times New Roman" w:cs="Times New Roman"/>
                <w:b/>
                <w:bCs/>
                <w:lang w:eastAsia="cs-CZ"/>
              </w:rPr>
              <w:t>Schválený rozpočet 202</w:t>
            </w:r>
            <w:r w:rsidR="00820E52" w:rsidRPr="00820E52">
              <w:rPr>
                <w:rFonts w:eastAsia="Times New Roman" w:cs="Times New Roman"/>
                <w:b/>
                <w:bCs/>
                <w:lang w:eastAsia="cs-CZ"/>
              </w:rPr>
              <w:t>4</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264D3F9" w14:textId="28FFBD70" w:rsidR="00941FD5" w:rsidRPr="00820E52" w:rsidRDefault="00941FD5" w:rsidP="00D07D18">
            <w:pPr>
              <w:jc w:val="center"/>
              <w:rPr>
                <w:rFonts w:eastAsia="Times New Roman" w:cs="Times New Roman"/>
                <w:b/>
                <w:bCs/>
                <w:lang w:eastAsia="cs-CZ"/>
              </w:rPr>
            </w:pPr>
            <w:r w:rsidRPr="00820E52">
              <w:rPr>
                <w:rFonts w:eastAsia="Times New Roman" w:cs="Times New Roman"/>
                <w:b/>
                <w:bCs/>
                <w:lang w:eastAsia="cs-CZ"/>
              </w:rPr>
              <w:t>Návrh rozpočtu</w:t>
            </w:r>
            <w:r w:rsidRPr="00820E52">
              <w:rPr>
                <w:rFonts w:eastAsia="Times New Roman" w:cs="Times New Roman"/>
                <w:b/>
                <w:bCs/>
                <w:lang w:eastAsia="cs-CZ"/>
              </w:rPr>
              <w:br/>
              <w:t xml:space="preserve"> 202</w:t>
            </w:r>
            <w:r w:rsidR="00820E52" w:rsidRPr="00820E52">
              <w:rPr>
                <w:rFonts w:eastAsia="Times New Roman" w:cs="Times New Roman"/>
                <w:b/>
                <w:bCs/>
                <w:lang w:eastAsia="cs-CZ"/>
              </w:rPr>
              <w:t>5</w:t>
            </w:r>
          </w:p>
        </w:tc>
      </w:tr>
      <w:tr w:rsidR="00941FD5" w:rsidRPr="00820E52" w14:paraId="021024CB" w14:textId="77777777" w:rsidTr="00D07D18">
        <w:tc>
          <w:tcPr>
            <w:tcW w:w="1168"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B13F293" w14:textId="77777777" w:rsidR="00941FD5" w:rsidRPr="00820E52" w:rsidRDefault="00941FD5" w:rsidP="00D07D18">
            <w:pPr>
              <w:rPr>
                <w:rFonts w:eastAsia="Times New Roman" w:cs="Times New Roman"/>
                <w:lang w:eastAsia="cs-CZ"/>
              </w:rPr>
            </w:pP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74DDF53"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17D3889"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BEEC140"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1789A3A"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EU</w:t>
            </w:r>
          </w:p>
        </w:tc>
        <w:tc>
          <w:tcPr>
            <w:tcW w:w="54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AC18527"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D1DFA16" w14:textId="77777777" w:rsidR="00941FD5" w:rsidRPr="00820E52" w:rsidRDefault="00941FD5" w:rsidP="00D07D18">
            <w:pPr>
              <w:jc w:val="center"/>
              <w:rPr>
                <w:rFonts w:eastAsia="Times New Roman" w:cs="Times New Roman"/>
                <w:b/>
                <w:lang w:eastAsia="cs-CZ"/>
              </w:rPr>
            </w:pPr>
            <w:r w:rsidRPr="00820E52">
              <w:rPr>
                <w:rFonts w:eastAsia="Times New Roman" w:cs="Times New Roman"/>
                <w:b/>
                <w:lang w:eastAsia="cs-CZ"/>
              </w:rPr>
              <w:t>EU</w:t>
            </w:r>
          </w:p>
        </w:tc>
      </w:tr>
      <w:tr w:rsidR="00820E52" w:rsidRPr="00820E52" w14:paraId="5EADB926" w14:textId="77777777" w:rsidTr="00D07D18">
        <w:tc>
          <w:tcPr>
            <w:tcW w:w="1168" w:type="pct"/>
            <w:shd w:val="clear" w:color="auto" w:fill="auto"/>
          </w:tcPr>
          <w:p w14:paraId="40602A88" w14:textId="77777777" w:rsidR="00820E52" w:rsidRPr="00820E52" w:rsidRDefault="00820E52" w:rsidP="00820E52">
            <w:pPr>
              <w:jc w:val="center"/>
              <w:rPr>
                <w:rFonts w:eastAsia="Times New Roman" w:cs="Times New Roman"/>
                <w:lang w:eastAsia="cs-CZ"/>
              </w:rPr>
            </w:pPr>
            <w:r w:rsidRPr="00820E52">
              <w:rPr>
                <w:rFonts w:eastAsia="Times New Roman" w:cs="Times New Roman"/>
                <w:lang w:eastAsia="cs-CZ"/>
              </w:rPr>
              <w:t>127 65</w:t>
            </w:r>
          </w:p>
        </w:tc>
        <w:tc>
          <w:tcPr>
            <w:tcW w:w="627" w:type="pct"/>
            <w:shd w:val="clear" w:color="auto" w:fill="auto"/>
          </w:tcPr>
          <w:p w14:paraId="444C7262" w14:textId="63971B9E"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626" w:type="pct"/>
            <w:shd w:val="clear" w:color="auto" w:fill="auto"/>
          </w:tcPr>
          <w:p w14:paraId="43CCF550" w14:textId="49908CFA"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688 534</w:t>
            </w:r>
          </w:p>
        </w:tc>
        <w:tc>
          <w:tcPr>
            <w:tcW w:w="626" w:type="pct"/>
            <w:shd w:val="clear" w:color="auto" w:fill="auto"/>
          </w:tcPr>
          <w:p w14:paraId="28EBE47E" w14:textId="63D92D89"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703" w:type="pct"/>
            <w:shd w:val="clear" w:color="auto" w:fill="auto"/>
          </w:tcPr>
          <w:p w14:paraId="7CA974DC" w14:textId="3DD17185"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547" w:type="pct"/>
            <w:shd w:val="clear" w:color="auto" w:fill="auto"/>
          </w:tcPr>
          <w:p w14:paraId="0BF519E1" w14:textId="77777777"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703" w:type="pct"/>
            <w:shd w:val="clear" w:color="auto" w:fill="auto"/>
          </w:tcPr>
          <w:p w14:paraId="54EE8D40" w14:textId="77777777"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r>
      <w:tr w:rsidR="00820E52" w:rsidRPr="00820E52" w14:paraId="7AFBFC24" w14:textId="77777777" w:rsidTr="00D07D18">
        <w:tc>
          <w:tcPr>
            <w:tcW w:w="1168" w:type="pct"/>
            <w:shd w:val="clear" w:color="auto" w:fill="auto"/>
          </w:tcPr>
          <w:p w14:paraId="49A4CC08" w14:textId="77777777" w:rsidR="00820E52" w:rsidRPr="00820E52" w:rsidRDefault="00820E52" w:rsidP="00820E52">
            <w:pPr>
              <w:jc w:val="center"/>
              <w:rPr>
                <w:rFonts w:eastAsia="Times New Roman" w:cs="Times New Roman"/>
                <w:lang w:eastAsia="cs-CZ"/>
              </w:rPr>
            </w:pPr>
            <w:r w:rsidRPr="00820E52">
              <w:rPr>
                <w:rFonts w:eastAsia="Times New Roman" w:cs="Times New Roman"/>
                <w:lang w:eastAsia="cs-CZ"/>
              </w:rPr>
              <w:t>127 67</w:t>
            </w:r>
          </w:p>
        </w:tc>
        <w:tc>
          <w:tcPr>
            <w:tcW w:w="627" w:type="pct"/>
            <w:shd w:val="clear" w:color="auto" w:fill="auto"/>
          </w:tcPr>
          <w:p w14:paraId="523437F4" w14:textId="4B39E055"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4 146</w:t>
            </w:r>
          </w:p>
        </w:tc>
        <w:tc>
          <w:tcPr>
            <w:tcW w:w="626" w:type="pct"/>
            <w:shd w:val="clear" w:color="auto" w:fill="auto"/>
          </w:tcPr>
          <w:p w14:paraId="38537ECE" w14:textId="2DBBFDA9"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626" w:type="pct"/>
            <w:shd w:val="clear" w:color="auto" w:fill="auto"/>
          </w:tcPr>
          <w:p w14:paraId="763485A4" w14:textId="146A16FC"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703" w:type="pct"/>
            <w:shd w:val="clear" w:color="auto" w:fill="auto"/>
          </w:tcPr>
          <w:p w14:paraId="57F7D87E" w14:textId="404AF9AF"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547" w:type="pct"/>
            <w:shd w:val="clear" w:color="auto" w:fill="auto"/>
          </w:tcPr>
          <w:p w14:paraId="5A39339C" w14:textId="77777777"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c>
          <w:tcPr>
            <w:tcW w:w="703" w:type="pct"/>
            <w:shd w:val="clear" w:color="auto" w:fill="auto"/>
          </w:tcPr>
          <w:p w14:paraId="5F7DDFB5" w14:textId="77777777" w:rsidR="00820E52" w:rsidRPr="00820E52" w:rsidRDefault="00820E52" w:rsidP="00820E52">
            <w:pPr>
              <w:jc w:val="right"/>
              <w:rPr>
                <w:rFonts w:eastAsia="Times New Roman" w:cs="Times New Roman"/>
                <w:lang w:eastAsia="cs-CZ"/>
              </w:rPr>
            </w:pPr>
            <w:r w:rsidRPr="00820E52">
              <w:rPr>
                <w:rFonts w:eastAsia="Times New Roman" w:cs="Times New Roman"/>
                <w:lang w:eastAsia="cs-CZ"/>
              </w:rPr>
              <w:t>0</w:t>
            </w:r>
          </w:p>
        </w:tc>
      </w:tr>
      <w:tr w:rsidR="00820E52" w:rsidRPr="00820E52" w14:paraId="0A4F7D3C" w14:textId="77777777" w:rsidTr="00D07D18">
        <w:tc>
          <w:tcPr>
            <w:tcW w:w="1168" w:type="pct"/>
            <w:tcBorders>
              <w:top w:val="single" w:sz="4" w:space="0" w:color="7F7F7F" w:themeColor="text1" w:themeTint="80"/>
              <w:bottom w:val="single" w:sz="8" w:space="0" w:color="7F7F7F" w:themeColor="text1" w:themeTint="80"/>
            </w:tcBorders>
            <w:shd w:val="clear" w:color="auto" w:fill="auto"/>
          </w:tcPr>
          <w:p w14:paraId="3004E5AB" w14:textId="77777777" w:rsidR="00820E52" w:rsidRPr="00820E52" w:rsidRDefault="00820E52" w:rsidP="00820E52">
            <w:pPr>
              <w:jc w:val="center"/>
              <w:rPr>
                <w:rFonts w:eastAsia="Times New Roman" w:cs="Times New Roman"/>
                <w:bCs/>
                <w:lang w:eastAsia="cs-CZ"/>
              </w:rPr>
            </w:pPr>
            <w:r w:rsidRPr="00820E52">
              <w:rPr>
                <w:rFonts w:eastAsia="Times New Roman" w:cs="Times New Roman"/>
                <w:bCs/>
                <w:lang w:eastAsia="cs-CZ"/>
              </w:rPr>
              <w:t>127 77</w:t>
            </w:r>
          </w:p>
        </w:tc>
        <w:tc>
          <w:tcPr>
            <w:tcW w:w="627" w:type="pct"/>
            <w:tcBorders>
              <w:top w:val="single" w:sz="4" w:space="0" w:color="7F7F7F" w:themeColor="text1" w:themeTint="80"/>
              <w:bottom w:val="single" w:sz="8" w:space="0" w:color="7F7F7F" w:themeColor="text1" w:themeTint="80"/>
            </w:tcBorders>
            <w:shd w:val="clear" w:color="auto" w:fill="auto"/>
          </w:tcPr>
          <w:p w14:paraId="46EB9CE0" w14:textId="6165B595"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14:paraId="57EE095A" w14:textId="4D11B003"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285 864</w:t>
            </w:r>
          </w:p>
        </w:tc>
        <w:tc>
          <w:tcPr>
            <w:tcW w:w="626" w:type="pct"/>
            <w:tcBorders>
              <w:top w:val="single" w:sz="4" w:space="0" w:color="7F7F7F" w:themeColor="text1" w:themeTint="80"/>
              <w:bottom w:val="single" w:sz="8" w:space="0" w:color="7F7F7F" w:themeColor="text1" w:themeTint="80"/>
            </w:tcBorders>
            <w:shd w:val="clear" w:color="auto" w:fill="auto"/>
          </w:tcPr>
          <w:p w14:paraId="61E9A293" w14:textId="49D86B5E"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14:paraId="5B0EDC49" w14:textId="0880872F"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 xml:space="preserve">0 </w:t>
            </w:r>
          </w:p>
        </w:tc>
        <w:tc>
          <w:tcPr>
            <w:tcW w:w="547" w:type="pct"/>
            <w:tcBorders>
              <w:top w:val="single" w:sz="4" w:space="0" w:color="7F7F7F" w:themeColor="text1" w:themeTint="80"/>
              <w:bottom w:val="single" w:sz="8" w:space="0" w:color="7F7F7F" w:themeColor="text1" w:themeTint="80"/>
            </w:tcBorders>
            <w:shd w:val="clear" w:color="auto" w:fill="auto"/>
          </w:tcPr>
          <w:p w14:paraId="6425B229" w14:textId="77777777"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14:paraId="1530C057" w14:textId="77777777" w:rsidR="00820E52" w:rsidRPr="00820E52" w:rsidRDefault="00820E52" w:rsidP="00820E52">
            <w:pPr>
              <w:jc w:val="right"/>
              <w:rPr>
                <w:rFonts w:eastAsia="Times New Roman" w:cs="Times New Roman"/>
                <w:bCs/>
                <w:lang w:eastAsia="cs-CZ"/>
              </w:rPr>
            </w:pPr>
            <w:r w:rsidRPr="00820E52">
              <w:rPr>
                <w:rFonts w:eastAsia="Times New Roman" w:cs="Times New Roman"/>
                <w:bCs/>
                <w:lang w:eastAsia="cs-CZ"/>
              </w:rPr>
              <w:t xml:space="preserve">0 </w:t>
            </w:r>
          </w:p>
        </w:tc>
      </w:tr>
      <w:tr w:rsidR="00820E52" w:rsidRPr="00820E52" w14:paraId="3398F261" w14:textId="77777777" w:rsidTr="00D07D18">
        <w:tc>
          <w:tcPr>
            <w:tcW w:w="1168" w:type="pct"/>
            <w:tcBorders>
              <w:top w:val="single" w:sz="8" w:space="0" w:color="7F7F7F" w:themeColor="text1" w:themeTint="80"/>
              <w:bottom w:val="single" w:sz="8" w:space="0" w:color="7F7F7F" w:themeColor="text1" w:themeTint="80"/>
            </w:tcBorders>
            <w:shd w:val="clear" w:color="auto" w:fill="auto"/>
          </w:tcPr>
          <w:p w14:paraId="2684200B" w14:textId="77777777" w:rsidR="00820E52" w:rsidRPr="00820E52" w:rsidRDefault="00820E52" w:rsidP="00820E52">
            <w:pPr>
              <w:jc w:val="center"/>
              <w:rPr>
                <w:rFonts w:eastAsia="Times New Roman" w:cs="Times New Roman"/>
                <w:b/>
                <w:bCs/>
                <w:lang w:eastAsia="cs-CZ"/>
              </w:rPr>
            </w:pPr>
            <w:r w:rsidRPr="00820E52">
              <w:rPr>
                <w:rFonts w:eastAsia="Times New Roman" w:cs="Times New Roman"/>
                <w:b/>
                <w:bCs/>
                <w:lang w:eastAsia="cs-CZ"/>
              </w:rPr>
              <w:t>CELKEM</w:t>
            </w:r>
          </w:p>
        </w:tc>
        <w:tc>
          <w:tcPr>
            <w:tcW w:w="627" w:type="pct"/>
            <w:tcBorders>
              <w:top w:val="single" w:sz="8" w:space="0" w:color="7F7F7F" w:themeColor="text1" w:themeTint="80"/>
              <w:bottom w:val="single" w:sz="8" w:space="0" w:color="7F7F7F" w:themeColor="text1" w:themeTint="80"/>
            </w:tcBorders>
            <w:shd w:val="clear" w:color="auto" w:fill="auto"/>
          </w:tcPr>
          <w:p w14:paraId="35CE1725" w14:textId="11C4E6AE" w:rsidR="00820E52" w:rsidRPr="00820E52" w:rsidRDefault="00820E52" w:rsidP="00820E52">
            <w:pPr>
              <w:jc w:val="right"/>
              <w:rPr>
                <w:rFonts w:eastAsia="Times New Roman" w:cs="Times New Roman"/>
                <w:b/>
                <w:bCs/>
                <w:lang w:eastAsia="cs-CZ"/>
              </w:rPr>
            </w:pPr>
            <w:r w:rsidRPr="00820E52">
              <w:rPr>
                <w:rFonts w:eastAsia="Times New Roman" w:cs="Times New Roman"/>
                <w:b/>
                <w:bCs/>
                <w:lang w:eastAsia="cs-CZ"/>
              </w:rPr>
              <w:t>4 146</w:t>
            </w:r>
          </w:p>
        </w:tc>
        <w:tc>
          <w:tcPr>
            <w:tcW w:w="626" w:type="pct"/>
            <w:tcBorders>
              <w:top w:val="single" w:sz="8" w:space="0" w:color="7F7F7F" w:themeColor="text1" w:themeTint="80"/>
              <w:bottom w:val="single" w:sz="8" w:space="0" w:color="7F7F7F" w:themeColor="text1" w:themeTint="80"/>
            </w:tcBorders>
            <w:shd w:val="clear" w:color="auto" w:fill="auto"/>
          </w:tcPr>
          <w:p w14:paraId="3E5AB56B" w14:textId="25AE6E1C" w:rsidR="00820E52" w:rsidRPr="00820E52" w:rsidRDefault="00820E52" w:rsidP="00820E52">
            <w:pPr>
              <w:jc w:val="right"/>
              <w:rPr>
                <w:rFonts w:eastAsia="Times New Roman" w:cs="Times New Roman"/>
                <w:b/>
                <w:bCs/>
                <w:lang w:eastAsia="cs-CZ"/>
              </w:rPr>
            </w:pPr>
            <w:r w:rsidRPr="00820E52">
              <w:rPr>
                <w:rFonts w:eastAsia="Times New Roman" w:cs="Times New Roman"/>
                <w:b/>
                <w:bCs/>
                <w:lang w:eastAsia="cs-CZ"/>
              </w:rPr>
              <w:t>974 398</w:t>
            </w:r>
          </w:p>
        </w:tc>
        <w:tc>
          <w:tcPr>
            <w:tcW w:w="626" w:type="pct"/>
            <w:tcBorders>
              <w:top w:val="single" w:sz="8" w:space="0" w:color="7F7F7F" w:themeColor="text1" w:themeTint="80"/>
              <w:bottom w:val="single" w:sz="8" w:space="0" w:color="7F7F7F" w:themeColor="text1" w:themeTint="80"/>
            </w:tcBorders>
            <w:shd w:val="clear" w:color="auto" w:fill="auto"/>
          </w:tcPr>
          <w:p w14:paraId="38EE8E95" w14:textId="6E42C7B2" w:rsidR="00820E52" w:rsidRPr="00820E52" w:rsidRDefault="00820E52" w:rsidP="00820E52">
            <w:pPr>
              <w:jc w:val="right"/>
              <w:rPr>
                <w:rFonts w:eastAsia="Times New Roman" w:cs="Times New Roman"/>
                <w:b/>
                <w:bCs/>
                <w:lang w:eastAsia="cs-CZ"/>
              </w:rPr>
            </w:pPr>
            <w:r w:rsidRPr="00820E52">
              <w:rPr>
                <w:rFonts w:eastAsia="Times New Roman" w:cs="Times New Roman"/>
                <w:b/>
                <w:bCs/>
                <w:lang w:eastAsia="cs-CZ"/>
              </w:rPr>
              <w:t>0</w:t>
            </w:r>
          </w:p>
        </w:tc>
        <w:tc>
          <w:tcPr>
            <w:tcW w:w="703" w:type="pct"/>
            <w:tcBorders>
              <w:top w:val="single" w:sz="8" w:space="0" w:color="7F7F7F" w:themeColor="text1" w:themeTint="80"/>
              <w:bottom w:val="single" w:sz="8" w:space="0" w:color="7F7F7F" w:themeColor="text1" w:themeTint="80"/>
            </w:tcBorders>
            <w:shd w:val="clear" w:color="auto" w:fill="auto"/>
          </w:tcPr>
          <w:p w14:paraId="32E0B343" w14:textId="77777777" w:rsidR="00820E52" w:rsidRPr="00820E52" w:rsidRDefault="00820E52" w:rsidP="00820E52">
            <w:pPr>
              <w:jc w:val="right"/>
              <w:rPr>
                <w:rFonts w:eastAsia="Times New Roman" w:cs="Times New Roman"/>
                <w:b/>
                <w:bCs/>
                <w:lang w:eastAsia="cs-CZ"/>
              </w:rPr>
            </w:pPr>
            <w:r w:rsidRPr="00820E52">
              <w:rPr>
                <w:rFonts w:eastAsia="Times New Roman" w:cs="Times New Roman"/>
                <w:b/>
                <w:bCs/>
                <w:lang w:eastAsia="cs-CZ"/>
              </w:rPr>
              <w:t>0</w:t>
            </w:r>
          </w:p>
        </w:tc>
        <w:tc>
          <w:tcPr>
            <w:tcW w:w="547" w:type="pct"/>
            <w:tcBorders>
              <w:top w:val="single" w:sz="8" w:space="0" w:color="7F7F7F" w:themeColor="text1" w:themeTint="80"/>
              <w:bottom w:val="single" w:sz="8" w:space="0" w:color="7F7F7F" w:themeColor="text1" w:themeTint="80"/>
            </w:tcBorders>
            <w:shd w:val="clear" w:color="auto" w:fill="auto"/>
          </w:tcPr>
          <w:p w14:paraId="7149CF9A" w14:textId="77777777" w:rsidR="00820E52" w:rsidRPr="00820E52" w:rsidRDefault="00820E52" w:rsidP="00820E52">
            <w:pPr>
              <w:jc w:val="right"/>
              <w:rPr>
                <w:rFonts w:eastAsia="Times New Roman" w:cs="Times New Roman"/>
                <w:b/>
                <w:bCs/>
                <w:lang w:eastAsia="cs-CZ"/>
              </w:rPr>
            </w:pPr>
            <w:r w:rsidRPr="00820E52">
              <w:rPr>
                <w:rFonts w:eastAsia="Times New Roman" w:cs="Times New Roman"/>
                <w:b/>
                <w:bCs/>
                <w:lang w:eastAsia="cs-CZ"/>
              </w:rPr>
              <w:t>0</w:t>
            </w:r>
          </w:p>
        </w:tc>
        <w:tc>
          <w:tcPr>
            <w:tcW w:w="703" w:type="pct"/>
            <w:tcBorders>
              <w:top w:val="single" w:sz="8" w:space="0" w:color="7F7F7F" w:themeColor="text1" w:themeTint="80"/>
              <w:bottom w:val="single" w:sz="8" w:space="0" w:color="7F7F7F" w:themeColor="text1" w:themeTint="80"/>
            </w:tcBorders>
            <w:shd w:val="clear" w:color="auto" w:fill="auto"/>
          </w:tcPr>
          <w:p w14:paraId="37AE44FA" w14:textId="77777777" w:rsidR="00820E52" w:rsidRPr="00820E52" w:rsidRDefault="00820E52" w:rsidP="00820E52">
            <w:pPr>
              <w:jc w:val="right"/>
              <w:rPr>
                <w:rFonts w:eastAsia="Times New Roman" w:cs="Times New Roman"/>
                <w:b/>
                <w:bCs/>
                <w:lang w:eastAsia="cs-CZ"/>
              </w:rPr>
            </w:pPr>
            <w:r w:rsidRPr="00820E52">
              <w:rPr>
                <w:rFonts w:eastAsia="Times New Roman" w:cs="Times New Roman"/>
                <w:b/>
                <w:bCs/>
                <w:lang w:eastAsia="cs-CZ"/>
              </w:rPr>
              <w:t>0</w:t>
            </w:r>
          </w:p>
        </w:tc>
      </w:tr>
    </w:tbl>
    <w:p w14:paraId="0D9738A0" w14:textId="77777777" w:rsidR="00941FD5" w:rsidRPr="00820E52" w:rsidRDefault="00941FD5" w:rsidP="00941FD5">
      <w:pPr>
        <w:spacing w:before="120" w:after="120" w:line="240" w:lineRule="auto"/>
        <w:rPr>
          <w:rFonts w:eastAsia="Times New Roman" w:cs="Times New Roman"/>
          <w:szCs w:val="24"/>
          <w:u w:val="single"/>
          <w:lang w:eastAsia="cs-CZ"/>
        </w:rPr>
      </w:pPr>
      <w:r w:rsidRPr="00820E52">
        <w:rPr>
          <w:rFonts w:eastAsia="Times New Roman" w:cs="Times New Roman"/>
          <w:szCs w:val="24"/>
          <w:u w:val="single"/>
          <w:lang w:eastAsia="cs-CZ"/>
        </w:rPr>
        <w:t>Čísla a názvy programů:</w:t>
      </w:r>
    </w:p>
    <w:p w14:paraId="7D640D3D" w14:textId="77777777" w:rsidR="00941FD5" w:rsidRPr="00820E52" w:rsidRDefault="00941FD5" w:rsidP="00045611">
      <w:pPr>
        <w:pStyle w:val="Odstavecseseznamem"/>
        <w:numPr>
          <w:ilvl w:val="0"/>
          <w:numId w:val="26"/>
        </w:numPr>
        <w:tabs>
          <w:tab w:val="num" w:pos="709"/>
          <w:tab w:val="num" w:pos="851"/>
        </w:tabs>
        <w:spacing w:before="40"/>
        <w:ind w:left="567" w:hanging="283"/>
      </w:pPr>
      <w:r w:rsidRPr="00820E52">
        <w:t>127 65 „Pořízení a modernizace železničních kolejových vozidel“</w:t>
      </w:r>
    </w:p>
    <w:p w14:paraId="025CE96E" w14:textId="77777777" w:rsidR="00941FD5" w:rsidRPr="00820E52" w:rsidRDefault="00941FD5" w:rsidP="00045611">
      <w:pPr>
        <w:pStyle w:val="Odstavecseseznamem"/>
        <w:numPr>
          <w:ilvl w:val="0"/>
          <w:numId w:val="26"/>
        </w:numPr>
        <w:spacing w:before="40"/>
        <w:ind w:left="567" w:hanging="283"/>
      </w:pPr>
      <w:r w:rsidRPr="00820E52">
        <w:t>127 67 „Podpora obnovy historických železničních kolejových vozidel v období 2021-</w:t>
      </w:r>
    </w:p>
    <w:p w14:paraId="4173D5A3" w14:textId="77777777" w:rsidR="00941FD5" w:rsidRPr="00820E52" w:rsidRDefault="00941FD5" w:rsidP="00941FD5">
      <w:pPr>
        <w:spacing w:before="40"/>
        <w:ind w:left="284" w:firstLine="283"/>
      </w:pPr>
      <w:r w:rsidRPr="00820E52">
        <w:tab/>
      </w:r>
      <w:r w:rsidRPr="00820E52">
        <w:tab/>
        <w:t>2023“</w:t>
      </w:r>
    </w:p>
    <w:p w14:paraId="13D79C4C" w14:textId="576BF395" w:rsidR="00941FD5" w:rsidRPr="00820E52" w:rsidRDefault="00941FD5" w:rsidP="00045611">
      <w:pPr>
        <w:pStyle w:val="Odstavecseseznamem"/>
        <w:numPr>
          <w:ilvl w:val="0"/>
          <w:numId w:val="26"/>
        </w:numPr>
        <w:tabs>
          <w:tab w:val="num" w:pos="851"/>
          <w:tab w:val="num" w:pos="1134"/>
        </w:tabs>
        <w:spacing w:before="40" w:after="240"/>
        <w:ind w:left="568" w:hanging="284"/>
      </w:pPr>
      <w:r w:rsidRPr="00820E52">
        <w:t>127 77 „Podpora financování dopravy“</w:t>
      </w:r>
    </w:p>
    <w:p w14:paraId="28826E00" w14:textId="4305F025" w:rsidR="00A36B40" w:rsidRPr="00820E52" w:rsidRDefault="00A36B40" w:rsidP="00CC40A4">
      <w:pPr>
        <w:pStyle w:val="Nadpis3"/>
        <w:spacing w:before="180"/>
      </w:pPr>
      <w:bookmarkStart w:id="239" w:name="_Toc179964110"/>
      <w:r w:rsidRPr="00820E52">
        <w:t>Státní fondy</w:t>
      </w:r>
      <w:bookmarkEnd w:id="199"/>
      <w:bookmarkEnd w:id="200"/>
      <w:bookmarkEnd w:id="239"/>
    </w:p>
    <w:p w14:paraId="106763CE" w14:textId="438D2B89" w:rsidR="00B179B3" w:rsidRPr="00D070B8" w:rsidRDefault="00820E52" w:rsidP="00B179B3">
      <w:pPr>
        <w:pStyle w:val="Styl1"/>
        <w:spacing w:before="200" w:after="200"/>
        <w:rPr>
          <w:highlight w:val="yellow"/>
        </w:rPr>
      </w:pPr>
      <w:r w:rsidRPr="00654DD6">
        <w:t>Výdaje vedené v EDS/SMVS určené pro Státní fond dopravní infrastruktury jsou pro rozpočtový rok 2025 navrženy ve výši 81</w:t>
      </w:r>
      <w:r>
        <w:t> 804 946</w:t>
      </w:r>
      <w:r w:rsidRPr="00654DD6">
        <w:t xml:space="preserve"> tis. Kč, vše jsou prostředky státního rozpočtu, tedy bez prostředků EU.</w:t>
      </w:r>
      <w:r w:rsidR="00B179B3" w:rsidRPr="00D070B8">
        <w:rPr>
          <w:highlight w:val="yellow"/>
        </w:rPr>
        <w:t xml:space="preserve"> </w:t>
      </w:r>
    </w:p>
    <w:p w14:paraId="696C8CC2" w14:textId="77777777" w:rsidR="00B179B3" w:rsidRPr="00820E52" w:rsidRDefault="00B179B3" w:rsidP="00B179B3">
      <w:pPr>
        <w:pStyle w:val="Styl1"/>
        <w:spacing w:before="200" w:after="200"/>
      </w:pPr>
      <w:r w:rsidRPr="00820E52">
        <w:t xml:space="preserve">Druhové členění vykazuje následující tabulka.        </w:t>
      </w:r>
    </w:p>
    <w:p w14:paraId="0460CDCA" w14:textId="74B2FA31" w:rsidR="00B179B3" w:rsidRPr="007553DD" w:rsidRDefault="00B179B3" w:rsidP="00B179B3">
      <w:pPr>
        <w:pStyle w:val="Titulek"/>
      </w:pPr>
      <w:r w:rsidRPr="007553DD">
        <w:lastRenderedPageBreak/>
        <w:t xml:space="preserve">Tabulka </w:t>
      </w:r>
      <w:r w:rsidR="00696CFC" w:rsidRPr="007553DD">
        <w:fldChar w:fldCharType="begin"/>
      </w:r>
      <w:r w:rsidR="00696CFC" w:rsidRPr="007553DD">
        <w:instrText xml:space="preserve"> SEQ Tabulka \* ARABIC </w:instrText>
      </w:r>
      <w:r w:rsidR="00696CFC" w:rsidRPr="007553DD">
        <w:fldChar w:fldCharType="separate"/>
      </w:r>
      <w:r w:rsidR="005B3B1D" w:rsidRPr="007553DD">
        <w:rPr>
          <w:noProof/>
        </w:rPr>
        <w:t>48</w:t>
      </w:r>
      <w:r w:rsidR="00696CFC" w:rsidRPr="007553DD">
        <w:rPr>
          <w:noProof/>
        </w:rPr>
        <w:fldChar w:fldCharType="end"/>
      </w:r>
      <w:r w:rsidRPr="007553DD">
        <w:t xml:space="preserve"> Výdaje státních fondů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3833"/>
        <w:gridCol w:w="1397"/>
        <w:gridCol w:w="1398"/>
        <w:gridCol w:w="1396"/>
        <w:gridCol w:w="1032"/>
      </w:tblGrid>
      <w:tr w:rsidR="00B179B3" w:rsidRPr="007553DD" w14:paraId="446E5348" w14:textId="77777777" w:rsidTr="00D07D18">
        <w:tc>
          <w:tcPr>
            <w:tcW w:w="2116" w:type="pct"/>
            <w:tcBorders>
              <w:top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10C373A9"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Ukazatel</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3538D37E"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Skutečnost</w:t>
            </w:r>
          </w:p>
          <w:p w14:paraId="60164BFC" w14:textId="43A7822E" w:rsidR="00B179B3" w:rsidRPr="007553DD" w:rsidRDefault="00B179B3" w:rsidP="00D07D18">
            <w:pPr>
              <w:spacing w:line="240" w:lineRule="auto"/>
              <w:jc w:val="center"/>
              <w:rPr>
                <w:rFonts w:eastAsia="Times New Roman" w:cs="Times New Roman"/>
                <w:b/>
                <w:vertAlign w:val="superscript"/>
                <w:lang w:eastAsia="cs-CZ"/>
              </w:rPr>
            </w:pPr>
            <w:r w:rsidRPr="007553DD">
              <w:rPr>
                <w:rFonts w:eastAsia="Times New Roman" w:cs="Times New Roman"/>
                <w:b/>
                <w:lang w:eastAsia="cs-CZ"/>
              </w:rPr>
              <w:t>202</w:t>
            </w:r>
            <w:r w:rsidR="00820E52" w:rsidRPr="007553DD">
              <w:rPr>
                <w:rFonts w:eastAsia="Times New Roman" w:cs="Times New Roman"/>
                <w:b/>
                <w:lang w:eastAsia="cs-CZ"/>
              </w:rPr>
              <w:t>3</w:t>
            </w:r>
          </w:p>
        </w:tc>
        <w:tc>
          <w:tcPr>
            <w:tcW w:w="772"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526DD9C3"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Schválený rozpočet</w:t>
            </w:r>
          </w:p>
          <w:p w14:paraId="5B47F829" w14:textId="247A47FF"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202</w:t>
            </w:r>
            <w:r w:rsidR="00820E52" w:rsidRPr="007553DD">
              <w:rPr>
                <w:rFonts w:eastAsia="Times New Roman" w:cs="Times New Roman"/>
                <w:b/>
                <w:lang w:eastAsia="cs-CZ"/>
              </w:rPr>
              <w:t>4</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7308336E"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Návrh</w:t>
            </w:r>
          </w:p>
          <w:p w14:paraId="1CA9EA70"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rozpočtu</w:t>
            </w:r>
          </w:p>
          <w:p w14:paraId="3D939EAF" w14:textId="6FA1C0BB"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202</w:t>
            </w:r>
            <w:r w:rsidR="00820E52" w:rsidRPr="007553DD">
              <w:rPr>
                <w:rFonts w:eastAsia="Times New Roman" w:cs="Times New Roman"/>
                <w:b/>
                <w:lang w:eastAsia="cs-CZ"/>
              </w:rPr>
              <w:t>5</w:t>
            </w:r>
          </w:p>
        </w:tc>
        <w:tc>
          <w:tcPr>
            <w:tcW w:w="570"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633B6ACD"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Index</w:t>
            </w:r>
          </w:p>
          <w:p w14:paraId="797D2265" w14:textId="4DD57E99"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202</w:t>
            </w:r>
            <w:r w:rsidR="00820E52" w:rsidRPr="007553DD">
              <w:rPr>
                <w:rFonts w:eastAsia="Times New Roman" w:cs="Times New Roman"/>
                <w:b/>
                <w:lang w:eastAsia="cs-CZ"/>
              </w:rPr>
              <w:t>5</w:t>
            </w:r>
            <w:r w:rsidRPr="007553DD">
              <w:rPr>
                <w:rFonts w:eastAsia="Times New Roman" w:cs="Times New Roman"/>
                <w:b/>
                <w:lang w:eastAsia="cs-CZ"/>
              </w:rPr>
              <w:t>/</w:t>
            </w:r>
            <w:r w:rsidRPr="007553DD">
              <w:rPr>
                <w:rFonts w:eastAsia="Times New Roman" w:cs="Times New Roman"/>
                <w:b/>
                <w:lang w:eastAsia="cs-CZ"/>
              </w:rPr>
              <w:br/>
              <w:t>202</w:t>
            </w:r>
            <w:r w:rsidR="00820E52" w:rsidRPr="007553DD">
              <w:rPr>
                <w:rFonts w:eastAsia="Times New Roman" w:cs="Times New Roman"/>
                <w:b/>
                <w:lang w:eastAsia="cs-CZ"/>
              </w:rPr>
              <w:t>4</w:t>
            </w:r>
          </w:p>
          <w:p w14:paraId="509D7A6C"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(v %)</w:t>
            </w:r>
          </w:p>
        </w:tc>
      </w:tr>
      <w:tr w:rsidR="00B179B3" w:rsidRPr="007553DD" w14:paraId="790A5880" w14:textId="77777777" w:rsidTr="00D07D18">
        <w:trPr>
          <w:trHeight w:val="202"/>
        </w:trPr>
        <w:tc>
          <w:tcPr>
            <w:tcW w:w="2116" w:type="pct"/>
            <w:tcBorders>
              <w:top w:val="single" w:sz="4" w:space="0" w:color="7F7F7F" w:themeColor="text1" w:themeTint="80"/>
              <w:bottom w:val="single" w:sz="8" w:space="0" w:color="7F7F7F" w:themeColor="text1" w:themeTint="80"/>
            </w:tcBorders>
          </w:tcPr>
          <w:p w14:paraId="577DC706" w14:textId="77777777" w:rsidR="00B179B3" w:rsidRPr="007553DD" w:rsidRDefault="00B179B3" w:rsidP="00D07D18">
            <w:pPr>
              <w:spacing w:line="240" w:lineRule="auto"/>
              <w:jc w:val="center"/>
              <w:rPr>
                <w:rFonts w:eastAsia="Times New Roman" w:cs="Times New Roman"/>
                <w:lang w:eastAsia="cs-CZ"/>
              </w:rPr>
            </w:pPr>
            <w:r w:rsidRPr="007553DD">
              <w:rPr>
                <w:rFonts w:eastAsia="Times New Roman" w:cs="Times New Roman"/>
                <w:lang w:eastAsia="cs-CZ"/>
              </w:rPr>
              <w:t>a</w:t>
            </w:r>
          </w:p>
        </w:tc>
        <w:tc>
          <w:tcPr>
            <w:tcW w:w="771" w:type="pct"/>
            <w:tcBorders>
              <w:top w:val="single" w:sz="4" w:space="0" w:color="7F7F7F" w:themeColor="text1" w:themeTint="80"/>
              <w:bottom w:val="single" w:sz="8" w:space="0" w:color="7F7F7F" w:themeColor="text1" w:themeTint="80"/>
            </w:tcBorders>
          </w:tcPr>
          <w:p w14:paraId="0F49112B" w14:textId="77777777" w:rsidR="00B179B3" w:rsidRPr="007553DD" w:rsidRDefault="00B179B3" w:rsidP="00D07D18">
            <w:pPr>
              <w:spacing w:line="240" w:lineRule="auto"/>
              <w:jc w:val="center"/>
              <w:rPr>
                <w:rFonts w:eastAsia="Times New Roman" w:cs="Times New Roman"/>
                <w:lang w:eastAsia="cs-CZ"/>
              </w:rPr>
            </w:pPr>
            <w:r w:rsidRPr="007553DD">
              <w:rPr>
                <w:rFonts w:eastAsia="Times New Roman" w:cs="Times New Roman"/>
                <w:lang w:eastAsia="cs-CZ"/>
              </w:rPr>
              <w:t>1</w:t>
            </w:r>
          </w:p>
        </w:tc>
        <w:tc>
          <w:tcPr>
            <w:tcW w:w="772" w:type="pct"/>
            <w:tcBorders>
              <w:top w:val="single" w:sz="4" w:space="0" w:color="7F7F7F" w:themeColor="text1" w:themeTint="80"/>
              <w:bottom w:val="single" w:sz="8" w:space="0" w:color="7F7F7F" w:themeColor="text1" w:themeTint="80"/>
            </w:tcBorders>
          </w:tcPr>
          <w:p w14:paraId="012445E3" w14:textId="77777777" w:rsidR="00B179B3" w:rsidRPr="007553DD" w:rsidRDefault="00B179B3" w:rsidP="00D07D18">
            <w:pPr>
              <w:spacing w:line="240" w:lineRule="auto"/>
              <w:jc w:val="center"/>
              <w:rPr>
                <w:rFonts w:eastAsia="Times New Roman" w:cs="Times New Roman"/>
                <w:lang w:eastAsia="cs-CZ"/>
              </w:rPr>
            </w:pPr>
            <w:r w:rsidRPr="007553DD">
              <w:rPr>
                <w:rFonts w:eastAsia="Times New Roman" w:cs="Times New Roman"/>
                <w:lang w:eastAsia="cs-CZ"/>
              </w:rPr>
              <w:t>2</w:t>
            </w:r>
          </w:p>
        </w:tc>
        <w:tc>
          <w:tcPr>
            <w:tcW w:w="771" w:type="pct"/>
            <w:tcBorders>
              <w:top w:val="single" w:sz="4" w:space="0" w:color="7F7F7F" w:themeColor="text1" w:themeTint="80"/>
              <w:bottom w:val="single" w:sz="8" w:space="0" w:color="7F7F7F" w:themeColor="text1" w:themeTint="80"/>
            </w:tcBorders>
          </w:tcPr>
          <w:p w14:paraId="6799CFD5" w14:textId="77777777" w:rsidR="00B179B3" w:rsidRPr="007553DD" w:rsidRDefault="00B179B3" w:rsidP="00D07D18">
            <w:pPr>
              <w:spacing w:line="240" w:lineRule="auto"/>
              <w:jc w:val="center"/>
              <w:rPr>
                <w:rFonts w:eastAsia="Times New Roman" w:cs="Times New Roman"/>
                <w:lang w:eastAsia="cs-CZ"/>
              </w:rPr>
            </w:pPr>
            <w:r w:rsidRPr="007553DD">
              <w:rPr>
                <w:rFonts w:eastAsia="Times New Roman" w:cs="Times New Roman"/>
                <w:lang w:eastAsia="cs-CZ"/>
              </w:rPr>
              <w:t>3</w:t>
            </w:r>
          </w:p>
        </w:tc>
        <w:tc>
          <w:tcPr>
            <w:tcW w:w="570" w:type="pct"/>
            <w:tcBorders>
              <w:top w:val="single" w:sz="4" w:space="0" w:color="7F7F7F" w:themeColor="text1" w:themeTint="80"/>
              <w:bottom w:val="single" w:sz="8" w:space="0" w:color="7F7F7F" w:themeColor="text1" w:themeTint="80"/>
            </w:tcBorders>
          </w:tcPr>
          <w:p w14:paraId="12C70B54" w14:textId="77777777" w:rsidR="00B179B3" w:rsidRPr="007553DD" w:rsidRDefault="00B179B3" w:rsidP="00D07D18">
            <w:pPr>
              <w:spacing w:line="240" w:lineRule="auto"/>
              <w:jc w:val="center"/>
              <w:rPr>
                <w:rFonts w:eastAsia="Times New Roman" w:cs="Times New Roman"/>
                <w:lang w:eastAsia="cs-CZ"/>
              </w:rPr>
            </w:pPr>
            <w:r w:rsidRPr="007553DD">
              <w:rPr>
                <w:rFonts w:eastAsia="Times New Roman" w:cs="Times New Roman"/>
                <w:lang w:eastAsia="cs-CZ"/>
              </w:rPr>
              <w:t>4</w:t>
            </w:r>
          </w:p>
        </w:tc>
      </w:tr>
      <w:tr w:rsidR="007553DD" w:rsidRPr="007553DD" w14:paraId="3983A043" w14:textId="77777777" w:rsidTr="00D07D18">
        <w:tc>
          <w:tcPr>
            <w:tcW w:w="2116" w:type="pct"/>
            <w:tcBorders>
              <w:top w:val="single" w:sz="8" w:space="0" w:color="7F7F7F" w:themeColor="text1" w:themeTint="80"/>
              <w:bottom w:val="single" w:sz="8" w:space="0" w:color="7F7F7F" w:themeColor="text1" w:themeTint="80"/>
            </w:tcBorders>
          </w:tcPr>
          <w:p w14:paraId="1CF20F2D" w14:textId="77777777" w:rsidR="007553DD" w:rsidRPr="007553DD" w:rsidRDefault="007553DD" w:rsidP="007553DD">
            <w:pPr>
              <w:spacing w:line="240" w:lineRule="auto"/>
              <w:rPr>
                <w:rFonts w:eastAsia="Times New Roman" w:cs="Times New Roman"/>
                <w:lang w:eastAsia="cs-CZ"/>
              </w:rPr>
            </w:pPr>
            <w:r w:rsidRPr="007553DD">
              <w:rPr>
                <w:rFonts w:eastAsia="Times New Roman" w:cs="Times New Roman"/>
                <w:b/>
                <w:lang w:eastAsia="cs-CZ"/>
              </w:rPr>
              <w:t>Státní fondy (</w:t>
            </w:r>
            <w:r w:rsidRPr="007553DD">
              <w:rPr>
                <w:rFonts w:eastAsia="Times New Roman" w:cs="Times New Roman"/>
                <w:lang w:eastAsia="cs-CZ"/>
              </w:rPr>
              <w:t>v tom):</w:t>
            </w:r>
          </w:p>
        </w:tc>
        <w:tc>
          <w:tcPr>
            <w:tcW w:w="771" w:type="pct"/>
            <w:tcBorders>
              <w:top w:val="single" w:sz="4" w:space="0" w:color="auto"/>
              <w:left w:val="single" w:sz="4" w:space="0" w:color="auto"/>
              <w:bottom w:val="single" w:sz="4" w:space="0" w:color="auto"/>
              <w:right w:val="single" w:sz="4" w:space="0" w:color="auto"/>
            </w:tcBorders>
          </w:tcPr>
          <w:p w14:paraId="0D3D01C0" w14:textId="4B1697C6" w:rsidR="007553DD" w:rsidRPr="007553DD" w:rsidRDefault="007553DD" w:rsidP="007553DD">
            <w:pPr>
              <w:spacing w:line="240" w:lineRule="auto"/>
              <w:jc w:val="right"/>
              <w:rPr>
                <w:rFonts w:cs="Times New Roman"/>
                <w:b/>
              </w:rPr>
            </w:pPr>
            <w:r w:rsidRPr="007553DD">
              <w:rPr>
                <w:rFonts w:cs="Times New Roman"/>
                <w:b/>
              </w:rPr>
              <w:t>69 801 196</w:t>
            </w:r>
          </w:p>
        </w:tc>
        <w:tc>
          <w:tcPr>
            <w:tcW w:w="772" w:type="pct"/>
            <w:tcBorders>
              <w:top w:val="single" w:sz="8" w:space="0" w:color="7F7F7F" w:themeColor="text1" w:themeTint="80"/>
              <w:bottom w:val="single" w:sz="8" w:space="0" w:color="7F7F7F" w:themeColor="text1" w:themeTint="80"/>
            </w:tcBorders>
          </w:tcPr>
          <w:p w14:paraId="7878D267" w14:textId="13DFFF42" w:rsidR="007553DD" w:rsidRPr="007553DD" w:rsidRDefault="007553DD" w:rsidP="007553DD">
            <w:pPr>
              <w:spacing w:line="240" w:lineRule="auto"/>
              <w:jc w:val="right"/>
              <w:rPr>
                <w:rFonts w:eastAsia="Times New Roman" w:cs="Times New Roman"/>
                <w:b/>
                <w:lang w:eastAsia="cs-CZ"/>
              </w:rPr>
            </w:pPr>
            <w:r w:rsidRPr="007553DD">
              <w:rPr>
                <w:rFonts w:eastAsia="Times New Roman" w:cs="Times New Roman"/>
                <w:b/>
                <w:lang w:eastAsia="cs-CZ"/>
              </w:rPr>
              <w:t>57 576 206</w:t>
            </w:r>
          </w:p>
        </w:tc>
        <w:tc>
          <w:tcPr>
            <w:tcW w:w="771" w:type="pct"/>
            <w:tcBorders>
              <w:top w:val="single" w:sz="8" w:space="0" w:color="7F7F7F" w:themeColor="text1" w:themeTint="80"/>
              <w:bottom w:val="single" w:sz="8" w:space="0" w:color="7F7F7F" w:themeColor="text1" w:themeTint="80"/>
            </w:tcBorders>
          </w:tcPr>
          <w:p w14:paraId="4E2CA756" w14:textId="41F522CB" w:rsidR="007553DD" w:rsidRPr="007553DD" w:rsidRDefault="007553DD" w:rsidP="007553DD">
            <w:pPr>
              <w:spacing w:line="240" w:lineRule="auto"/>
              <w:jc w:val="right"/>
              <w:rPr>
                <w:rFonts w:eastAsia="Times New Roman" w:cs="Times New Roman"/>
                <w:b/>
                <w:lang w:eastAsia="cs-CZ"/>
              </w:rPr>
            </w:pPr>
            <w:r w:rsidRPr="007553DD">
              <w:rPr>
                <w:rFonts w:eastAsia="Times New Roman" w:cs="Times New Roman"/>
                <w:b/>
                <w:lang w:eastAsia="cs-CZ"/>
              </w:rPr>
              <w:t>81 804 946</w:t>
            </w:r>
          </w:p>
        </w:tc>
        <w:tc>
          <w:tcPr>
            <w:tcW w:w="570" w:type="pct"/>
            <w:tcBorders>
              <w:top w:val="single" w:sz="8" w:space="0" w:color="7F7F7F" w:themeColor="text1" w:themeTint="80"/>
              <w:bottom w:val="single" w:sz="8" w:space="0" w:color="7F7F7F" w:themeColor="text1" w:themeTint="80"/>
            </w:tcBorders>
          </w:tcPr>
          <w:p w14:paraId="221C7A11" w14:textId="5088F3CB" w:rsidR="007553DD" w:rsidRPr="007553DD" w:rsidRDefault="007553DD" w:rsidP="007553DD">
            <w:pPr>
              <w:spacing w:line="240" w:lineRule="auto"/>
              <w:jc w:val="right"/>
              <w:rPr>
                <w:rFonts w:eastAsia="Times New Roman" w:cs="Times New Roman"/>
                <w:b/>
                <w:lang w:eastAsia="cs-CZ"/>
              </w:rPr>
            </w:pPr>
            <w:r w:rsidRPr="007553DD">
              <w:rPr>
                <w:rFonts w:eastAsia="Times New Roman" w:cs="Times New Roman"/>
                <w:b/>
                <w:lang w:eastAsia="cs-CZ"/>
              </w:rPr>
              <w:t>142,08</w:t>
            </w:r>
          </w:p>
        </w:tc>
      </w:tr>
      <w:tr w:rsidR="007553DD" w:rsidRPr="007553DD" w14:paraId="30954FAD" w14:textId="77777777" w:rsidTr="00D07D18">
        <w:tc>
          <w:tcPr>
            <w:tcW w:w="2116" w:type="pct"/>
            <w:tcBorders>
              <w:top w:val="single" w:sz="8" w:space="0" w:color="7F7F7F" w:themeColor="text1" w:themeTint="80"/>
              <w:bottom w:val="nil"/>
            </w:tcBorders>
          </w:tcPr>
          <w:p w14:paraId="09A80C20" w14:textId="77777777" w:rsidR="007553DD" w:rsidRPr="007553DD" w:rsidRDefault="007553DD" w:rsidP="007553DD">
            <w:pPr>
              <w:spacing w:line="240" w:lineRule="auto"/>
              <w:rPr>
                <w:rFonts w:eastAsia="Times New Roman" w:cs="Times New Roman"/>
                <w:lang w:eastAsia="cs-CZ"/>
              </w:rPr>
            </w:pPr>
            <w:r w:rsidRPr="007553DD">
              <w:rPr>
                <w:rFonts w:eastAsia="Times New Roman" w:cs="Times New Roman"/>
                <w:lang w:eastAsia="cs-CZ"/>
              </w:rPr>
              <w:t>běžné výdaje celkem v tom:</w:t>
            </w:r>
          </w:p>
        </w:tc>
        <w:tc>
          <w:tcPr>
            <w:tcW w:w="771" w:type="pct"/>
            <w:tcBorders>
              <w:top w:val="single" w:sz="8" w:space="0" w:color="7F7F7F" w:themeColor="text1" w:themeTint="80"/>
              <w:bottom w:val="nil"/>
            </w:tcBorders>
          </w:tcPr>
          <w:p w14:paraId="0EE5DCAD" w14:textId="0B999AE1" w:rsidR="007553DD" w:rsidRPr="007553DD" w:rsidRDefault="007553DD" w:rsidP="007553DD">
            <w:pPr>
              <w:spacing w:line="240" w:lineRule="auto"/>
              <w:jc w:val="right"/>
              <w:rPr>
                <w:rFonts w:eastAsia="Times New Roman" w:cs="Times New Roman"/>
                <w:vertAlign w:val="superscript"/>
                <w:lang w:eastAsia="cs-CZ"/>
              </w:rPr>
            </w:pPr>
            <w:r w:rsidRPr="007553DD">
              <w:rPr>
                <w:rFonts w:eastAsia="Times New Roman" w:cs="Times New Roman"/>
                <w:lang w:eastAsia="cs-CZ"/>
              </w:rPr>
              <w:t>21 378 057</w:t>
            </w:r>
          </w:p>
        </w:tc>
        <w:tc>
          <w:tcPr>
            <w:tcW w:w="772" w:type="pct"/>
            <w:tcBorders>
              <w:top w:val="single" w:sz="8" w:space="0" w:color="7F7F7F" w:themeColor="text1" w:themeTint="80"/>
              <w:bottom w:val="nil"/>
            </w:tcBorders>
          </w:tcPr>
          <w:p w14:paraId="234FA367" w14:textId="48FD032F" w:rsidR="007553DD" w:rsidRPr="007553DD" w:rsidRDefault="007553DD" w:rsidP="007553DD">
            <w:pPr>
              <w:spacing w:line="240" w:lineRule="auto"/>
              <w:jc w:val="right"/>
              <w:rPr>
                <w:rFonts w:eastAsia="Times New Roman" w:cs="Times New Roman"/>
                <w:lang w:eastAsia="cs-CZ"/>
              </w:rPr>
            </w:pPr>
            <w:r w:rsidRPr="007553DD">
              <w:rPr>
                <w:rFonts w:eastAsia="Times New Roman" w:cs="Times New Roman"/>
                <w:lang w:eastAsia="cs-CZ"/>
              </w:rPr>
              <w:t>40 052 607</w:t>
            </w:r>
          </w:p>
        </w:tc>
        <w:tc>
          <w:tcPr>
            <w:tcW w:w="771" w:type="pct"/>
            <w:tcBorders>
              <w:top w:val="single" w:sz="8" w:space="0" w:color="7F7F7F" w:themeColor="text1" w:themeTint="80"/>
              <w:bottom w:val="nil"/>
            </w:tcBorders>
          </w:tcPr>
          <w:p w14:paraId="413C75FE" w14:textId="4353C683" w:rsidR="007553DD" w:rsidRPr="007553DD" w:rsidRDefault="007553DD" w:rsidP="007553DD">
            <w:pPr>
              <w:spacing w:line="240" w:lineRule="auto"/>
              <w:jc w:val="right"/>
              <w:rPr>
                <w:rFonts w:eastAsia="Times New Roman" w:cs="Times New Roman"/>
                <w:lang w:eastAsia="cs-CZ"/>
              </w:rPr>
            </w:pPr>
            <w:r w:rsidRPr="007553DD">
              <w:rPr>
                <w:rFonts w:eastAsia="Times New Roman" w:cs="Times New Roman"/>
                <w:lang w:eastAsia="cs-CZ"/>
              </w:rPr>
              <w:t>26 000 000</w:t>
            </w:r>
          </w:p>
        </w:tc>
        <w:tc>
          <w:tcPr>
            <w:tcW w:w="570" w:type="pct"/>
            <w:tcBorders>
              <w:top w:val="single" w:sz="8" w:space="0" w:color="7F7F7F" w:themeColor="text1" w:themeTint="80"/>
              <w:bottom w:val="nil"/>
            </w:tcBorders>
          </w:tcPr>
          <w:p w14:paraId="4787675E" w14:textId="0F657868" w:rsidR="007553DD" w:rsidRPr="007553DD" w:rsidRDefault="007553DD" w:rsidP="007553DD">
            <w:pPr>
              <w:spacing w:line="240" w:lineRule="auto"/>
              <w:jc w:val="right"/>
              <w:rPr>
                <w:rFonts w:eastAsia="Times New Roman" w:cs="Times New Roman"/>
                <w:lang w:eastAsia="cs-CZ"/>
              </w:rPr>
            </w:pPr>
            <w:r w:rsidRPr="007553DD">
              <w:rPr>
                <w:rFonts w:eastAsia="Times New Roman" w:cs="Times New Roman"/>
                <w:lang w:eastAsia="cs-CZ"/>
              </w:rPr>
              <w:t>64,91</w:t>
            </w:r>
          </w:p>
        </w:tc>
      </w:tr>
      <w:tr w:rsidR="007553DD" w:rsidRPr="007553DD" w14:paraId="1322C40A" w14:textId="77777777" w:rsidTr="00D07D18">
        <w:tc>
          <w:tcPr>
            <w:tcW w:w="2116" w:type="pct"/>
            <w:tcBorders>
              <w:top w:val="nil"/>
              <w:bottom w:val="nil"/>
            </w:tcBorders>
          </w:tcPr>
          <w:p w14:paraId="6B1E611C" w14:textId="77777777" w:rsidR="007553DD" w:rsidRPr="007553DD" w:rsidRDefault="007553DD" w:rsidP="007553DD">
            <w:pPr>
              <w:spacing w:line="240" w:lineRule="auto"/>
              <w:rPr>
                <w:rFonts w:eastAsia="Times New Roman" w:cs="Times New Roman"/>
                <w:i/>
                <w:lang w:eastAsia="cs-CZ"/>
              </w:rPr>
            </w:pPr>
            <w:r w:rsidRPr="007553DD">
              <w:rPr>
                <w:rFonts w:eastAsia="Times New Roman" w:cs="Times New Roman"/>
                <w:i/>
                <w:lang w:eastAsia="cs-CZ"/>
              </w:rPr>
              <w:t xml:space="preserve">      prostředky SR</w:t>
            </w:r>
          </w:p>
        </w:tc>
        <w:tc>
          <w:tcPr>
            <w:tcW w:w="771" w:type="pct"/>
            <w:tcBorders>
              <w:top w:val="nil"/>
              <w:bottom w:val="nil"/>
            </w:tcBorders>
          </w:tcPr>
          <w:p w14:paraId="07805108" w14:textId="3D060756"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21 377 594</w:t>
            </w:r>
          </w:p>
        </w:tc>
        <w:tc>
          <w:tcPr>
            <w:tcW w:w="772" w:type="pct"/>
            <w:tcBorders>
              <w:top w:val="nil"/>
              <w:bottom w:val="nil"/>
            </w:tcBorders>
          </w:tcPr>
          <w:p w14:paraId="60B15C12" w14:textId="57E30764"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40 052 607</w:t>
            </w:r>
          </w:p>
        </w:tc>
        <w:tc>
          <w:tcPr>
            <w:tcW w:w="771" w:type="pct"/>
            <w:tcBorders>
              <w:top w:val="nil"/>
              <w:bottom w:val="nil"/>
            </w:tcBorders>
          </w:tcPr>
          <w:p w14:paraId="0F261946" w14:textId="3717FE88"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26 000 000</w:t>
            </w:r>
          </w:p>
        </w:tc>
        <w:tc>
          <w:tcPr>
            <w:tcW w:w="570" w:type="pct"/>
            <w:tcBorders>
              <w:top w:val="nil"/>
              <w:bottom w:val="nil"/>
            </w:tcBorders>
          </w:tcPr>
          <w:p w14:paraId="43A45A23" w14:textId="2E6B1EAD"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64,91</w:t>
            </w:r>
          </w:p>
        </w:tc>
      </w:tr>
      <w:tr w:rsidR="007553DD" w:rsidRPr="007553DD" w14:paraId="4CCB4C91" w14:textId="77777777" w:rsidTr="00D07D18">
        <w:trPr>
          <w:trHeight w:val="176"/>
        </w:trPr>
        <w:tc>
          <w:tcPr>
            <w:tcW w:w="2116" w:type="pct"/>
            <w:tcBorders>
              <w:top w:val="nil"/>
            </w:tcBorders>
          </w:tcPr>
          <w:p w14:paraId="37C76683" w14:textId="77777777" w:rsidR="007553DD" w:rsidRPr="007553DD" w:rsidRDefault="007553DD" w:rsidP="007553DD">
            <w:pPr>
              <w:spacing w:line="240" w:lineRule="auto"/>
              <w:rPr>
                <w:rFonts w:eastAsia="Times New Roman" w:cs="Times New Roman"/>
                <w:i/>
                <w:lang w:eastAsia="cs-CZ"/>
              </w:rPr>
            </w:pPr>
            <w:r w:rsidRPr="007553DD">
              <w:rPr>
                <w:rFonts w:eastAsia="Times New Roman" w:cs="Times New Roman"/>
                <w:i/>
                <w:lang w:eastAsia="cs-CZ"/>
              </w:rPr>
              <w:t xml:space="preserve">      prostředky EU</w:t>
            </w:r>
          </w:p>
        </w:tc>
        <w:tc>
          <w:tcPr>
            <w:tcW w:w="771" w:type="pct"/>
            <w:tcBorders>
              <w:top w:val="nil"/>
            </w:tcBorders>
          </w:tcPr>
          <w:p w14:paraId="77B46FE0" w14:textId="6E08ED26"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463</w:t>
            </w:r>
          </w:p>
        </w:tc>
        <w:tc>
          <w:tcPr>
            <w:tcW w:w="772" w:type="pct"/>
            <w:tcBorders>
              <w:top w:val="nil"/>
            </w:tcBorders>
          </w:tcPr>
          <w:p w14:paraId="6034DEBB" w14:textId="06C31787"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0</w:t>
            </w:r>
          </w:p>
        </w:tc>
        <w:tc>
          <w:tcPr>
            <w:tcW w:w="771" w:type="pct"/>
            <w:tcBorders>
              <w:top w:val="nil"/>
            </w:tcBorders>
          </w:tcPr>
          <w:p w14:paraId="67519D99" w14:textId="5E8F27D5"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0</w:t>
            </w:r>
          </w:p>
        </w:tc>
        <w:tc>
          <w:tcPr>
            <w:tcW w:w="570" w:type="pct"/>
            <w:tcBorders>
              <w:top w:val="nil"/>
            </w:tcBorders>
          </w:tcPr>
          <w:p w14:paraId="4117E57A" w14:textId="22C20F09"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x</w:t>
            </w:r>
          </w:p>
        </w:tc>
      </w:tr>
      <w:tr w:rsidR="007553DD" w:rsidRPr="007553DD" w14:paraId="706A69A8" w14:textId="77777777" w:rsidTr="00D07D18">
        <w:tc>
          <w:tcPr>
            <w:tcW w:w="2116" w:type="pct"/>
            <w:tcBorders>
              <w:bottom w:val="nil"/>
            </w:tcBorders>
          </w:tcPr>
          <w:p w14:paraId="2E4528F3" w14:textId="77777777" w:rsidR="007553DD" w:rsidRPr="007553DD" w:rsidRDefault="007553DD" w:rsidP="007553DD">
            <w:pPr>
              <w:spacing w:line="240" w:lineRule="auto"/>
              <w:rPr>
                <w:rFonts w:eastAsia="Times New Roman" w:cs="Times New Roman"/>
                <w:lang w:eastAsia="cs-CZ"/>
              </w:rPr>
            </w:pPr>
            <w:r w:rsidRPr="007553DD">
              <w:rPr>
                <w:rFonts w:eastAsia="Times New Roman" w:cs="Times New Roman"/>
                <w:lang w:eastAsia="cs-CZ"/>
              </w:rPr>
              <w:t>kapitálové výdaje celkem v tom:</w:t>
            </w:r>
          </w:p>
        </w:tc>
        <w:tc>
          <w:tcPr>
            <w:tcW w:w="771" w:type="pct"/>
            <w:tcBorders>
              <w:bottom w:val="nil"/>
            </w:tcBorders>
          </w:tcPr>
          <w:p w14:paraId="2E40B6B0" w14:textId="5AE395DB" w:rsidR="007553DD" w:rsidRPr="007553DD" w:rsidRDefault="007553DD" w:rsidP="007553DD">
            <w:pPr>
              <w:spacing w:line="240" w:lineRule="auto"/>
              <w:jc w:val="right"/>
              <w:rPr>
                <w:rFonts w:eastAsia="Times New Roman" w:cs="Times New Roman"/>
                <w:lang w:eastAsia="cs-CZ"/>
              </w:rPr>
            </w:pPr>
            <w:r w:rsidRPr="007553DD">
              <w:rPr>
                <w:rFonts w:eastAsia="Times New Roman" w:cs="Times New Roman"/>
                <w:lang w:eastAsia="cs-CZ"/>
              </w:rPr>
              <w:t>48 423 139</w:t>
            </w:r>
          </w:p>
        </w:tc>
        <w:tc>
          <w:tcPr>
            <w:tcW w:w="772" w:type="pct"/>
            <w:tcBorders>
              <w:top w:val="single" w:sz="4" w:space="0" w:color="7F7F7F" w:themeColor="text1" w:themeTint="80"/>
              <w:left w:val="single" w:sz="4" w:space="0" w:color="auto"/>
              <w:bottom w:val="nil"/>
              <w:right w:val="single" w:sz="4" w:space="0" w:color="auto"/>
            </w:tcBorders>
          </w:tcPr>
          <w:p w14:paraId="03AD5190" w14:textId="51303AEC" w:rsidR="007553DD" w:rsidRPr="007553DD" w:rsidRDefault="007553DD" w:rsidP="007553DD">
            <w:pPr>
              <w:spacing w:line="240" w:lineRule="auto"/>
              <w:jc w:val="right"/>
              <w:rPr>
                <w:rFonts w:cs="Times New Roman"/>
              </w:rPr>
            </w:pPr>
            <w:r w:rsidRPr="007553DD">
              <w:rPr>
                <w:rFonts w:eastAsia="Times New Roman" w:cs="Times New Roman"/>
                <w:lang w:eastAsia="cs-CZ"/>
              </w:rPr>
              <w:t>17 523 599</w:t>
            </w:r>
          </w:p>
        </w:tc>
        <w:tc>
          <w:tcPr>
            <w:tcW w:w="771" w:type="pct"/>
            <w:tcBorders>
              <w:top w:val="single" w:sz="4" w:space="0" w:color="7F7F7F" w:themeColor="text1" w:themeTint="80"/>
              <w:left w:val="single" w:sz="4" w:space="0" w:color="auto"/>
              <w:bottom w:val="nil"/>
              <w:right w:val="single" w:sz="4" w:space="0" w:color="auto"/>
            </w:tcBorders>
          </w:tcPr>
          <w:p w14:paraId="2B1EA9B3" w14:textId="64CE14DE" w:rsidR="007553DD" w:rsidRPr="007553DD" w:rsidRDefault="007553DD" w:rsidP="007553DD">
            <w:pPr>
              <w:spacing w:line="240" w:lineRule="auto"/>
              <w:jc w:val="right"/>
              <w:rPr>
                <w:rFonts w:cs="Times New Roman"/>
              </w:rPr>
            </w:pPr>
            <w:r w:rsidRPr="007553DD">
              <w:rPr>
                <w:rFonts w:eastAsia="Times New Roman" w:cs="Times New Roman"/>
                <w:lang w:eastAsia="cs-CZ"/>
              </w:rPr>
              <w:t>55 804 946</w:t>
            </w:r>
          </w:p>
        </w:tc>
        <w:tc>
          <w:tcPr>
            <w:tcW w:w="570" w:type="pct"/>
            <w:tcBorders>
              <w:bottom w:val="nil"/>
            </w:tcBorders>
          </w:tcPr>
          <w:p w14:paraId="52610E32" w14:textId="280FA5C5" w:rsidR="007553DD" w:rsidRPr="007553DD" w:rsidRDefault="007553DD" w:rsidP="007553DD">
            <w:pPr>
              <w:spacing w:line="240" w:lineRule="auto"/>
              <w:jc w:val="right"/>
              <w:rPr>
                <w:rFonts w:eastAsia="Times New Roman" w:cs="Times New Roman"/>
                <w:lang w:eastAsia="cs-CZ"/>
              </w:rPr>
            </w:pPr>
            <w:r w:rsidRPr="007553DD">
              <w:rPr>
                <w:rFonts w:eastAsia="Times New Roman" w:cs="Times New Roman"/>
                <w:lang w:eastAsia="cs-CZ"/>
              </w:rPr>
              <w:t>318,46</w:t>
            </w:r>
          </w:p>
        </w:tc>
      </w:tr>
      <w:tr w:rsidR="007553DD" w:rsidRPr="007553DD" w14:paraId="2F6A0D63" w14:textId="77777777" w:rsidTr="00D07D18">
        <w:tc>
          <w:tcPr>
            <w:tcW w:w="2116" w:type="pct"/>
            <w:tcBorders>
              <w:top w:val="nil"/>
              <w:bottom w:val="nil"/>
            </w:tcBorders>
          </w:tcPr>
          <w:p w14:paraId="3D643589" w14:textId="77777777" w:rsidR="007553DD" w:rsidRPr="007553DD" w:rsidRDefault="007553DD" w:rsidP="007553DD">
            <w:pPr>
              <w:spacing w:line="240" w:lineRule="auto"/>
              <w:rPr>
                <w:rFonts w:eastAsia="Times New Roman" w:cs="Times New Roman"/>
                <w:i/>
                <w:lang w:eastAsia="cs-CZ"/>
              </w:rPr>
            </w:pPr>
            <w:r w:rsidRPr="007553DD">
              <w:rPr>
                <w:rFonts w:eastAsia="Times New Roman" w:cs="Times New Roman"/>
                <w:i/>
                <w:lang w:eastAsia="cs-CZ"/>
              </w:rPr>
              <w:t xml:space="preserve">      prostředky SR</w:t>
            </w:r>
          </w:p>
        </w:tc>
        <w:tc>
          <w:tcPr>
            <w:tcW w:w="771" w:type="pct"/>
            <w:tcBorders>
              <w:top w:val="nil"/>
              <w:bottom w:val="nil"/>
            </w:tcBorders>
          </w:tcPr>
          <w:p w14:paraId="4866AB00" w14:textId="42E24530"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42 975 411</w:t>
            </w:r>
          </w:p>
        </w:tc>
        <w:tc>
          <w:tcPr>
            <w:tcW w:w="772" w:type="pct"/>
            <w:tcBorders>
              <w:top w:val="nil"/>
              <w:left w:val="single" w:sz="4" w:space="0" w:color="auto"/>
              <w:bottom w:val="nil"/>
              <w:right w:val="single" w:sz="4" w:space="0" w:color="auto"/>
            </w:tcBorders>
          </w:tcPr>
          <w:p w14:paraId="25BAFDDC" w14:textId="76024851" w:rsidR="007553DD" w:rsidRPr="007553DD" w:rsidRDefault="007553DD" w:rsidP="007553DD">
            <w:pPr>
              <w:spacing w:line="240" w:lineRule="auto"/>
              <w:jc w:val="right"/>
              <w:rPr>
                <w:rFonts w:cs="Times New Roman"/>
                <w:i/>
              </w:rPr>
            </w:pPr>
            <w:r w:rsidRPr="007553DD">
              <w:rPr>
                <w:rFonts w:cs="Times New Roman"/>
                <w:i/>
              </w:rPr>
              <w:t>17 379 099</w:t>
            </w:r>
          </w:p>
        </w:tc>
        <w:tc>
          <w:tcPr>
            <w:tcW w:w="771" w:type="pct"/>
            <w:tcBorders>
              <w:top w:val="nil"/>
              <w:left w:val="single" w:sz="4" w:space="0" w:color="auto"/>
              <w:bottom w:val="nil"/>
              <w:right w:val="single" w:sz="4" w:space="0" w:color="auto"/>
            </w:tcBorders>
          </w:tcPr>
          <w:p w14:paraId="11A9B91E" w14:textId="7043CF77" w:rsidR="007553DD" w:rsidRPr="007553DD" w:rsidRDefault="007553DD" w:rsidP="007553DD">
            <w:pPr>
              <w:spacing w:line="240" w:lineRule="auto"/>
              <w:jc w:val="right"/>
              <w:rPr>
                <w:rFonts w:cs="Times New Roman"/>
                <w:i/>
              </w:rPr>
            </w:pPr>
            <w:r w:rsidRPr="007553DD">
              <w:rPr>
                <w:rFonts w:cs="Times New Roman"/>
                <w:i/>
              </w:rPr>
              <w:t>55 804 946</w:t>
            </w:r>
          </w:p>
        </w:tc>
        <w:tc>
          <w:tcPr>
            <w:tcW w:w="570" w:type="pct"/>
            <w:tcBorders>
              <w:top w:val="nil"/>
              <w:bottom w:val="nil"/>
            </w:tcBorders>
          </w:tcPr>
          <w:p w14:paraId="372F5F5C" w14:textId="31303A99"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321,10</w:t>
            </w:r>
          </w:p>
        </w:tc>
      </w:tr>
      <w:tr w:rsidR="007553DD" w:rsidRPr="00D070B8" w14:paraId="322D0183" w14:textId="77777777" w:rsidTr="00D07D18">
        <w:tc>
          <w:tcPr>
            <w:tcW w:w="2116" w:type="pct"/>
            <w:tcBorders>
              <w:top w:val="nil"/>
              <w:bottom w:val="single" w:sz="8" w:space="0" w:color="7F7F7F" w:themeColor="text1" w:themeTint="80"/>
            </w:tcBorders>
          </w:tcPr>
          <w:p w14:paraId="129054F3" w14:textId="77777777" w:rsidR="007553DD" w:rsidRPr="007553DD" w:rsidRDefault="007553DD" w:rsidP="007553DD">
            <w:pPr>
              <w:spacing w:line="240" w:lineRule="auto"/>
              <w:rPr>
                <w:rFonts w:eastAsia="Times New Roman" w:cs="Times New Roman"/>
                <w:i/>
                <w:lang w:eastAsia="cs-CZ"/>
              </w:rPr>
            </w:pPr>
            <w:r w:rsidRPr="007553DD">
              <w:rPr>
                <w:rFonts w:eastAsia="Times New Roman" w:cs="Times New Roman"/>
                <w:i/>
                <w:lang w:eastAsia="cs-CZ"/>
              </w:rPr>
              <w:t xml:space="preserve">      prostředky EU</w:t>
            </w:r>
          </w:p>
        </w:tc>
        <w:tc>
          <w:tcPr>
            <w:tcW w:w="771" w:type="pct"/>
            <w:tcBorders>
              <w:top w:val="nil"/>
              <w:bottom w:val="single" w:sz="8" w:space="0" w:color="7F7F7F" w:themeColor="text1" w:themeTint="80"/>
            </w:tcBorders>
          </w:tcPr>
          <w:p w14:paraId="4617BAC7" w14:textId="3B998630"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5 447 728</w:t>
            </w:r>
          </w:p>
        </w:tc>
        <w:tc>
          <w:tcPr>
            <w:tcW w:w="772" w:type="pct"/>
            <w:tcBorders>
              <w:top w:val="nil"/>
              <w:left w:val="single" w:sz="4" w:space="0" w:color="auto"/>
              <w:bottom w:val="single" w:sz="8" w:space="0" w:color="7F7F7F" w:themeColor="text1" w:themeTint="80"/>
              <w:right w:val="single" w:sz="4" w:space="0" w:color="auto"/>
            </w:tcBorders>
          </w:tcPr>
          <w:p w14:paraId="17654F98" w14:textId="060426CB" w:rsidR="007553DD" w:rsidRPr="007553DD" w:rsidRDefault="007553DD" w:rsidP="007553DD">
            <w:pPr>
              <w:spacing w:line="240" w:lineRule="auto"/>
              <w:jc w:val="right"/>
              <w:rPr>
                <w:rFonts w:cs="Times New Roman"/>
                <w:i/>
              </w:rPr>
            </w:pPr>
            <w:r w:rsidRPr="007553DD">
              <w:rPr>
                <w:rFonts w:eastAsia="Times New Roman" w:cs="Times New Roman"/>
                <w:i/>
                <w:lang w:eastAsia="cs-CZ"/>
              </w:rPr>
              <w:t>114 500</w:t>
            </w:r>
          </w:p>
        </w:tc>
        <w:tc>
          <w:tcPr>
            <w:tcW w:w="771" w:type="pct"/>
            <w:tcBorders>
              <w:top w:val="nil"/>
              <w:left w:val="single" w:sz="4" w:space="0" w:color="auto"/>
              <w:bottom w:val="single" w:sz="8" w:space="0" w:color="7F7F7F" w:themeColor="text1" w:themeTint="80"/>
              <w:right w:val="single" w:sz="4" w:space="0" w:color="auto"/>
            </w:tcBorders>
          </w:tcPr>
          <w:p w14:paraId="24AB31E4" w14:textId="79EDFD7E" w:rsidR="007553DD" w:rsidRPr="007553DD" w:rsidRDefault="007553DD" w:rsidP="007553DD">
            <w:pPr>
              <w:spacing w:line="240" w:lineRule="auto"/>
              <w:jc w:val="right"/>
              <w:rPr>
                <w:rFonts w:cs="Times New Roman"/>
                <w:i/>
              </w:rPr>
            </w:pPr>
            <w:r w:rsidRPr="007553DD">
              <w:rPr>
                <w:rFonts w:eastAsia="Times New Roman" w:cs="Times New Roman"/>
                <w:i/>
                <w:lang w:eastAsia="cs-CZ"/>
              </w:rPr>
              <w:t>0</w:t>
            </w:r>
          </w:p>
        </w:tc>
        <w:tc>
          <w:tcPr>
            <w:tcW w:w="570" w:type="pct"/>
            <w:tcBorders>
              <w:top w:val="nil"/>
            </w:tcBorders>
          </w:tcPr>
          <w:p w14:paraId="56A5D018" w14:textId="5A7039B0" w:rsidR="007553DD" w:rsidRPr="007553DD" w:rsidRDefault="007553DD" w:rsidP="007553DD">
            <w:pPr>
              <w:spacing w:line="240" w:lineRule="auto"/>
              <w:jc w:val="right"/>
              <w:rPr>
                <w:rFonts w:eastAsia="Times New Roman" w:cs="Times New Roman"/>
                <w:i/>
                <w:lang w:eastAsia="cs-CZ"/>
              </w:rPr>
            </w:pPr>
            <w:r w:rsidRPr="007553DD">
              <w:rPr>
                <w:rFonts w:eastAsia="Times New Roman" w:cs="Times New Roman"/>
                <w:i/>
                <w:lang w:eastAsia="cs-CZ"/>
              </w:rPr>
              <w:t>0,00</w:t>
            </w:r>
          </w:p>
        </w:tc>
      </w:tr>
    </w:tbl>
    <w:p w14:paraId="039FBB70" w14:textId="77777777" w:rsidR="00B179B3" w:rsidRPr="007553DD" w:rsidRDefault="00B179B3" w:rsidP="00B179B3">
      <w:pPr>
        <w:pStyle w:val="Styl1"/>
        <w:spacing w:before="200" w:after="200"/>
      </w:pPr>
      <w:r w:rsidRPr="007553DD">
        <w:t>V dalším textu je uváděn návrh rozpočtu výdajů na financování reprodukce majetku v členění na jednotlivé programy vedené v EDS/SMVS.</w:t>
      </w:r>
    </w:p>
    <w:p w14:paraId="21E657AF" w14:textId="3FDAC78C" w:rsidR="00B179B3" w:rsidRPr="007553DD" w:rsidRDefault="00B179B3" w:rsidP="00B179B3">
      <w:pPr>
        <w:pStyle w:val="Titulek"/>
      </w:pPr>
      <w:r w:rsidRPr="007553DD">
        <w:t xml:space="preserve">Tabulka </w:t>
      </w:r>
      <w:r w:rsidR="00696CFC" w:rsidRPr="007553DD">
        <w:fldChar w:fldCharType="begin"/>
      </w:r>
      <w:r w:rsidR="00696CFC" w:rsidRPr="007553DD">
        <w:instrText xml:space="preserve"> SEQ Tabulka \* ARABIC </w:instrText>
      </w:r>
      <w:r w:rsidR="00696CFC" w:rsidRPr="007553DD">
        <w:fldChar w:fldCharType="separate"/>
      </w:r>
      <w:r w:rsidR="005B3B1D" w:rsidRPr="007553DD">
        <w:rPr>
          <w:noProof/>
        </w:rPr>
        <w:t>49</w:t>
      </w:r>
      <w:r w:rsidR="00696CFC" w:rsidRPr="007553DD">
        <w:rPr>
          <w:noProof/>
        </w:rPr>
        <w:fldChar w:fldCharType="end"/>
      </w:r>
      <w:r w:rsidRPr="007553DD">
        <w:t xml:space="preserve"> Přehled jednotlivých programů vedených v EDS/SMVS (v tis. Kč)</w:t>
      </w:r>
    </w:p>
    <w:tbl>
      <w:tblPr>
        <w:tblW w:w="5241"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1833"/>
        <w:gridCol w:w="1277"/>
        <w:gridCol w:w="1275"/>
        <w:gridCol w:w="1273"/>
        <w:gridCol w:w="1279"/>
        <w:gridCol w:w="1273"/>
        <w:gridCol w:w="1277"/>
      </w:tblGrid>
      <w:tr w:rsidR="00B179B3" w:rsidRPr="007553DD" w14:paraId="5627570F" w14:textId="77777777" w:rsidTr="00D07D18">
        <w:tc>
          <w:tcPr>
            <w:tcW w:w="96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BE9D8F" w14:textId="77777777" w:rsidR="00B179B3" w:rsidRPr="007553DD" w:rsidRDefault="00B179B3" w:rsidP="00D07D18">
            <w:pPr>
              <w:spacing w:line="240" w:lineRule="auto"/>
              <w:jc w:val="center"/>
              <w:rPr>
                <w:rFonts w:eastAsia="Times New Roman" w:cs="Times New Roman"/>
                <w:b/>
                <w:bCs/>
                <w:lang w:eastAsia="cs-CZ"/>
              </w:rPr>
            </w:pPr>
            <w:r w:rsidRPr="007553DD">
              <w:rPr>
                <w:rFonts w:eastAsia="Times New Roman" w:cs="Times New Roman"/>
                <w:b/>
                <w:bCs/>
                <w:lang w:eastAsia="cs-CZ"/>
              </w:rPr>
              <w:t>Číslo programu</w:t>
            </w:r>
          </w:p>
        </w:tc>
        <w:tc>
          <w:tcPr>
            <w:tcW w:w="1345" w:type="pct"/>
            <w:gridSpan w:val="2"/>
            <w:shd w:val="thinReverseDiagStripe" w:color="D9D9D9" w:themeColor="background1" w:themeShade="D9" w:fill="auto"/>
            <w:vAlign w:val="center"/>
          </w:tcPr>
          <w:p w14:paraId="57AF2747" w14:textId="469DB2AC" w:rsidR="00B179B3" w:rsidRPr="007553DD" w:rsidRDefault="00B179B3" w:rsidP="00D07D18">
            <w:pPr>
              <w:spacing w:line="240" w:lineRule="auto"/>
              <w:jc w:val="center"/>
              <w:rPr>
                <w:rFonts w:eastAsia="Times New Roman" w:cs="Times New Roman"/>
                <w:b/>
                <w:bCs/>
                <w:lang w:eastAsia="cs-CZ"/>
              </w:rPr>
            </w:pPr>
            <w:r w:rsidRPr="007553DD">
              <w:rPr>
                <w:rFonts w:eastAsia="Times New Roman" w:cs="Times New Roman"/>
                <w:b/>
                <w:bCs/>
                <w:lang w:eastAsia="cs-CZ"/>
              </w:rPr>
              <w:t xml:space="preserve">Skutečnost </w:t>
            </w:r>
            <w:r w:rsidRPr="007553DD">
              <w:rPr>
                <w:rFonts w:eastAsia="Times New Roman" w:cs="Times New Roman"/>
                <w:b/>
                <w:bCs/>
                <w:lang w:eastAsia="cs-CZ"/>
              </w:rPr>
              <w:br/>
              <w:t>202</w:t>
            </w:r>
            <w:r w:rsidR="007553DD" w:rsidRPr="007553DD">
              <w:rPr>
                <w:rFonts w:eastAsia="Times New Roman" w:cs="Times New Roman"/>
                <w:b/>
                <w:bCs/>
                <w:lang w:eastAsia="cs-CZ"/>
              </w:rPr>
              <w:t>3</w:t>
            </w:r>
          </w:p>
        </w:tc>
        <w:tc>
          <w:tcPr>
            <w:tcW w:w="1345" w:type="pct"/>
            <w:gridSpan w:val="2"/>
            <w:shd w:val="thinReverseDiagStripe" w:color="D9D9D9" w:themeColor="background1" w:themeShade="D9" w:fill="auto"/>
            <w:vAlign w:val="center"/>
          </w:tcPr>
          <w:p w14:paraId="7582AEB3" w14:textId="61D9AFC7" w:rsidR="00B179B3" w:rsidRPr="007553DD" w:rsidRDefault="00B179B3" w:rsidP="00D07D18">
            <w:pPr>
              <w:spacing w:line="240" w:lineRule="auto"/>
              <w:jc w:val="center"/>
              <w:rPr>
                <w:rFonts w:eastAsia="Times New Roman" w:cs="Times New Roman"/>
                <w:b/>
                <w:bCs/>
                <w:lang w:eastAsia="cs-CZ"/>
              </w:rPr>
            </w:pPr>
            <w:r w:rsidRPr="007553DD">
              <w:rPr>
                <w:rFonts w:eastAsia="Times New Roman" w:cs="Times New Roman"/>
                <w:b/>
                <w:bCs/>
                <w:lang w:eastAsia="cs-CZ"/>
              </w:rPr>
              <w:t>Schválený rozpočet 202</w:t>
            </w:r>
            <w:r w:rsidR="007553DD" w:rsidRPr="007553DD">
              <w:rPr>
                <w:rFonts w:eastAsia="Times New Roman" w:cs="Times New Roman"/>
                <w:b/>
                <w:bCs/>
                <w:lang w:eastAsia="cs-CZ"/>
              </w:rPr>
              <w:t>4</w:t>
            </w:r>
          </w:p>
        </w:tc>
        <w:tc>
          <w:tcPr>
            <w:tcW w:w="1344" w:type="pct"/>
            <w:gridSpan w:val="2"/>
            <w:shd w:val="thinReverseDiagStripe" w:color="D9D9D9" w:themeColor="background1" w:themeShade="D9" w:fill="auto"/>
            <w:vAlign w:val="center"/>
          </w:tcPr>
          <w:p w14:paraId="3174F60D" w14:textId="77777777" w:rsidR="00B179B3" w:rsidRPr="007553DD" w:rsidRDefault="00B179B3" w:rsidP="00D07D18">
            <w:pPr>
              <w:spacing w:line="240" w:lineRule="auto"/>
              <w:jc w:val="center"/>
              <w:rPr>
                <w:rFonts w:eastAsia="Times New Roman" w:cs="Times New Roman"/>
                <w:b/>
                <w:bCs/>
                <w:lang w:eastAsia="cs-CZ"/>
              </w:rPr>
            </w:pPr>
            <w:r w:rsidRPr="007553DD">
              <w:rPr>
                <w:rFonts w:eastAsia="Times New Roman" w:cs="Times New Roman"/>
                <w:b/>
                <w:bCs/>
                <w:lang w:eastAsia="cs-CZ"/>
              </w:rPr>
              <w:t xml:space="preserve">Návrh rozpočtu </w:t>
            </w:r>
          </w:p>
          <w:p w14:paraId="6F100F49" w14:textId="6C2916A6" w:rsidR="00B179B3" w:rsidRPr="007553DD" w:rsidRDefault="00B179B3" w:rsidP="00D07D18">
            <w:pPr>
              <w:spacing w:line="240" w:lineRule="auto"/>
              <w:jc w:val="center"/>
              <w:rPr>
                <w:rFonts w:eastAsia="Times New Roman" w:cs="Times New Roman"/>
                <w:b/>
                <w:bCs/>
                <w:lang w:eastAsia="cs-CZ"/>
              </w:rPr>
            </w:pPr>
            <w:r w:rsidRPr="007553DD">
              <w:rPr>
                <w:rFonts w:eastAsia="Times New Roman" w:cs="Times New Roman"/>
                <w:b/>
                <w:bCs/>
                <w:lang w:eastAsia="cs-CZ"/>
              </w:rPr>
              <w:t xml:space="preserve"> 202</w:t>
            </w:r>
            <w:r w:rsidR="007553DD" w:rsidRPr="007553DD">
              <w:rPr>
                <w:rFonts w:eastAsia="Times New Roman" w:cs="Times New Roman"/>
                <w:b/>
                <w:bCs/>
                <w:lang w:eastAsia="cs-CZ"/>
              </w:rPr>
              <w:t>5</w:t>
            </w:r>
          </w:p>
        </w:tc>
      </w:tr>
      <w:tr w:rsidR="00B179B3" w:rsidRPr="007553DD" w14:paraId="6C1139C8" w14:textId="77777777" w:rsidTr="00D07D18">
        <w:tc>
          <w:tcPr>
            <w:tcW w:w="96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E43B7E3" w14:textId="77777777" w:rsidR="00B179B3" w:rsidRPr="007553DD" w:rsidRDefault="00B179B3" w:rsidP="00D07D18">
            <w:pPr>
              <w:spacing w:line="240" w:lineRule="auto"/>
              <w:rPr>
                <w:rFonts w:eastAsia="Times New Roman" w:cs="Times New Roman"/>
                <w:lang w:eastAsia="cs-CZ"/>
              </w:rPr>
            </w:pP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6F24659"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SR</w:t>
            </w:r>
          </w:p>
        </w:tc>
        <w:tc>
          <w:tcPr>
            <w:tcW w:w="67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78197BA"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1A69AC8"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SR</w:t>
            </w:r>
          </w:p>
        </w:tc>
        <w:tc>
          <w:tcPr>
            <w:tcW w:w="674"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F8CA6D4"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1E8C106"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SR</w:t>
            </w: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941CAE2" w14:textId="77777777" w:rsidR="00B179B3" w:rsidRPr="007553DD" w:rsidRDefault="00B179B3" w:rsidP="00D07D18">
            <w:pPr>
              <w:spacing w:line="240" w:lineRule="auto"/>
              <w:jc w:val="center"/>
              <w:rPr>
                <w:rFonts w:eastAsia="Times New Roman" w:cs="Times New Roman"/>
                <w:b/>
                <w:lang w:eastAsia="cs-CZ"/>
              </w:rPr>
            </w:pPr>
            <w:r w:rsidRPr="007553DD">
              <w:rPr>
                <w:rFonts w:eastAsia="Times New Roman" w:cs="Times New Roman"/>
                <w:b/>
                <w:lang w:eastAsia="cs-CZ"/>
              </w:rPr>
              <w:t>EU</w:t>
            </w:r>
          </w:p>
        </w:tc>
      </w:tr>
      <w:tr w:rsidR="007553DD" w:rsidRPr="007553DD" w14:paraId="055E3B99" w14:textId="77777777" w:rsidTr="00D07D18">
        <w:trPr>
          <w:trHeight w:val="358"/>
        </w:trPr>
        <w:tc>
          <w:tcPr>
            <w:tcW w:w="966" w:type="pct"/>
            <w:vAlign w:val="center"/>
          </w:tcPr>
          <w:p w14:paraId="63A1AECB" w14:textId="77777777" w:rsidR="007553DD" w:rsidRPr="007553DD" w:rsidRDefault="007553DD" w:rsidP="007553DD">
            <w:pPr>
              <w:spacing w:line="240" w:lineRule="auto"/>
              <w:jc w:val="center"/>
              <w:rPr>
                <w:rFonts w:eastAsia="Times New Roman" w:cs="Times New Roman"/>
                <w:lang w:eastAsia="cs-CZ"/>
              </w:rPr>
            </w:pPr>
            <w:r w:rsidRPr="007553DD">
              <w:rPr>
                <w:rFonts w:eastAsia="Times New Roman" w:cs="Times New Roman"/>
                <w:lang w:eastAsia="cs-CZ"/>
              </w:rPr>
              <w:t>127 76</w:t>
            </w:r>
          </w:p>
        </w:tc>
        <w:tc>
          <w:tcPr>
            <w:tcW w:w="673" w:type="pct"/>
            <w:shd w:val="clear" w:color="auto" w:fill="auto"/>
            <w:vAlign w:val="center"/>
          </w:tcPr>
          <w:p w14:paraId="4CBB7C69" w14:textId="3536D8DD" w:rsidR="007553DD" w:rsidRPr="007553DD" w:rsidRDefault="007553DD" w:rsidP="007553DD">
            <w:pPr>
              <w:spacing w:line="240" w:lineRule="auto"/>
              <w:jc w:val="right"/>
              <w:rPr>
                <w:rFonts w:cs="Times New Roman"/>
              </w:rPr>
            </w:pPr>
            <w:r w:rsidRPr="007553DD">
              <w:rPr>
                <w:rFonts w:cs="Times New Roman"/>
              </w:rPr>
              <w:t>0</w:t>
            </w:r>
          </w:p>
        </w:tc>
        <w:tc>
          <w:tcPr>
            <w:tcW w:w="672" w:type="pct"/>
            <w:shd w:val="clear" w:color="auto" w:fill="auto"/>
            <w:vAlign w:val="center"/>
          </w:tcPr>
          <w:p w14:paraId="4FA099BE" w14:textId="3A8F73A2" w:rsidR="007553DD" w:rsidRPr="007553DD" w:rsidRDefault="007553DD" w:rsidP="007553DD">
            <w:pPr>
              <w:spacing w:line="240" w:lineRule="auto"/>
              <w:jc w:val="right"/>
              <w:rPr>
                <w:rFonts w:cs="Times New Roman"/>
              </w:rPr>
            </w:pPr>
            <w:r w:rsidRPr="007553DD">
              <w:rPr>
                <w:rFonts w:cs="Times New Roman"/>
              </w:rPr>
              <w:t>0</w:t>
            </w:r>
          </w:p>
        </w:tc>
        <w:tc>
          <w:tcPr>
            <w:tcW w:w="671" w:type="pct"/>
            <w:shd w:val="clear" w:color="auto" w:fill="auto"/>
            <w:vAlign w:val="center"/>
          </w:tcPr>
          <w:p w14:paraId="5F36E071" w14:textId="2B5F124B" w:rsidR="007553DD" w:rsidRPr="007553DD" w:rsidRDefault="007553DD" w:rsidP="007553DD">
            <w:pPr>
              <w:spacing w:line="240" w:lineRule="auto"/>
              <w:jc w:val="right"/>
              <w:rPr>
                <w:rFonts w:cs="Times New Roman"/>
              </w:rPr>
            </w:pPr>
            <w:r w:rsidRPr="007553DD">
              <w:rPr>
                <w:rFonts w:cs="Times New Roman"/>
              </w:rPr>
              <w:t>57 431 706</w:t>
            </w:r>
          </w:p>
        </w:tc>
        <w:tc>
          <w:tcPr>
            <w:tcW w:w="674" w:type="pct"/>
            <w:shd w:val="clear" w:color="auto" w:fill="auto"/>
            <w:vAlign w:val="center"/>
          </w:tcPr>
          <w:p w14:paraId="574D47C2" w14:textId="2D2A7437" w:rsidR="007553DD" w:rsidRPr="007553DD" w:rsidRDefault="007553DD" w:rsidP="007553DD">
            <w:pPr>
              <w:spacing w:line="240" w:lineRule="auto"/>
              <w:jc w:val="right"/>
              <w:rPr>
                <w:rFonts w:cs="Times New Roman"/>
              </w:rPr>
            </w:pPr>
            <w:r w:rsidRPr="007553DD">
              <w:rPr>
                <w:rFonts w:cs="Times New Roman"/>
              </w:rPr>
              <w:t>0</w:t>
            </w:r>
          </w:p>
        </w:tc>
        <w:tc>
          <w:tcPr>
            <w:tcW w:w="671" w:type="pct"/>
            <w:shd w:val="clear" w:color="auto" w:fill="auto"/>
            <w:vAlign w:val="center"/>
          </w:tcPr>
          <w:p w14:paraId="4AC6CF38" w14:textId="6C0806AB" w:rsidR="007553DD" w:rsidRPr="007553DD" w:rsidRDefault="007553DD" w:rsidP="007553DD">
            <w:pPr>
              <w:spacing w:line="240" w:lineRule="auto"/>
              <w:jc w:val="right"/>
              <w:rPr>
                <w:rFonts w:cs="Times New Roman"/>
              </w:rPr>
            </w:pPr>
            <w:r w:rsidRPr="007553DD">
              <w:rPr>
                <w:rFonts w:cs="Times New Roman"/>
              </w:rPr>
              <w:t>81 804 946</w:t>
            </w:r>
          </w:p>
        </w:tc>
        <w:tc>
          <w:tcPr>
            <w:tcW w:w="673" w:type="pct"/>
            <w:shd w:val="clear" w:color="auto" w:fill="auto"/>
            <w:vAlign w:val="center"/>
          </w:tcPr>
          <w:p w14:paraId="480866D8" w14:textId="69044148" w:rsidR="007553DD" w:rsidRPr="007553DD" w:rsidRDefault="007553DD" w:rsidP="007553DD">
            <w:pPr>
              <w:spacing w:line="240" w:lineRule="auto"/>
              <w:jc w:val="right"/>
              <w:rPr>
                <w:rFonts w:cs="Times New Roman"/>
              </w:rPr>
            </w:pPr>
            <w:r w:rsidRPr="007553DD">
              <w:rPr>
                <w:rFonts w:cs="Times New Roman"/>
              </w:rPr>
              <w:t>0</w:t>
            </w:r>
          </w:p>
        </w:tc>
      </w:tr>
      <w:tr w:rsidR="007553DD" w:rsidRPr="007553DD" w14:paraId="404006C3" w14:textId="77777777" w:rsidTr="00D07D18">
        <w:trPr>
          <w:trHeight w:val="416"/>
        </w:trPr>
        <w:tc>
          <w:tcPr>
            <w:tcW w:w="966" w:type="pct"/>
            <w:vAlign w:val="center"/>
          </w:tcPr>
          <w:p w14:paraId="0B2108DE" w14:textId="77777777" w:rsidR="007553DD" w:rsidRPr="007553DD" w:rsidRDefault="007553DD" w:rsidP="007553DD">
            <w:pPr>
              <w:spacing w:line="240" w:lineRule="auto"/>
              <w:jc w:val="center"/>
              <w:rPr>
                <w:rFonts w:eastAsia="Times New Roman" w:cs="Times New Roman"/>
                <w:lang w:eastAsia="cs-CZ"/>
              </w:rPr>
            </w:pPr>
            <w:r w:rsidRPr="007553DD">
              <w:rPr>
                <w:rFonts w:eastAsia="Times New Roman" w:cs="Times New Roman"/>
                <w:lang w:eastAsia="cs-CZ"/>
              </w:rPr>
              <w:t>127 77</w:t>
            </w:r>
          </w:p>
        </w:tc>
        <w:tc>
          <w:tcPr>
            <w:tcW w:w="673" w:type="pct"/>
            <w:shd w:val="clear" w:color="auto" w:fill="auto"/>
            <w:vAlign w:val="center"/>
          </w:tcPr>
          <w:p w14:paraId="0D5DED8A" w14:textId="0F71443B" w:rsidR="007553DD" w:rsidRPr="007553DD" w:rsidRDefault="007553DD" w:rsidP="007553DD">
            <w:pPr>
              <w:spacing w:line="240" w:lineRule="auto"/>
              <w:jc w:val="right"/>
              <w:rPr>
                <w:rFonts w:cs="Times New Roman"/>
              </w:rPr>
            </w:pPr>
            <w:r w:rsidRPr="007553DD">
              <w:rPr>
                <w:rFonts w:cs="Times New Roman"/>
              </w:rPr>
              <w:t>64 335 005</w:t>
            </w:r>
          </w:p>
        </w:tc>
        <w:tc>
          <w:tcPr>
            <w:tcW w:w="672" w:type="pct"/>
            <w:shd w:val="clear" w:color="auto" w:fill="auto"/>
            <w:vAlign w:val="center"/>
          </w:tcPr>
          <w:p w14:paraId="676E8625" w14:textId="1FBB2128" w:rsidR="007553DD" w:rsidRPr="007553DD" w:rsidRDefault="007553DD" w:rsidP="007553DD">
            <w:pPr>
              <w:spacing w:line="240" w:lineRule="auto"/>
              <w:jc w:val="right"/>
              <w:rPr>
                <w:rFonts w:cs="Times New Roman"/>
              </w:rPr>
            </w:pPr>
            <w:r w:rsidRPr="007553DD">
              <w:rPr>
                <w:rFonts w:cs="Times New Roman"/>
              </w:rPr>
              <w:t>5 448 191</w:t>
            </w:r>
          </w:p>
        </w:tc>
        <w:tc>
          <w:tcPr>
            <w:tcW w:w="671" w:type="pct"/>
            <w:shd w:val="clear" w:color="auto" w:fill="auto"/>
            <w:vAlign w:val="center"/>
          </w:tcPr>
          <w:p w14:paraId="161D306E" w14:textId="67AD4FF9" w:rsidR="007553DD" w:rsidRPr="007553DD" w:rsidRDefault="007553DD" w:rsidP="007553DD">
            <w:pPr>
              <w:spacing w:line="240" w:lineRule="auto"/>
              <w:jc w:val="right"/>
              <w:rPr>
                <w:rFonts w:cs="Times New Roman"/>
              </w:rPr>
            </w:pPr>
            <w:r w:rsidRPr="007553DD">
              <w:rPr>
                <w:rFonts w:cs="Times New Roman"/>
              </w:rPr>
              <w:t>0</w:t>
            </w:r>
          </w:p>
        </w:tc>
        <w:tc>
          <w:tcPr>
            <w:tcW w:w="674" w:type="pct"/>
            <w:shd w:val="clear" w:color="auto" w:fill="auto"/>
            <w:vAlign w:val="center"/>
          </w:tcPr>
          <w:p w14:paraId="78D7B084" w14:textId="3E96A8DF" w:rsidR="007553DD" w:rsidRPr="007553DD" w:rsidRDefault="007553DD" w:rsidP="007553DD">
            <w:pPr>
              <w:spacing w:line="240" w:lineRule="auto"/>
              <w:jc w:val="right"/>
              <w:rPr>
                <w:rFonts w:cs="Times New Roman"/>
              </w:rPr>
            </w:pPr>
            <w:r w:rsidRPr="007553DD">
              <w:rPr>
                <w:rFonts w:cs="Times New Roman"/>
              </w:rPr>
              <w:t>114 500</w:t>
            </w:r>
          </w:p>
        </w:tc>
        <w:tc>
          <w:tcPr>
            <w:tcW w:w="671" w:type="pct"/>
            <w:shd w:val="clear" w:color="auto" w:fill="auto"/>
            <w:vAlign w:val="center"/>
          </w:tcPr>
          <w:p w14:paraId="059BBFE0" w14:textId="0D3E31B3" w:rsidR="007553DD" w:rsidRPr="007553DD" w:rsidRDefault="007553DD" w:rsidP="007553DD">
            <w:pPr>
              <w:spacing w:line="240" w:lineRule="auto"/>
              <w:jc w:val="right"/>
              <w:rPr>
                <w:rFonts w:cs="Times New Roman"/>
              </w:rPr>
            </w:pPr>
            <w:r w:rsidRPr="007553DD">
              <w:rPr>
                <w:rFonts w:cs="Times New Roman"/>
              </w:rPr>
              <w:t>0</w:t>
            </w:r>
          </w:p>
        </w:tc>
        <w:tc>
          <w:tcPr>
            <w:tcW w:w="673" w:type="pct"/>
            <w:shd w:val="clear" w:color="auto" w:fill="auto"/>
            <w:vAlign w:val="center"/>
          </w:tcPr>
          <w:p w14:paraId="431CBB08" w14:textId="38E7E4ED" w:rsidR="007553DD" w:rsidRPr="007553DD" w:rsidRDefault="007553DD" w:rsidP="007553DD">
            <w:pPr>
              <w:spacing w:line="240" w:lineRule="auto"/>
              <w:jc w:val="right"/>
              <w:rPr>
                <w:rFonts w:cs="Times New Roman"/>
              </w:rPr>
            </w:pPr>
            <w:r w:rsidRPr="007553DD">
              <w:rPr>
                <w:rFonts w:cs="Times New Roman"/>
              </w:rPr>
              <w:t>0</w:t>
            </w:r>
          </w:p>
        </w:tc>
      </w:tr>
      <w:tr w:rsidR="007553DD" w:rsidRPr="007553DD" w14:paraId="7D08EB3B" w14:textId="77777777" w:rsidTr="00D07D18">
        <w:trPr>
          <w:trHeight w:val="273"/>
        </w:trPr>
        <w:tc>
          <w:tcPr>
            <w:tcW w:w="966" w:type="pct"/>
            <w:tcBorders>
              <w:top w:val="single" w:sz="8" w:space="0" w:color="7F7F7F" w:themeColor="text1" w:themeTint="80"/>
              <w:bottom w:val="single" w:sz="8" w:space="0" w:color="7F7F7F" w:themeColor="text1" w:themeTint="80"/>
            </w:tcBorders>
            <w:vAlign w:val="center"/>
          </w:tcPr>
          <w:p w14:paraId="73502D0B" w14:textId="77777777" w:rsidR="007553DD" w:rsidRPr="007553DD" w:rsidRDefault="007553DD" w:rsidP="007553DD">
            <w:pPr>
              <w:spacing w:line="240" w:lineRule="auto"/>
              <w:jc w:val="center"/>
              <w:rPr>
                <w:rFonts w:eastAsia="Times New Roman" w:cs="Times New Roman"/>
                <w:b/>
                <w:lang w:eastAsia="cs-CZ"/>
              </w:rPr>
            </w:pPr>
            <w:r w:rsidRPr="007553DD">
              <w:rPr>
                <w:rFonts w:eastAsia="Times New Roman" w:cs="Times New Roman"/>
                <w:b/>
                <w:lang w:eastAsia="cs-CZ"/>
              </w:rPr>
              <w:t>CELKEM</w:t>
            </w:r>
          </w:p>
        </w:tc>
        <w:tc>
          <w:tcPr>
            <w:tcW w:w="673" w:type="pct"/>
            <w:shd w:val="clear" w:color="auto" w:fill="auto"/>
            <w:vAlign w:val="center"/>
          </w:tcPr>
          <w:p w14:paraId="65DD06C4" w14:textId="287204CA" w:rsidR="007553DD" w:rsidRPr="007553DD" w:rsidRDefault="007553DD" w:rsidP="007553DD">
            <w:pPr>
              <w:spacing w:line="240" w:lineRule="auto"/>
              <w:jc w:val="right"/>
              <w:rPr>
                <w:rFonts w:cs="Times New Roman"/>
                <w:b/>
              </w:rPr>
            </w:pPr>
            <w:r w:rsidRPr="007553DD">
              <w:rPr>
                <w:rFonts w:cs="Times New Roman"/>
                <w:b/>
              </w:rPr>
              <w:t>64 335 005</w:t>
            </w:r>
          </w:p>
        </w:tc>
        <w:tc>
          <w:tcPr>
            <w:tcW w:w="672" w:type="pct"/>
            <w:shd w:val="clear" w:color="auto" w:fill="auto"/>
            <w:vAlign w:val="center"/>
          </w:tcPr>
          <w:p w14:paraId="6B596C23" w14:textId="49B9100D" w:rsidR="007553DD" w:rsidRPr="007553DD" w:rsidRDefault="007553DD" w:rsidP="007553DD">
            <w:pPr>
              <w:spacing w:line="240" w:lineRule="auto"/>
              <w:jc w:val="right"/>
              <w:rPr>
                <w:rFonts w:cs="Times New Roman"/>
                <w:b/>
              </w:rPr>
            </w:pPr>
            <w:r w:rsidRPr="007553DD">
              <w:rPr>
                <w:rFonts w:cs="Times New Roman"/>
                <w:b/>
              </w:rPr>
              <w:t>5 448 191</w:t>
            </w:r>
          </w:p>
        </w:tc>
        <w:tc>
          <w:tcPr>
            <w:tcW w:w="671" w:type="pct"/>
            <w:shd w:val="clear" w:color="auto" w:fill="auto"/>
            <w:vAlign w:val="center"/>
          </w:tcPr>
          <w:p w14:paraId="609659DF" w14:textId="17DEEFD8" w:rsidR="007553DD" w:rsidRPr="007553DD" w:rsidRDefault="007553DD" w:rsidP="007553DD">
            <w:pPr>
              <w:spacing w:line="240" w:lineRule="auto"/>
              <w:jc w:val="right"/>
              <w:rPr>
                <w:rFonts w:cs="Times New Roman"/>
                <w:b/>
              </w:rPr>
            </w:pPr>
            <w:r w:rsidRPr="007553DD">
              <w:rPr>
                <w:rFonts w:cs="Times New Roman"/>
                <w:b/>
              </w:rPr>
              <w:t>57 431 706</w:t>
            </w:r>
          </w:p>
        </w:tc>
        <w:tc>
          <w:tcPr>
            <w:tcW w:w="674" w:type="pct"/>
            <w:shd w:val="clear" w:color="auto" w:fill="auto"/>
            <w:vAlign w:val="center"/>
          </w:tcPr>
          <w:p w14:paraId="0302B43B" w14:textId="54307FF1" w:rsidR="007553DD" w:rsidRPr="007553DD" w:rsidRDefault="007553DD" w:rsidP="007553DD">
            <w:pPr>
              <w:spacing w:line="240" w:lineRule="auto"/>
              <w:jc w:val="right"/>
              <w:rPr>
                <w:rFonts w:cs="Times New Roman"/>
                <w:b/>
              </w:rPr>
            </w:pPr>
            <w:r w:rsidRPr="007553DD">
              <w:rPr>
                <w:rFonts w:cs="Times New Roman"/>
                <w:b/>
              </w:rPr>
              <w:t>114 500</w:t>
            </w:r>
          </w:p>
        </w:tc>
        <w:tc>
          <w:tcPr>
            <w:tcW w:w="671" w:type="pct"/>
            <w:shd w:val="clear" w:color="auto" w:fill="auto"/>
            <w:vAlign w:val="center"/>
          </w:tcPr>
          <w:p w14:paraId="19C8E459" w14:textId="6BB0A59D" w:rsidR="007553DD" w:rsidRPr="007553DD" w:rsidRDefault="007553DD" w:rsidP="007553DD">
            <w:pPr>
              <w:spacing w:line="240" w:lineRule="auto"/>
              <w:jc w:val="right"/>
              <w:rPr>
                <w:rFonts w:cs="Times New Roman"/>
                <w:b/>
              </w:rPr>
            </w:pPr>
            <w:r w:rsidRPr="007553DD">
              <w:rPr>
                <w:rFonts w:cs="Times New Roman"/>
                <w:b/>
              </w:rPr>
              <w:t>81 804 946</w:t>
            </w:r>
          </w:p>
        </w:tc>
        <w:tc>
          <w:tcPr>
            <w:tcW w:w="673" w:type="pct"/>
            <w:shd w:val="clear" w:color="auto" w:fill="auto"/>
            <w:vAlign w:val="center"/>
          </w:tcPr>
          <w:p w14:paraId="4AECE48E" w14:textId="7654C8FD" w:rsidR="007553DD" w:rsidRPr="007553DD" w:rsidRDefault="007553DD" w:rsidP="007553DD">
            <w:pPr>
              <w:spacing w:line="240" w:lineRule="auto"/>
              <w:jc w:val="right"/>
              <w:rPr>
                <w:rFonts w:cs="Times New Roman"/>
                <w:b/>
              </w:rPr>
            </w:pPr>
            <w:r w:rsidRPr="007553DD">
              <w:rPr>
                <w:rFonts w:cs="Times New Roman"/>
                <w:b/>
              </w:rPr>
              <w:t>0</w:t>
            </w:r>
          </w:p>
        </w:tc>
      </w:tr>
    </w:tbl>
    <w:p w14:paraId="5A3539DB" w14:textId="77777777" w:rsidR="00B179B3" w:rsidRPr="007553DD" w:rsidRDefault="00B179B3" w:rsidP="00B179B3">
      <w:pPr>
        <w:keepNext/>
        <w:spacing w:before="160" w:after="80" w:line="240" w:lineRule="auto"/>
        <w:rPr>
          <w:rFonts w:eastAsia="Times New Roman" w:cs="Times New Roman"/>
          <w:szCs w:val="24"/>
          <w:u w:val="single"/>
          <w:lang w:eastAsia="cs-CZ"/>
        </w:rPr>
      </w:pPr>
      <w:r w:rsidRPr="007553DD">
        <w:rPr>
          <w:rFonts w:eastAsia="Times New Roman" w:cs="Times New Roman"/>
          <w:szCs w:val="24"/>
          <w:u w:val="single"/>
          <w:lang w:eastAsia="cs-CZ"/>
        </w:rPr>
        <w:t>Čísla a název programu:</w:t>
      </w:r>
    </w:p>
    <w:p w14:paraId="6B6952E4" w14:textId="77777777" w:rsidR="00B179B3" w:rsidRPr="007553DD" w:rsidRDefault="00B179B3" w:rsidP="00B179B3">
      <w:pPr>
        <w:numPr>
          <w:ilvl w:val="0"/>
          <w:numId w:val="20"/>
        </w:numPr>
        <w:spacing w:before="120" w:after="80" w:line="240" w:lineRule="auto"/>
        <w:ind w:left="567" w:hanging="283"/>
        <w:rPr>
          <w:rFonts w:eastAsia="Times New Roman" w:cs="Times New Roman"/>
          <w:szCs w:val="24"/>
          <w:lang w:eastAsia="cs-CZ"/>
        </w:rPr>
      </w:pPr>
      <w:r w:rsidRPr="007553DD">
        <w:rPr>
          <w:rFonts w:eastAsia="Times New Roman" w:cs="Times New Roman"/>
          <w:szCs w:val="24"/>
          <w:lang w:eastAsia="cs-CZ"/>
        </w:rPr>
        <w:t>127 76 „Ostatní dotace pro SFDI“</w:t>
      </w:r>
    </w:p>
    <w:p w14:paraId="429DF149" w14:textId="77777777" w:rsidR="00B179B3" w:rsidRPr="007553DD" w:rsidRDefault="00B179B3" w:rsidP="00B179B3">
      <w:pPr>
        <w:numPr>
          <w:ilvl w:val="0"/>
          <w:numId w:val="20"/>
        </w:numPr>
        <w:spacing w:before="120" w:after="80" w:line="240" w:lineRule="auto"/>
        <w:ind w:left="567" w:hanging="283"/>
        <w:rPr>
          <w:rFonts w:eastAsia="Times New Roman" w:cs="Times New Roman"/>
          <w:szCs w:val="24"/>
          <w:lang w:eastAsia="cs-CZ"/>
        </w:rPr>
      </w:pPr>
      <w:r w:rsidRPr="007553DD">
        <w:rPr>
          <w:rFonts w:eastAsia="Times New Roman" w:cs="Times New Roman"/>
          <w:szCs w:val="24"/>
          <w:lang w:eastAsia="cs-CZ"/>
        </w:rPr>
        <w:t>127 77 „Podpora financování dopravy“</w:t>
      </w:r>
    </w:p>
    <w:p w14:paraId="0108F127" w14:textId="77777777" w:rsidR="007553DD" w:rsidRPr="004B6943" w:rsidRDefault="007553DD" w:rsidP="007553DD">
      <w:pPr>
        <w:spacing w:before="240" w:after="240" w:line="240" w:lineRule="auto"/>
        <w:rPr>
          <w:rFonts w:eastAsia="Times New Roman" w:cs="Times New Roman"/>
          <w:iCs/>
          <w:szCs w:val="24"/>
          <w:lang w:eastAsia="cs-CZ"/>
        </w:rPr>
      </w:pPr>
      <w:r w:rsidRPr="004B6943">
        <w:rPr>
          <w:rFonts w:eastAsia="Times New Roman" w:cs="Times New Roman"/>
          <w:iCs/>
          <w:szCs w:val="24"/>
          <w:lang w:eastAsia="cs-CZ"/>
        </w:rPr>
        <w:t xml:space="preserve">Finanční prostředky ve výši 81 804 946 tis. Kč jsou v rámci programu </w:t>
      </w:r>
      <w:r w:rsidRPr="004B6943">
        <w:rPr>
          <w:rFonts w:eastAsia="Times New Roman" w:cs="Times New Roman"/>
          <w:b/>
          <w:iCs/>
          <w:szCs w:val="24"/>
          <w:lang w:eastAsia="cs-CZ"/>
        </w:rPr>
        <w:t>127 76 „Ostatní dotace pro SFDI“</w:t>
      </w:r>
      <w:r w:rsidRPr="004B6943">
        <w:rPr>
          <w:rFonts w:eastAsia="Times New Roman" w:cs="Times New Roman"/>
          <w:iCs/>
          <w:szCs w:val="24"/>
          <w:lang w:eastAsia="cs-CZ"/>
        </w:rPr>
        <w:t xml:space="preserve"> určeny:</w:t>
      </w:r>
    </w:p>
    <w:p w14:paraId="4F1815CC" w14:textId="77777777" w:rsidR="007553DD" w:rsidRPr="007553DD" w:rsidRDefault="007553DD" w:rsidP="007553DD">
      <w:pPr>
        <w:numPr>
          <w:ilvl w:val="0"/>
          <w:numId w:val="29"/>
        </w:numPr>
        <w:spacing w:before="120" w:after="120" w:line="240" w:lineRule="auto"/>
        <w:rPr>
          <w:rFonts w:eastAsia="Times New Roman" w:cs="Times New Roman"/>
          <w:iCs/>
          <w:szCs w:val="24"/>
          <w:lang w:eastAsia="cs-CZ"/>
        </w:rPr>
      </w:pPr>
      <w:r w:rsidRPr="004B6943">
        <w:rPr>
          <w:rFonts w:eastAsia="Times New Roman" w:cs="Times New Roman"/>
          <w:iCs/>
          <w:szCs w:val="24"/>
          <w:lang w:eastAsia="cs-CZ"/>
        </w:rPr>
        <w:t xml:space="preserve">na krytí deficitu rozpočtu SFDI ve výši 81 284 348 tis. Kč (v tom: investiční prostředky ve výši 55 284 348 tis. Kč, neinvestiční </w:t>
      </w:r>
      <w:r w:rsidRPr="007553DD">
        <w:rPr>
          <w:rFonts w:eastAsia="Times New Roman" w:cs="Times New Roman"/>
          <w:iCs/>
          <w:szCs w:val="24"/>
          <w:lang w:eastAsia="cs-CZ"/>
        </w:rPr>
        <w:t>prostředky ve výši 26 000 000 tis. Kč),</w:t>
      </w:r>
    </w:p>
    <w:p w14:paraId="29A80483" w14:textId="6A090887" w:rsidR="00B179B3" w:rsidRPr="007553DD" w:rsidRDefault="007553DD" w:rsidP="007553DD">
      <w:pPr>
        <w:numPr>
          <w:ilvl w:val="0"/>
          <w:numId w:val="29"/>
        </w:numPr>
        <w:spacing w:before="120" w:after="120" w:line="240" w:lineRule="auto"/>
        <w:rPr>
          <w:rFonts w:eastAsia="Times New Roman" w:cs="Times New Roman"/>
          <w:iCs/>
          <w:szCs w:val="24"/>
          <w:lang w:eastAsia="cs-CZ"/>
        </w:rPr>
      </w:pPr>
      <w:r w:rsidRPr="007553DD">
        <w:rPr>
          <w:rFonts w:eastAsia="Times New Roman" w:cs="Times New Roman"/>
          <w:iCs/>
          <w:szCs w:val="24"/>
          <w:lang w:eastAsia="cs-CZ"/>
        </w:rPr>
        <w:t>na projekty spolufinancované z úvěru EIB ve výši 520 598 tis. Kč (investiční prostředky).</w:t>
      </w:r>
    </w:p>
    <w:p w14:paraId="3F03FC10" w14:textId="77777777" w:rsidR="00A36B40" w:rsidRPr="00351E8A" w:rsidRDefault="003870F8" w:rsidP="00D00A45">
      <w:pPr>
        <w:pStyle w:val="Nadpis3"/>
      </w:pPr>
      <w:bookmarkStart w:id="240" w:name="_Toc115787318"/>
      <w:bookmarkStart w:id="241" w:name="_Toc115787908"/>
      <w:bookmarkStart w:id="242" w:name="_Toc115787319"/>
      <w:bookmarkStart w:id="243" w:name="_Toc115787909"/>
      <w:bookmarkStart w:id="244" w:name="_Toc115787320"/>
      <w:bookmarkStart w:id="245" w:name="_Toc115787910"/>
      <w:bookmarkStart w:id="246" w:name="_Toc115787321"/>
      <w:bookmarkStart w:id="247" w:name="_Toc115787911"/>
      <w:bookmarkStart w:id="248" w:name="_Toc115787322"/>
      <w:bookmarkStart w:id="249" w:name="_Toc115787912"/>
      <w:bookmarkStart w:id="250" w:name="_Toc115787323"/>
      <w:bookmarkStart w:id="251" w:name="_Toc115787913"/>
      <w:bookmarkStart w:id="252" w:name="_Toc115787324"/>
      <w:bookmarkStart w:id="253" w:name="_Toc115787914"/>
      <w:bookmarkStart w:id="254" w:name="_Toc115787325"/>
      <w:bookmarkStart w:id="255" w:name="_Toc115787915"/>
      <w:bookmarkStart w:id="256" w:name="_Toc179964111"/>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351E8A">
        <w:t>Neziskové a podobné organizace</w:t>
      </w:r>
      <w:bookmarkEnd w:id="256"/>
    </w:p>
    <w:p w14:paraId="0A19739E" w14:textId="13656B5A" w:rsidR="00EA6A16" w:rsidRPr="00351E8A" w:rsidRDefault="00351E8A" w:rsidP="00EA6A16">
      <w:pPr>
        <w:pStyle w:val="Styl1"/>
      </w:pPr>
      <w:bookmarkStart w:id="257" w:name="_Toc78386800"/>
      <w:bookmarkStart w:id="258" w:name="_Toc462314408"/>
      <w:r w:rsidRPr="00351E8A">
        <w:rPr>
          <w:color w:val="000000" w:themeColor="text1"/>
        </w:rPr>
        <w:t>Finanční prostředky pro neziskové a podobné organizace nejsou v rámci EDS/SMVS pro rok 2025 rozpočtovány.</w:t>
      </w:r>
      <w:r w:rsidR="00EA6A16" w:rsidRPr="00351E8A">
        <w:t xml:space="preserve"> </w:t>
      </w:r>
    </w:p>
    <w:p w14:paraId="0D75257B" w14:textId="77777777" w:rsidR="00EA6A16" w:rsidRDefault="00EA6A16" w:rsidP="00EA6A16">
      <w:pPr>
        <w:pStyle w:val="Styl1"/>
      </w:pPr>
      <w:r w:rsidRPr="00351E8A">
        <w:t xml:space="preserve">Druhové členění vykazuje následující tabulka.  </w:t>
      </w:r>
    </w:p>
    <w:p w14:paraId="243B7C55" w14:textId="77777777" w:rsidR="00484930" w:rsidRDefault="00484930" w:rsidP="00EA6A16">
      <w:pPr>
        <w:pStyle w:val="Styl1"/>
      </w:pPr>
    </w:p>
    <w:p w14:paraId="622B922F" w14:textId="62F13FDD" w:rsidR="00EA6A16" w:rsidRPr="00351E8A" w:rsidRDefault="00EA6A16" w:rsidP="00EA6A16">
      <w:pPr>
        <w:pStyle w:val="Titulek"/>
      </w:pPr>
      <w:r w:rsidRPr="00351E8A">
        <w:lastRenderedPageBreak/>
        <w:t xml:space="preserve">Tabulka č. </w:t>
      </w:r>
      <w:r w:rsidRPr="00351E8A">
        <w:rPr>
          <w:noProof/>
        </w:rPr>
        <w:fldChar w:fldCharType="begin"/>
      </w:r>
      <w:r w:rsidRPr="00351E8A">
        <w:rPr>
          <w:noProof/>
        </w:rPr>
        <w:instrText xml:space="preserve"> SEQ Tabulka \* ARABIC </w:instrText>
      </w:r>
      <w:r w:rsidRPr="00351E8A">
        <w:rPr>
          <w:noProof/>
        </w:rPr>
        <w:fldChar w:fldCharType="separate"/>
      </w:r>
      <w:r w:rsidR="005B3B1D">
        <w:rPr>
          <w:noProof/>
        </w:rPr>
        <w:t>50</w:t>
      </w:r>
      <w:r w:rsidRPr="00351E8A">
        <w:rPr>
          <w:noProof/>
        </w:rPr>
        <w:fldChar w:fldCharType="end"/>
      </w:r>
      <w:r w:rsidRPr="00351E8A">
        <w:rPr>
          <w:noProof/>
        </w:rPr>
        <w:t xml:space="preserve"> Výdaje neziskovým a podobným organizacím  vedené v EDS/SMVS (v tis. Kč)</w:t>
      </w:r>
    </w:p>
    <w:tbl>
      <w:tblPr>
        <w:tblW w:w="500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10"/>
        <w:gridCol w:w="1331"/>
        <w:gridCol w:w="1362"/>
        <w:gridCol w:w="1384"/>
        <w:gridCol w:w="1068"/>
      </w:tblGrid>
      <w:tr w:rsidR="00EA6A16" w:rsidRPr="00351E8A" w14:paraId="1CA4F02A" w14:textId="77777777" w:rsidTr="00D07D18">
        <w:tc>
          <w:tcPr>
            <w:tcW w:w="2159" w:type="pct"/>
            <w:tcBorders>
              <w:top w:val="single" w:sz="8" w:space="0" w:color="7F7F7F" w:themeColor="text1" w:themeTint="80"/>
              <w:left w:val="single" w:sz="8" w:space="0" w:color="7F7F7F" w:themeColor="text1" w:themeTint="80"/>
              <w:bottom w:val="single" w:sz="4" w:space="0" w:color="auto"/>
              <w:right w:val="single" w:sz="4" w:space="0" w:color="auto"/>
            </w:tcBorders>
            <w:shd w:val="thinReverseDiagStripe" w:color="D9D9D9" w:themeColor="background1" w:themeShade="D9" w:fill="FFFFFF" w:themeFill="background1"/>
            <w:vAlign w:val="center"/>
          </w:tcPr>
          <w:p w14:paraId="3C93FF40" w14:textId="77777777" w:rsidR="00EA6A16" w:rsidRPr="00351E8A" w:rsidRDefault="00EA6A16" w:rsidP="00D07D18">
            <w:pPr>
              <w:spacing w:line="240" w:lineRule="auto"/>
              <w:jc w:val="center"/>
              <w:rPr>
                <w:rFonts w:eastAsia="Times New Roman" w:cs="Times New Roman"/>
                <w:b/>
                <w:lang w:eastAsia="cs-CZ"/>
              </w:rPr>
            </w:pPr>
            <w:r w:rsidRPr="00351E8A">
              <w:rPr>
                <w:rFonts w:eastAsia="Times New Roman" w:cs="Times New Roman"/>
                <w:b/>
                <w:lang w:eastAsia="cs-CZ"/>
              </w:rPr>
              <w:t>Ukazatel</w:t>
            </w:r>
          </w:p>
        </w:tc>
        <w:tc>
          <w:tcPr>
            <w:tcW w:w="735"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14B3FC7D" w14:textId="77777777"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Skutečnost</w:t>
            </w:r>
          </w:p>
          <w:p w14:paraId="57EA10C4" w14:textId="7625D9CB"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 xml:space="preserve"> 202</w:t>
            </w:r>
            <w:r w:rsidR="00351E8A" w:rsidRPr="00351E8A">
              <w:rPr>
                <w:rFonts w:eastAsia="Times New Roman" w:cs="Times New Roman"/>
                <w:b/>
                <w:lang w:eastAsia="cs-CZ"/>
              </w:rPr>
              <w:t>3</w:t>
            </w:r>
          </w:p>
        </w:tc>
        <w:tc>
          <w:tcPr>
            <w:tcW w:w="752"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49920260" w14:textId="77777777"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Schválený rozpočet</w:t>
            </w:r>
          </w:p>
          <w:p w14:paraId="0171E82F" w14:textId="0860B50B"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 xml:space="preserve"> 202</w:t>
            </w:r>
            <w:r w:rsidR="00351E8A" w:rsidRPr="00351E8A">
              <w:rPr>
                <w:rFonts w:eastAsia="Times New Roman" w:cs="Times New Roman"/>
                <w:b/>
                <w:lang w:eastAsia="cs-CZ"/>
              </w:rPr>
              <w:t>4</w:t>
            </w:r>
          </w:p>
        </w:tc>
        <w:tc>
          <w:tcPr>
            <w:tcW w:w="764"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09E4F53F" w14:textId="77777777"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Návrh</w:t>
            </w:r>
          </w:p>
          <w:p w14:paraId="2FA11EC5" w14:textId="77777777"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rozpočtu</w:t>
            </w:r>
          </w:p>
          <w:p w14:paraId="53264957" w14:textId="1739AD30"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 xml:space="preserve"> 202</w:t>
            </w:r>
            <w:r w:rsidR="00351E8A" w:rsidRPr="00351E8A">
              <w:rPr>
                <w:rFonts w:eastAsia="Times New Roman" w:cs="Times New Roman"/>
                <w:b/>
                <w:lang w:eastAsia="cs-CZ"/>
              </w:rPr>
              <w:t>5</w:t>
            </w:r>
          </w:p>
        </w:tc>
        <w:tc>
          <w:tcPr>
            <w:tcW w:w="590" w:type="pct"/>
            <w:tcBorders>
              <w:top w:val="single" w:sz="8" w:space="0" w:color="7F7F7F" w:themeColor="text1" w:themeTint="80"/>
              <w:left w:val="single" w:sz="4" w:space="0" w:color="auto"/>
              <w:bottom w:val="single" w:sz="4" w:space="0" w:color="auto"/>
              <w:right w:val="single" w:sz="8" w:space="0" w:color="7F7F7F" w:themeColor="text1" w:themeTint="80"/>
            </w:tcBorders>
            <w:shd w:val="thinReverseDiagStripe" w:color="D9D9D9" w:themeColor="background1" w:themeShade="D9" w:fill="FFFFFF" w:themeFill="background1"/>
            <w:vAlign w:val="center"/>
          </w:tcPr>
          <w:p w14:paraId="7ED861A9" w14:textId="77777777"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Index</w:t>
            </w:r>
          </w:p>
          <w:p w14:paraId="4E278AD4" w14:textId="7CD13684"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202</w:t>
            </w:r>
            <w:r w:rsidR="00351E8A" w:rsidRPr="00351E8A">
              <w:rPr>
                <w:rFonts w:eastAsia="Times New Roman" w:cs="Times New Roman"/>
                <w:b/>
                <w:lang w:eastAsia="cs-CZ"/>
              </w:rPr>
              <w:t>5</w:t>
            </w:r>
            <w:r w:rsidR="00EF1FED" w:rsidRPr="00351E8A">
              <w:rPr>
                <w:rFonts w:eastAsia="Times New Roman" w:cs="Times New Roman"/>
                <w:b/>
                <w:lang w:eastAsia="cs-CZ"/>
              </w:rPr>
              <w:t>/ 202</w:t>
            </w:r>
            <w:r w:rsidR="00351E8A" w:rsidRPr="00351E8A">
              <w:rPr>
                <w:rFonts w:eastAsia="Times New Roman" w:cs="Times New Roman"/>
                <w:b/>
                <w:lang w:eastAsia="cs-CZ"/>
              </w:rPr>
              <w:t>4</w:t>
            </w:r>
            <w:r w:rsidRPr="00351E8A">
              <w:rPr>
                <w:rFonts w:eastAsia="Times New Roman" w:cs="Times New Roman"/>
                <w:b/>
                <w:lang w:eastAsia="cs-CZ"/>
              </w:rPr>
              <w:t xml:space="preserve"> </w:t>
            </w:r>
          </w:p>
          <w:p w14:paraId="5E05B95C" w14:textId="77777777" w:rsidR="00EA6A16" w:rsidRPr="00351E8A" w:rsidRDefault="00EA6A16" w:rsidP="00D07D18">
            <w:pPr>
              <w:jc w:val="center"/>
              <w:rPr>
                <w:rFonts w:eastAsia="Times New Roman" w:cs="Times New Roman"/>
                <w:b/>
                <w:lang w:eastAsia="cs-CZ"/>
              </w:rPr>
            </w:pPr>
            <w:r w:rsidRPr="00351E8A">
              <w:rPr>
                <w:rFonts w:eastAsia="Times New Roman" w:cs="Times New Roman"/>
                <w:b/>
                <w:lang w:eastAsia="cs-CZ"/>
              </w:rPr>
              <w:t>(v %)</w:t>
            </w:r>
          </w:p>
        </w:tc>
      </w:tr>
      <w:tr w:rsidR="00EA6A16" w:rsidRPr="00351E8A" w14:paraId="054D0810" w14:textId="77777777" w:rsidTr="00D07D18">
        <w:tc>
          <w:tcPr>
            <w:tcW w:w="2159" w:type="pct"/>
            <w:tcBorders>
              <w:top w:val="single" w:sz="4" w:space="0" w:color="auto"/>
              <w:left w:val="single" w:sz="8" w:space="0" w:color="7F7F7F" w:themeColor="text1" w:themeTint="80"/>
              <w:bottom w:val="single" w:sz="8" w:space="0" w:color="7F7F7F" w:themeColor="text1" w:themeTint="80"/>
              <w:right w:val="single" w:sz="4" w:space="0" w:color="auto"/>
            </w:tcBorders>
          </w:tcPr>
          <w:p w14:paraId="7E9E4AC1" w14:textId="77777777" w:rsidR="00EA6A16" w:rsidRPr="00351E8A" w:rsidRDefault="00EA6A16" w:rsidP="00D07D18">
            <w:pPr>
              <w:spacing w:line="240" w:lineRule="auto"/>
              <w:jc w:val="center"/>
              <w:rPr>
                <w:rFonts w:eastAsia="Times New Roman" w:cs="Times New Roman"/>
                <w:lang w:eastAsia="cs-CZ"/>
              </w:rPr>
            </w:pPr>
            <w:r w:rsidRPr="00351E8A">
              <w:rPr>
                <w:rFonts w:eastAsia="Times New Roman" w:cs="Times New Roman"/>
                <w:lang w:eastAsia="cs-CZ"/>
              </w:rPr>
              <w:t>a</w:t>
            </w:r>
          </w:p>
        </w:tc>
        <w:tc>
          <w:tcPr>
            <w:tcW w:w="735" w:type="pct"/>
            <w:tcBorders>
              <w:top w:val="single" w:sz="4" w:space="0" w:color="auto"/>
              <w:left w:val="single" w:sz="4" w:space="0" w:color="auto"/>
              <w:bottom w:val="single" w:sz="8" w:space="0" w:color="7F7F7F" w:themeColor="text1" w:themeTint="80"/>
              <w:right w:val="single" w:sz="4" w:space="0" w:color="auto"/>
            </w:tcBorders>
          </w:tcPr>
          <w:p w14:paraId="19A6C39A" w14:textId="77777777" w:rsidR="00EA6A16" w:rsidRPr="00351E8A" w:rsidRDefault="00EA6A16" w:rsidP="00D07D18">
            <w:pPr>
              <w:spacing w:line="240" w:lineRule="auto"/>
              <w:jc w:val="center"/>
              <w:rPr>
                <w:rFonts w:eastAsia="Times New Roman" w:cs="Times New Roman"/>
                <w:lang w:eastAsia="cs-CZ"/>
              </w:rPr>
            </w:pPr>
            <w:r w:rsidRPr="00351E8A">
              <w:rPr>
                <w:rFonts w:eastAsia="Times New Roman" w:cs="Times New Roman"/>
                <w:lang w:eastAsia="cs-CZ"/>
              </w:rPr>
              <w:t>1</w:t>
            </w:r>
          </w:p>
        </w:tc>
        <w:tc>
          <w:tcPr>
            <w:tcW w:w="752" w:type="pct"/>
            <w:tcBorders>
              <w:top w:val="single" w:sz="4" w:space="0" w:color="auto"/>
              <w:left w:val="single" w:sz="4" w:space="0" w:color="auto"/>
              <w:bottom w:val="single" w:sz="8" w:space="0" w:color="7F7F7F" w:themeColor="text1" w:themeTint="80"/>
              <w:right w:val="single" w:sz="4" w:space="0" w:color="auto"/>
            </w:tcBorders>
          </w:tcPr>
          <w:p w14:paraId="2DAABD98" w14:textId="77777777" w:rsidR="00EA6A16" w:rsidRPr="00351E8A" w:rsidRDefault="00EA6A16" w:rsidP="00D07D18">
            <w:pPr>
              <w:spacing w:line="240" w:lineRule="auto"/>
              <w:jc w:val="center"/>
              <w:rPr>
                <w:rFonts w:eastAsia="Times New Roman" w:cs="Times New Roman"/>
                <w:lang w:eastAsia="cs-CZ"/>
              </w:rPr>
            </w:pPr>
            <w:r w:rsidRPr="00351E8A">
              <w:rPr>
                <w:rFonts w:eastAsia="Times New Roman" w:cs="Times New Roman"/>
                <w:lang w:eastAsia="cs-CZ"/>
              </w:rPr>
              <w:t>2</w:t>
            </w:r>
          </w:p>
        </w:tc>
        <w:tc>
          <w:tcPr>
            <w:tcW w:w="764" w:type="pct"/>
            <w:tcBorders>
              <w:top w:val="single" w:sz="4" w:space="0" w:color="auto"/>
              <w:left w:val="single" w:sz="4" w:space="0" w:color="auto"/>
              <w:bottom w:val="single" w:sz="8" w:space="0" w:color="7F7F7F" w:themeColor="text1" w:themeTint="80"/>
              <w:right w:val="single" w:sz="4" w:space="0" w:color="auto"/>
            </w:tcBorders>
          </w:tcPr>
          <w:p w14:paraId="0A38311C" w14:textId="77777777" w:rsidR="00EA6A16" w:rsidRPr="00351E8A" w:rsidRDefault="00EA6A16" w:rsidP="00D07D18">
            <w:pPr>
              <w:spacing w:line="240" w:lineRule="auto"/>
              <w:jc w:val="center"/>
              <w:rPr>
                <w:rFonts w:eastAsia="Times New Roman" w:cs="Times New Roman"/>
                <w:lang w:eastAsia="cs-CZ"/>
              </w:rPr>
            </w:pPr>
            <w:r w:rsidRPr="00351E8A">
              <w:rPr>
                <w:rFonts w:eastAsia="Times New Roman" w:cs="Times New Roman"/>
                <w:lang w:eastAsia="cs-CZ"/>
              </w:rPr>
              <w:t>3</w:t>
            </w:r>
          </w:p>
        </w:tc>
        <w:tc>
          <w:tcPr>
            <w:tcW w:w="590" w:type="pct"/>
            <w:tcBorders>
              <w:top w:val="single" w:sz="4" w:space="0" w:color="auto"/>
              <w:left w:val="single" w:sz="4" w:space="0" w:color="auto"/>
              <w:bottom w:val="single" w:sz="8" w:space="0" w:color="7F7F7F" w:themeColor="text1" w:themeTint="80"/>
              <w:right w:val="single" w:sz="8" w:space="0" w:color="7F7F7F" w:themeColor="text1" w:themeTint="80"/>
            </w:tcBorders>
          </w:tcPr>
          <w:p w14:paraId="28C0BE30" w14:textId="77777777" w:rsidR="00EA6A16" w:rsidRPr="00351E8A" w:rsidRDefault="00EA6A16" w:rsidP="00D07D18">
            <w:pPr>
              <w:spacing w:line="240" w:lineRule="auto"/>
              <w:jc w:val="center"/>
              <w:rPr>
                <w:rFonts w:eastAsia="Times New Roman" w:cs="Times New Roman"/>
                <w:lang w:eastAsia="cs-CZ"/>
              </w:rPr>
            </w:pPr>
            <w:r w:rsidRPr="00351E8A">
              <w:rPr>
                <w:rFonts w:eastAsia="Times New Roman" w:cs="Times New Roman"/>
                <w:lang w:eastAsia="cs-CZ"/>
              </w:rPr>
              <w:t>4</w:t>
            </w:r>
          </w:p>
        </w:tc>
      </w:tr>
      <w:tr w:rsidR="00EA6A16" w:rsidRPr="00351E8A" w14:paraId="3FE6B596" w14:textId="77777777" w:rsidTr="00D07D18">
        <w:tc>
          <w:tcPr>
            <w:tcW w:w="2159" w:type="pct"/>
            <w:tcBorders>
              <w:top w:val="single" w:sz="8" w:space="0" w:color="7F7F7F" w:themeColor="text1" w:themeTint="80"/>
              <w:left w:val="single" w:sz="8" w:space="0" w:color="7F7F7F" w:themeColor="text1" w:themeTint="80"/>
              <w:bottom w:val="single" w:sz="8" w:space="0" w:color="7F7F7F" w:themeColor="text1" w:themeTint="80"/>
              <w:right w:val="single" w:sz="4" w:space="0" w:color="auto"/>
            </w:tcBorders>
          </w:tcPr>
          <w:p w14:paraId="773B125E" w14:textId="2E6F56E5" w:rsidR="00EA6A16" w:rsidRPr="00351E8A" w:rsidRDefault="00EA6A16" w:rsidP="00D07D18">
            <w:pPr>
              <w:spacing w:line="240" w:lineRule="auto"/>
              <w:rPr>
                <w:rFonts w:eastAsia="Times New Roman" w:cs="Times New Roman"/>
                <w:lang w:eastAsia="cs-CZ"/>
              </w:rPr>
            </w:pPr>
            <w:r w:rsidRPr="00351E8A">
              <w:rPr>
                <w:rFonts w:eastAsia="Times New Roman" w:cs="Times New Roman"/>
                <w:b/>
                <w:lang w:eastAsia="cs-CZ"/>
              </w:rPr>
              <w:t xml:space="preserve">Neziskové a podobné </w:t>
            </w:r>
            <w:r w:rsidR="006436A1" w:rsidRPr="00351E8A">
              <w:rPr>
                <w:rFonts w:eastAsia="Times New Roman" w:cs="Times New Roman"/>
                <w:b/>
                <w:lang w:eastAsia="cs-CZ"/>
              </w:rPr>
              <w:t>organizace – program</w:t>
            </w:r>
            <w:r w:rsidRPr="00351E8A">
              <w:rPr>
                <w:rFonts w:eastAsia="Times New Roman" w:cs="Times New Roman"/>
                <w:b/>
                <w:lang w:eastAsia="cs-CZ"/>
              </w:rPr>
              <w:t xml:space="preserve"> 127 67 </w:t>
            </w:r>
            <w:r w:rsidRPr="00351E8A">
              <w:rPr>
                <w:rFonts w:eastAsia="Times New Roman" w:cs="Times New Roman"/>
                <w:lang w:eastAsia="cs-CZ"/>
              </w:rPr>
              <w:t>v tom:</w:t>
            </w:r>
          </w:p>
        </w:tc>
        <w:tc>
          <w:tcPr>
            <w:tcW w:w="735"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303CA812" w14:textId="380F4958" w:rsidR="00EA6A16" w:rsidRPr="00351E8A" w:rsidRDefault="00351E8A" w:rsidP="00D07D18">
            <w:pPr>
              <w:jc w:val="right"/>
              <w:rPr>
                <w:rFonts w:eastAsia="Times New Roman" w:cs="Times New Roman"/>
                <w:b/>
                <w:lang w:eastAsia="cs-CZ"/>
              </w:rPr>
            </w:pPr>
            <w:r w:rsidRPr="00351E8A">
              <w:rPr>
                <w:rFonts w:eastAsia="Times New Roman" w:cs="Times New Roman"/>
                <w:b/>
                <w:lang w:eastAsia="cs-CZ"/>
              </w:rPr>
              <w:t>2 176</w:t>
            </w:r>
          </w:p>
        </w:tc>
        <w:tc>
          <w:tcPr>
            <w:tcW w:w="752"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22088133" w14:textId="77777777" w:rsidR="00EA6A16" w:rsidRPr="00351E8A" w:rsidRDefault="00EA6A16" w:rsidP="00D07D18">
            <w:pPr>
              <w:jc w:val="right"/>
              <w:rPr>
                <w:rFonts w:eastAsia="Times New Roman" w:cs="Times New Roman"/>
                <w:b/>
                <w:lang w:eastAsia="cs-CZ"/>
              </w:rPr>
            </w:pPr>
            <w:r w:rsidRPr="00351E8A">
              <w:rPr>
                <w:rFonts w:eastAsia="Times New Roman" w:cs="Times New Roman"/>
                <w:b/>
                <w:lang w:eastAsia="cs-CZ"/>
              </w:rPr>
              <w:t>0</w:t>
            </w:r>
          </w:p>
        </w:tc>
        <w:tc>
          <w:tcPr>
            <w:tcW w:w="764"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3B514005" w14:textId="77777777" w:rsidR="00EA6A16" w:rsidRPr="00351E8A" w:rsidRDefault="00EA6A16" w:rsidP="00D07D18">
            <w:pPr>
              <w:jc w:val="right"/>
              <w:rPr>
                <w:rFonts w:eastAsia="Times New Roman" w:cs="Times New Roman"/>
                <w:b/>
                <w:lang w:eastAsia="cs-CZ"/>
              </w:rPr>
            </w:pPr>
            <w:r w:rsidRPr="00351E8A">
              <w:rPr>
                <w:rFonts w:eastAsia="Times New Roman" w:cs="Times New Roman"/>
                <w:b/>
                <w:lang w:eastAsia="cs-CZ"/>
              </w:rPr>
              <w:t>0</w:t>
            </w:r>
          </w:p>
        </w:tc>
        <w:tc>
          <w:tcPr>
            <w:tcW w:w="590" w:type="pct"/>
            <w:tcBorders>
              <w:top w:val="single" w:sz="8" w:space="0" w:color="7F7F7F" w:themeColor="text1" w:themeTint="80"/>
              <w:left w:val="single" w:sz="4" w:space="0" w:color="auto"/>
              <w:bottom w:val="single" w:sz="8" w:space="0" w:color="7F7F7F" w:themeColor="text1" w:themeTint="80"/>
              <w:right w:val="single" w:sz="8" w:space="0" w:color="7F7F7F" w:themeColor="text1" w:themeTint="80"/>
            </w:tcBorders>
            <w:vAlign w:val="center"/>
          </w:tcPr>
          <w:p w14:paraId="3711C606" w14:textId="77777777" w:rsidR="00EA6A16" w:rsidRPr="00351E8A" w:rsidRDefault="00EA6A16" w:rsidP="00D07D18">
            <w:pPr>
              <w:jc w:val="right"/>
              <w:rPr>
                <w:rFonts w:eastAsia="Times New Roman" w:cs="Times New Roman"/>
                <w:b/>
                <w:lang w:eastAsia="cs-CZ"/>
              </w:rPr>
            </w:pPr>
            <w:r w:rsidRPr="00351E8A">
              <w:rPr>
                <w:rFonts w:eastAsia="Times New Roman" w:cs="Times New Roman"/>
                <w:b/>
                <w:lang w:eastAsia="cs-CZ"/>
              </w:rPr>
              <w:t>x</w:t>
            </w:r>
          </w:p>
        </w:tc>
      </w:tr>
      <w:tr w:rsidR="00EA6A16" w:rsidRPr="00351E8A" w14:paraId="4A86E669" w14:textId="77777777" w:rsidTr="00D07D18">
        <w:tc>
          <w:tcPr>
            <w:tcW w:w="2159" w:type="pct"/>
            <w:tcBorders>
              <w:top w:val="single" w:sz="8" w:space="0" w:color="7F7F7F" w:themeColor="text1" w:themeTint="80"/>
              <w:left w:val="single" w:sz="8" w:space="0" w:color="7F7F7F" w:themeColor="text1" w:themeTint="80"/>
              <w:bottom w:val="nil"/>
              <w:right w:val="single" w:sz="4" w:space="0" w:color="auto"/>
            </w:tcBorders>
          </w:tcPr>
          <w:p w14:paraId="10D11A6E" w14:textId="77777777" w:rsidR="00EA6A16" w:rsidRPr="00351E8A" w:rsidRDefault="00EA6A16" w:rsidP="00D07D18">
            <w:pPr>
              <w:spacing w:line="240" w:lineRule="auto"/>
              <w:rPr>
                <w:rFonts w:eastAsia="Times New Roman" w:cs="Times New Roman"/>
                <w:lang w:eastAsia="cs-CZ"/>
              </w:rPr>
            </w:pPr>
            <w:r w:rsidRPr="00351E8A">
              <w:rPr>
                <w:rFonts w:eastAsia="Times New Roman" w:cs="Times New Roman"/>
                <w:lang w:eastAsia="cs-CZ"/>
              </w:rPr>
              <w:t>běžné výdaje celkem v tom:</w:t>
            </w:r>
          </w:p>
        </w:tc>
        <w:tc>
          <w:tcPr>
            <w:tcW w:w="735" w:type="pct"/>
            <w:tcBorders>
              <w:top w:val="single" w:sz="8" w:space="0" w:color="7F7F7F" w:themeColor="text1" w:themeTint="80"/>
              <w:left w:val="single" w:sz="4" w:space="0" w:color="auto"/>
              <w:bottom w:val="nil"/>
              <w:right w:val="single" w:sz="4" w:space="0" w:color="auto"/>
            </w:tcBorders>
          </w:tcPr>
          <w:p w14:paraId="40EFA6C2" w14:textId="27338042" w:rsidR="00EA6A16" w:rsidRPr="00351E8A" w:rsidRDefault="00351E8A" w:rsidP="00D07D18">
            <w:pPr>
              <w:jc w:val="right"/>
            </w:pPr>
            <w:r w:rsidRPr="00351E8A">
              <w:rPr>
                <w:rFonts w:eastAsia="Times New Roman" w:cs="Times New Roman"/>
                <w:lang w:eastAsia="cs-CZ"/>
              </w:rPr>
              <w:t>2 176</w:t>
            </w:r>
          </w:p>
        </w:tc>
        <w:tc>
          <w:tcPr>
            <w:tcW w:w="752" w:type="pct"/>
            <w:tcBorders>
              <w:top w:val="single" w:sz="8" w:space="0" w:color="7F7F7F" w:themeColor="text1" w:themeTint="80"/>
              <w:left w:val="single" w:sz="4" w:space="0" w:color="auto"/>
              <w:bottom w:val="nil"/>
              <w:right w:val="single" w:sz="4" w:space="0" w:color="auto"/>
            </w:tcBorders>
          </w:tcPr>
          <w:p w14:paraId="44DD2E2D" w14:textId="77777777" w:rsidR="00EA6A16" w:rsidRPr="00351E8A" w:rsidRDefault="00EA6A16" w:rsidP="00D07D18">
            <w:pPr>
              <w:jc w:val="right"/>
              <w:rPr>
                <w:rFonts w:eastAsia="Times New Roman" w:cs="Times New Roman"/>
                <w:lang w:eastAsia="cs-CZ"/>
              </w:rPr>
            </w:pPr>
            <w:r w:rsidRPr="00351E8A">
              <w:rPr>
                <w:rFonts w:eastAsia="Times New Roman" w:cs="Times New Roman"/>
                <w:lang w:eastAsia="cs-CZ"/>
              </w:rPr>
              <w:t>0</w:t>
            </w:r>
          </w:p>
        </w:tc>
        <w:tc>
          <w:tcPr>
            <w:tcW w:w="764" w:type="pct"/>
            <w:tcBorders>
              <w:top w:val="single" w:sz="8" w:space="0" w:color="7F7F7F" w:themeColor="text1" w:themeTint="80"/>
              <w:left w:val="single" w:sz="4" w:space="0" w:color="auto"/>
              <w:bottom w:val="nil"/>
              <w:right w:val="single" w:sz="4" w:space="0" w:color="auto"/>
            </w:tcBorders>
          </w:tcPr>
          <w:p w14:paraId="74415C0C" w14:textId="77777777" w:rsidR="00EA6A16" w:rsidRPr="00351E8A" w:rsidRDefault="00EA6A16" w:rsidP="00D07D18">
            <w:pPr>
              <w:jc w:val="right"/>
              <w:rPr>
                <w:rFonts w:eastAsia="Times New Roman" w:cs="Times New Roman"/>
                <w:lang w:eastAsia="cs-CZ"/>
              </w:rPr>
            </w:pPr>
            <w:r w:rsidRPr="00351E8A">
              <w:rPr>
                <w:rFonts w:eastAsia="Times New Roman" w:cs="Times New Roman"/>
                <w:lang w:eastAsia="cs-CZ"/>
              </w:rPr>
              <w:t>0</w:t>
            </w:r>
          </w:p>
        </w:tc>
        <w:tc>
          <w:tcPr>
            <w:tcW w:w="590" w:type="pct"/>
            <w:tcBorders>
              <w:top w:val="single" w:sz="8" w:space="0" w:color="7F7F7F" w:themeColor="text1" w:themeTint="80"/>
              <w:left w:val="single" w:sz="4" w:space="0" w:color="auto"/>
              <w:bottom w:val="nil"/>
              <w:right w:val="single" w:sz="8" w:space="0" w:color="7F7F7F" w:themeColor="text1" w:themeTint="80"/>
            </w:tcBorders>
          </w:tcPr>
          <w:p w14:paraId="0A752130" w14:textId="77777777" w:rsidR="00EA6A16" w:rsidRPr="00351E8A" w:rsidRDefault="00EA6A16" w:rsidP="00D07D18">
            <w:pPr>
              <w:jc w:val="right"/>
              <w:rPr>
                <w:rFonts w:eastAsia="Times New Roman" w:cs="Times New Roman"/>
                <w:lang w:eastAsia="cs-CZ"/>
              </w:rPr>
            </w:pPr>
            <w:r w:rsidRPr="00351E8A">
              <w:rPr>
                <w:rFonts w:eastAsia="Times New Roman" w:cs="Times New Roman"/>
                <w:lang w:eastAsia="cs-CZ"/>
              </w:rPr>
              <w:t>x</w:t>
            </w:r>
          </w:p>
        </w:tc>
      </w:tr>
      <w:tr w:rsidR="00EA6A16" w:rsidRPr="00351E8A" w14:paraId="39FC4184" w14:textId="77777777" w:rsidTr="00D07D18">
        <w:tc>
          <w:tcPr>
            <w:tcW w:w="2159" w:type="pct"/>
            <w:tcBorders>
              <w:top w:val="nil"/>
              <w:left w:val="single" w:sz="8" w:space="0" w:color="7F7F7F" w:themeColor="text1" w:themeTint="80"/>
              <w:bottom w:val="nil"/>
              <w:right w:val="single" w:sz="4" w:space="0" w:color="auto"/>
            </w:tcBorders>
          </w:tcPr>
          <w:p w14:paraId="344217EC" w14:textId="77777777" w:rsidR="00EA6A16" w:rsidRPr="00351E8A" w:rsidRDefault="00EA6A16" w:rsidP="00D07D18">
            <w:pPr>
              <w:spacing w:line="240" w:lineRule="auto"/>
              <w:rPr>
                <w:rFonts w:eastAsia="Times New Roman" w:cs="Times New Roman"/>
                <w:i/>
                <w:lang w:eastAsia="cs-CZ"/>
              </w:rPr>
            </w:pPr>
            <w:r w:rsidRPr="00351E8A">
              <w:rPr>
                <w:rFonts w:eastAsia="Times New Roman" w:cs="Times New Roman"/>
                <w:i/>
                <w:lang w:eastAsia="cs-CZ"/>
              </w:rPr>
              <w:t xml:space="preserve">      prostředky SR</w:t>
            </w:r>
          </w:p>
        </w:tc>
        <w:tc>
          <w:tcPr>
            <w:tcW w:w="735" w:type="pct"/>
            <w:tcBorders>
              <w:top w:val="nil"/>
              <w:left w:val="single" w:sz="4" w:space="0" w:color="auto"/>
              <w:bottom w:val="nil"/>
              <w:right w:val="single" w:sz="4" w:space="0" w:color="auto"/>
            </w:tcBorders>
          </w:tcPr>
          <w:p w14:paraId="669C810A" w14:textId="74B1FB73" w:rsidR="00EA6A16" w:rsidRPr="00351E8A" w:rsidRDefault="00351E8A" w:rsidP="00D07D18">
            <w:pPr>
              <w:jc w:val="right"/>
              <w:rPr>
                <w:i/>
              </w:rPr>
            </w:pPr>
            <w:r w:rsidRPr="00351E8A">
              <w:rPr>
                <w:rFonts w:eastAsia="Times New Roman" w:cs="Times New Roman"/>
                <w:i/>
                <w:lang w:eastAsia="cs-CZ"/>
              </w:rPr>
              <w:t>2 176</w:t>
            </w:r>
          </w:p>
        </w:tc>
        <w:tc>
          <w:tcPr>
            <w:tcW w:w="752" w:type="pct"/>
            <w:tcBorders>
              <w:top w:val="nil"/>
              <w:left w:val="single" w:sz="4" w:space="0" w:color="auto"/>
              <w:bottom w:val="nil"/>
              <w:right w:val="single" w:sz="4" w:space="0" w:color="auto"/>
            </w:tcBorders>
          </w:tcPr>
          <w:p w14:paraId="1D0F4157" w14:textId="77777777" w:rsidR="00EA6A16" w:rsidRPr="00351E8A" w:rsidRDefault="00EA6A16" w:rsidP="00D07D18">
            <w:pPr>
              <w:jc w:val="right"/>
              <w:rPr>
                <w:rFonts w:eastAsia="Times New Roman" w:cs="Times New Roman"/>
                <w:i/>
                <w:lang w:eastAsia="cs-CZ"/>
              </w:rPr>
            </w:pPr>
            <w:r w:rsidRPr="00351E8A">
              <w:rPr>
                <w:rFonts w:eastAsia="Times New Roman" w:cs="Times New Roman"/>
                <w:i/>
                <w:lang w:eastAsia="cs-CZ"/>
              </w:rPr>
              <w:t>0</w:t>
            </w:r>
          </w:p>
        </w:tc>
        <w:tc>
          <w:tcPr>
            <w:tcW w:w="764" w:type="pct"/>
            <w:tcBorders>
              <w:top w:val="nil"/>
              <w:left w:val="single" w:sz="4" w:space="0" w:color="auto"/>
              <w:bottom w:val="nil"/>
              <w:right w:val="single" w:sz="4" w:space="0" w:color="auto"/>
            </w:tcBorders>
          </w:tcPr>
          <w:p w14:paraId="6D4A5EE0" w14:textId="77777777" w:rsidR="00EA6A16" w:rsidRPr="00351E8A" w:rsidRDefault="00EA6A16" w:rsidP="00D07D18">
            <w:pPr>
              <w:jc w:val="right"/>
              <w:rPr>
                <w:rFonts w:eastAsia="Times New Roman" w:cs="Times New Roman"/>
                <w:i/>
                <w:lang w:eastAsia="cs-CZ"/>
              </w:rPr>
            </w:pPr>
            <w:r w:rsidRPr="00351E8A">
              <w:rPr>
                <w:rFonts w:eastAsia="Times New Roman" w:cs="Times New Roman"/>
                <w:i/>
                <w:lang w:eastAsia="cs-CZ"/>
              </w:rPr>
              <w:t>0</w:t>
            </w:r>
          </w:p>
        </w:tc>
        <w:tc>
          <w:tcPr>
            <w:tcW w:w="590" w:type="pct"/>
            <w:tcBorders>
              <w:top w:val="nil"/>
              <w:left w:val="single" w:sz="4" w:space="0" w:color="auto"/>
              <w:bottom w:val="nil"/>
              <w:right w:val="single" w:sz="8" w:space="0" w:color="7F7F7F" w:themeColor="text1" w:themeTint="80"/>
            </w:tcBorders>
          </w:tcPr>
          <w:p w14:paraId="5926A106" w14:textId="77777777" w:rsidR="00EA6A16" w:rsidRPr="00351E8A" w:rsidRDefault="00EA6A16" w:rsidP="00D07D18">
            <w:pPr>
              <w:jc w:val="right"/>
              <w:rPr>
                <w:rFonts w:eastAsia="Times New Roman" w:cs="Times New Roman"/>
                <w:i/>
                <w:lang w:eastAsia="cs-CZ"/>
              </w:rPr>
            </w:pPr>
            <w:r w:rsidRPr="00351E8A">
              <w:rPr>
                <w:rFonts w:eastAsia="Times New Roman" w:cs="Times New Roman"/>
                <w:i/>
                <w:lang w:eastAsia="cs-CZ"/>
              </w:rPr>
              <w:t>x</w:t>
            </w:r>
          </w:p>
        </w:tc>
      </w:tr>
      <w:tr w:rsidR="00EA6A16" w:rsidRPr="00351E8A" w14:paraId="4F7F1700" w14:textId="77777777" w:rsidTr="00D07D18">
        <w:tc>
          <w:tcPr>
            <w:tcW w:w="2159" w:type="pct"/>
            <w:tcBorders>
              <w:top w:val="nil"/>
              <w:left w:val="single" w:sz="8" w:space="0" w:color="7F7F7F" w:themeColor="text1" w:themeTint="80"/>
              <w:bottom w:val="single" w:sz="4" w:space="0" w:color="auto"/>
              <w:right w:val="single" w:sz="4" w:space="0" w:color="auto"/>
            </w:tcBorders>
          </w:tcPr>
          <w:p w14:paraId="1D6A32BB" w14:textId="77777777" w:rsidR="00EA6A16" w:rsidRPr="00351E8A" w:rsidRDefault="00EA6A16" w:rsidP="00D07D18">
            <w:pPr>
              <w:spacing w:line="240" w:lineRule="auto"/>
              <w:rPr>
                <w:rFonts w:eastAsia="Times New Roman" w:cs="Times New Roman"/>
                <w:i/>
                <w:lang w:eastAsia="cs-CZ"/>
              </w:rPr>
            </w:pPr>
            <w:r w:rsidRPr="00351E8A">
              <w:rPr>
                <w:rFonts w:eastAsia="Times New Roman" w:cs="Times New Roman"/>
                <w:i/>
                <w:lang w:eastAsia="cs-CZ"/>
              </w:rPr>
              <w:t xml:space="preserve">      prostředky EU</w:t>
            </w:r>
          </w:p>
        </w:tc>
        <w:tc>
          <w:tcPr>
            <w:tcW w:w="735" w:type="pct"/>
            <w:tcBorders>
              <w:top w:val="nil"/>
              <w:left w:val="single" w:sz="4" w:space="0" w:color="auto"/>
              <w:bottom w:val="single" w:sz="4" w:space="0" w:color="auto"/>
              <w:right w:val="single" w:sz="4" w:space="0" w:color="auto"/>
            </w:tcBorders>
          </w:tcPr>
          <w:p w14:paraId="0E28F83E" w14:textId="77777777" w:rsidR="00EA6A16" w:rsidRPr="00351E8A" w:rsidRDefault="00EA6A16" w:rsidP="00D07D18">
            <w:pPr>
              <w:jc w:val="right"/>
              <w:rPr>
                <w:rFonts w:eastAsia="Times New Roman" w:cs="Times New Roman"/>
                <w:i/>
                <w:lang w:eastAsia="cs-CZ"/>
              </w:rPr>
            </w:pPr>
            <w:r w:rsidRPr="00351E8A">
              <w:rPr>
                <w:rFonts w:eastAsia="Times New Roman" w:cs="Times New Roman"/>
                <w:i/>
                <w:lang w:eastAsia="cs-CZ"/>
              </w:rPr>
              <w:t>0</w:t>
            </w:r>
          </w:p>
        </w:tc>
        <w:tc>
          <w:tcPr>
            <w:tcW w:w="752" w:type="pct"/>
            <w:tcBorders>
              <w:top w:val="nil"/>
              <w:left w:val="single" w:sz="4" w:space="0" w:color="auto"/>
              <w:bottom w:val="single" w:sz="4" w:space="0" w:color="auto"/>
              <w:right w:val="single" w:sz="4" w:space="0" w:color="auto"/>
            </w:tcBorders>
          </w:tcPr>
          <w:p w14:paraId="54C820DD" w14:textId="77777777" w:rsidR="00EA6A16" w:rsidRPr="00351E8A" w:rsidRDefault="00EA6A16" w:rsidP="00D07D18">
            <w:pPr>
              <w:jc w:val="right"/>
              <w:rPr>
                <w:rFonts w:eastAsia="Times New Roman" w:cs="Times New Roman"/>
                <w:i/>
                <w:lang w:eastAsia="cs-CZ"/>
              </w:rPr>
            </w:pPr>
            <w:r w:rsidRPr="00351E8A">
              <w:rPr>
                <w:rFonts w:eastAsia="Times New Roman" w:cs="Times New Roman"/>
                <w:i/>
                <w:lang w:eastAsia="cs-CZ"/>
              </w:rPr>
              <w:t>0</w:t>
            </w:r>
          </w:p>
        </w:tc>
        <w:tc>
          <w:tcPr>
            <w:tcW w:w="764" w:type="pct"/>
            <w:tcBorders>
              <w:top w:val="nil"/>
              <w:left w:val="single" w:sz="4" w:space="0" w:color="auto"/>
              <w:bottom w:val="single" w:sz="4" w:space="0" w:color="auto"/>
              <w:right w:val="single" w:sz="4" w:space="0" w:color="auto"/>
            </w:tcBorders>
          </w:tcPr>
          <w:p w14:paraId="1CA19CEC" w14:textId="77777777" w:rsidR="00EA6A16" w:rsidRPr="00351E8A" w:rsidRDefault="00EA6A16" w:rsidP="00D07D18">
            <w:pPr>
              <w:jc w:val="right"/>
              <w:rPr>
                <w:rFonts w:eastAsia="Times New Roman" w:cs="Times New Roman"/>
                <w:i/>
                <w:lang w:eastAsia="cs-CZ"/>
              </w:rPr>
            </w:pPr>
            <w:r w:rsidRPr="00351E8A">
              <w:rPr>
                <w:rFonts w:eastAsia="Times New Roman" w:cs="Times New Roman"/>
                <w:i/>
                <w:lang w:eastAsia="cs-CZ"/>
              </w:rPr>
              <w:t>0</w:t>
            </w:r>
          </w:p>
        </w:tc>
        <w:tc>
          <w:tcPr>
            <w:tcW w:w="590" w:type="pct"/>
            <w:tcBorders>
              <w:top w:val="nil"/>
              <w:left w:val="single" w:sz="4" w:space="0" w:color="auto"/>
              <w:bottom w:val="single" w:sz="4" w:space="0" w:color="auto"/>
              <w:right w:val="single" w:sz="8" w:space="0" w:color="7F7F7F" w:themeColor="text1" w:themeTint="80"/>
            </w:tcBorders>
          </w:tcPr>
          <w:p w14:paraId="7F0DCD04" w14:textId="77777777" w:rsidR="00EA6A16" w:rsidRPr="00351E8A" w:rsidRDefault="00EA6A16" w:rsidP="00D07D18">
            <w:pPr>
              <w:jc w:val="right"/>
              <w:rPr>
                <w:rFonts w:eastAsia="Times New Roman" w:cs="Times New Roman"/>
                <w:i/>
                <w:lang w:eastAsia="cs-CZ"/>
              </w:rPr>
            </w:pPr>
            <w:r w:rsidRPr="00351E8A">
              <w:rPr>
                <w:rFonts w:eastAsia="Times New Roman" w:cs="Times New Roman"/>
                <w:i/>
                <w:lang w:eastAsia="cs-CZ"/>
              </w:rPr>
              <w:t>x</w:t>
            </w:r>
          </w:p>
        </w:tc>
      </w:tr>
    </w:tbl>
    <w:p w14:paraId="7798207D" w14:textId="224A9DF9" w:rsidR="00351E8A" w:rsidRPr="00351E8A" w:rsidRDefault="00351E8A" w:rsidP="00351E8A">
      <w:pPr>
        <w:keepNext/>
        <w:spacing w:before="160" w:after="80" w:line="240" w:lineRule="auto"/>
        <w:rPr>
          <w:rFonts w:eastAsia="Times New Roman" w:cs="Times New Roman"/>
          <w:szCs w:val="24"/>
          <w:u w:val="single"/>
          <w:lang w:eastAsia="cs-CZ"/>
        </w:rPr>
      </w:pPr>
      <w:r w:rsidRPr="00351E8A">
        <w:rPr>
          <w:rFonts w:eastAsia="Times New Roman" w:cs="Times New Roman"/>
          <w:szCs w:val="24"/>
          <w:u w:val="single"/>
          <w:lang w:eastAsia="cs-CZ"/>
        </w:rPr>
        <w:t>Číslo a název programu:</w:t>
      </w:r>
    </w:p>
    <w:p w14:paraId="22234297" w14:textId="1A04B69D" w:rsidR="00351E8A" w:rsidRPr="00351E8A" w:rsidRDefault="00351E8A" w:rsidP="00351E8A">
      <w:pPr>
        <w:numPr>
          <w:ilvl w:val="0"/>
          <w:numId w:val="20"/>
        </w:numPr>
        <w:spacing w:before="120" w:after="80" w:line="240" w:lineRule="auto"/>
        <w:ind w:left="567" w:hanging="283"/>
        <w:rPr>
          <w:rFonts w:eastAsia="Times New Roman" w:cs="Times New Roman"/>
          <w:szCs w:val="24"/>
          <w:lang w:eastAsia="cs-CZ"/>
        </w:rPr>
      </w:pPr>
      <w:r w:rsidRPr="00351E8A">
        <w:rPr>
          <w:rFonts w:eastAsia="Times New Roman" w:cs="Times New Roman"/>
          <w:szCs w:val="24"/>
          <w:lang w:eastAsia="cs-CZ"/>
        </w:rPr>
        <w:t>127 67 „</w:t>
      </w:r>
      <w:r w:rsidRPr="00351E8A">
        <w:t>Podpora obnovy historických železničních kolejových vozidel v období 2021-2023</w:t>
      </w:r>
      <w:r w:rsidRPr="00351E8A">
        <w:rPr>
          <w:rFonts w:eastAsia="Times New Roman" w:cs="Times New Roman"/>
          <w:szCs w:val="24"/>
          <w:lang w:eastAsia="cs-CZ"/>
        </w:rPr>
        <w:t>“</w:t>
      </w:r>
    </w:p>
    <w:p w14:paraId="0C35BCF9" w14:textId="77777777" w:rsidR="00C86296" w:rsidRPr="00D070B8" w:rsidRDefault="00C86296" w:rsidP="00C86296">
      <w:pPr>
        <w:pStyle w:val="Nadpis3"/>
        <w:rPr>
          <w:color w:val="FF0000"/>
          <w:highlight w:val="yellow"/>
        </w:rPr>
      </w:pPr>
      <w:r w:rsidRPr="00D070B8">
        <w:rPr>
          <w:color w:val="FF0000"/>
          <w:highlight w:val="yellow"/>
        </w:rPr>
        <w:br w:type="page"/>
      </w:r>
    </w:p>
    <w:p w14:paraId="47678EC2" w14:textId="16ADFF7C" w:rsidR="00BD28A7" w:rsidRPr="006C6141" w:rsidRDefault="000E081D">
      <w:pPr>
        <w:pStyle w:val="Nadpis2"/>
      </w:pPr>
      <w:bookmarkStart w:id="259" w:name="_Toc115787327"/>
      <w:bookmarkStart w:id="260" w:name="_Toc115787917"/>
      <w:bookmarkStart w:id="261" w:name="_Toc115787328"/>
      <w:bookmarkStart w:id="262" w:name="_Toc115787918"/>
      <w:bookmarkStart w:id="263" w:name="_Toc115787329"/>
      <w:bookmarkStart w:id="264" w:name="_Toc115787919"/>
      <w:bookmarkStart w:id="265" w:name="_Toc115787330"/>
      <w:bookmarkStart w:id="266" w:name="_Toc115787920"/>
      <w:bookmarkStart w:id="267" w:name="_Toc115787373"/>
      <w:bookmarkStart w:id="268" w:name="_Toc115787963"/>
      <w:bookmarkStart w:id="269" w:name="_Toc115787374"/>
      <w:bookmarkStart w:id="270" w:name="_Toc115787964"/>
      <w:bookmarkStart w:id="271" w:name="_Toc115787380"/>
      <w:bookmarkStart w:id="272" w:name="_Toc115787970"/>
      <w:bookmarkStart w:id="273" w:name="_Toc115787404"/>
      <w:bookmarkStart w:id="274" w:name="_Toc115787994"/>
      <w:bookmarkStart w:id="275" w:name="_Toc115787405"/>
      <w:bookmarkStart w:id="276" w:name="_Toc115787995"/>
      <w:bookmarkStart w:id="277" w:name="_Toc179964112"/>
      <w:bookmarkEnd w:id="257"/>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6C6141">
        <w:lastRenderedPageBreak/>
        <w:t>P</w:t>
      </w:r>
      <w:r w:rsidR="00BD28A7" w:rsidRPr="006C6141">
        <w:t>rostředky fondů Evropské unie</w:t>
      </w:r>
      <w:bookmarkEnd w:id="258"/>
      <w:bookmarkEnd w:id="277"/>
    </w:p>
    <w:p w14:paraId="5F441554" w14:textId="3B340183" w:rsidR="006A5A62" w:rsidRPr="006C6141" w:rsidRDefault="006C6141" w:rsidP="006A5A62">
      <w:pPr>
        <w:pStyle w:val="Styl1"/>
        <w:rPr>
          <w:b/>
          <w:color w:val="FF0000"/>
        </w:rPr>
      </w:pPr>
      <w:bookmarkStart w:id="278" w:name="_Toc462314412"/>
      <w:r w:rsidRPr="006C6141">
        <w:t xml:space="preserve">Návrh rozpočtu kapitoly 327 MD na rok 2025 předpokládá objem prostředků fondů Evropské unie v celkové výši </w:t>
      </w:r>
      <w:r w:rsidRPr="006C6141">
        <w:rPr>
          <w:b/>
        </w:rPr>
        <w:t>37 491</w:t>
      </w:r>
      <w:r w:rsidRPr="006C6141">
        <w:rPr>
          <w:b/>
          <w:bCs/>
        </w:rPr>
        <w:t xml:space="preserve"> 386 </w:t>
      </w:r>
      <w:r w:rsidRPr="006C6141">
        <w:rPr>
          <w:b/>
        </w:rPr>
        <w:t>tis. Kč.</w:t>
      </w:r>
      <w:r w:rsidRPr="006C6141">
        <w:t xml:space="preserve"> V této částce je zahrnuto financování projektů zařazených do programového období 2021–2027 (Program Doprava 2021–2027 – Kohezní fond a Strukturální fondy, Komunitární programy, Národní plán obnovy). Spolufinancování z kapitoly 327 MD se předpokládá ve výši </w:t>
      </w:r>
      <w:r w:rsidRPr="006C6141">
        <w:rPr>
          <w:b/>
        </w:rPr>
        <w:t>16 074 tis. Kč</w:t>
      </w:r>
      <w:r w:rsidR="006A5A62" w:rsidRPr="006C6141">
        <w:rPr>
          <w:b/>
        </w:rPr>
        <w:t>.</w:t>
      </w:r>
    </w:p>
    <w:p w14:paraId="4817C646" w14:textId="3EAC95F0" w:rsidR="00CA2F73" w:rsidRPr="00201CD3" w:rsidRDefault="00CA2F73" w:rsidP="00CA2F73">
      <w:pPr>
        <w:pStyle w:val="Titulek"/>
      </w:pPr>
      <w:r w:rsidRPr="00201CD3">
        <w:t xml:space="preserve">Tabulka č. </w:t>
      </w:r>
      <w:r w:rsidR="00696CFC" w:rsidRPr="00201CD3">
        <w:fldChar w:fldCharType="begin"/>
      </w:r>
      <w:r w:rsidR="00696CFC" w:rsidRPr="00201CD3">
        <w:instrText xml:space="preserve"> SEQ Tabulka \* ARABIC </w:instrText>
      </w:r>
      <w:r w:rsidR="00696CFC" w:rsidRPr="00201CD3">
        <w:fldChar w:fldCharType="separate"/>
      </w:r>
      <w:r w:rsidR="005B3B1D">
        <w:rPr>
          <w:noProof/>
        </w:rPr>
        <w:t>51</w:t>
      </w:r>
      <w:r w:rsidR="00696CFC" w:rsidRPr="00201CD3">
        <w:rPr>
          <w:noProof/>
        </w:rPr>
        <w:fldChar w:fldCharType="end"/>
      </w:r>
      <w:r w:rsidRPr="00201CD3">
        <w:t xml:space="preserve"> Přehled výdajů Evropské unie (v tis. Kč)</w:t>
      </w:r>
    </w:p>
    <w:tbl>
      <w:tblPr>
        <w:tblStyle w:val="Prosttabulka2"/>
        <w:tblW w:w="9357"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90"/>
        <w:gridCol w:w="1424"/>
        <w:gridCol w:w="1800"/>
        <w:gridCol w:w="1743"/>
      </w:tblGrid>
      <w:tr w:rsidR="00A6322E" w:rsidRPr="00201CD3" w14:paraId="7D541303" w14:textId="77777777" w:rsidTr="0029449F">
        <w:trPr>
          <w:trHeight w:val="467"/>
          <w:tblHeader/>
        </w:trPr>
        <w:tc>
          <w:tcPr>
            <w:cnfStyle w:val="000010000000" w:firstRow="0" w:lastRow="0" w:firstColumn="0" w:lastColumn="0" w:oddVBand="1" w:evenVBand="0" w:oddHBand="0" w:evenHBand="0" w:firstRowFirstColumn="0" w:firstRowLastColumn="0" w:lastRowFirstColumn="0" w:lastRowLastColumn="0"/>
            <w:tcW w:w="4390" w:type="dxa"/>
            <w:shd w:val="thinReverseDiagStripe" w:color="D9D9D9" w:themeColor="background1" w:themeShade="D9" w:fill="auto"/>
          </w:tcPr>
          <w:p w14:paraId="4DA0D65A" w14:textId="77777777" w:rsidR="00A6322E" w:rsidRPr="00201CD3" w:rsidRDefault="00A6322E" w:rsidP="0029449F">
            <w:pPr>
              <w:spacing w:before="81"/>
              <w:jc w:val="center"/>
              <w:rPr>
                <w:b/>
                <w:bCs/>
              </w:rPr>
            </w:pPr>
            <w:r w:rsidRPr="00201CD3">
              <w:rPr>
                <w:b/>
                <w:bCs/>
              </w:rPr>
              <w:t>Titul</w:t>
            </w:r>
          </w:p>
        </w:tc>
        <w:tc>
          <w:tcPr>
            <w:cnfStyle w:val="000001000000" w:firstRow="0" w:lastRow="0" w:firstColumn="0" w:lastColumn="0" w:oddVBand="0" w:evenVBand="1" w:oddHBand="0" w:evenHBand="0" w:firstRowFirstColumn="0" w:firstRowLastColumn="0" w:lastRowFirstColumn="0" w:lastRowLastColumn="0"/>
            <w:tcW w:w="1424" w:type="dxa"/>
            <w:shd w:val="thinReverseDiagStripe" w:color="D9D9D9" w:themeColor="background1" w:themeShade="D9" w:fill="auto"/>
          </w:tcPr>
          <w:p w14:paraId="2E4C1CB5" w14:textId="77777777" w:rsidR="00A6322E" w:rsidRPr="00201CD3" w:rsidRDefault="00A6322E" w:rsidP="0029449F">
            <w:pPr>
              <w:jc w:val="center"/>
              <w:rPr>
                <w:b/>
                <w:bCs/>
              </w:rPr>
            </w:pPr>
            <w:r w:rsidRPr="00201CD3">
              <w:rPr>
                <w:b/>
                <w:bCs/>
              </w:rPr>
              <w:t xml:space="preserve">Běžné </w:t>
            </w:r>
          </w:p>
          <w:p w14:paraId="38F60659" w14:textId="77777777" w:rsidR="00A6322E" w:rsidRPr="00201CD3" w:rsidRDefault="00A6322E" w:rsidP="0029449F">
            <w:pPr>
              <w:jc w:val="center"/>
              <w:rPr>
                <w:b/>
                <w:bCs/>
              </w:rPr>
            </w:pPr>
            <w:r w:rsidRPr="00201CD3">
              <w:rPr>
                <w:b/>
                <w:bCs/>
              </w:rPr>
              <w:t>výdaje</w:t>
            </w:r>
          </w:p>
        </w:tc>
        <w:tc>
          <w:tcPr>
            <w:cnfStyle w:val="000010000000" w:firstRow="0" w:lastRow="0" w:firstColumn="0" w:lastColumn="0" w:oddVBand="1" w:evenVBand="0" w:oddHBand="0" w:evenHBand="0" w:firstRowFirstColumn="0" w:firstRowLastColumn="0" w:lastRowFirstColumn="0" w:lastRowLastColumn="0"/>
            <w:tcW w:w="1800" w:type="dxa"/>
            <w:shd w:val="thinReverseDiagStripe" w:color="D9D9D9" w:themeColor="background1" w:themeShade="D9" w:fill="auto"/>
          </w:tcPr>
          <w:p w14:paraId="515E5FD2" w14:textId="77777777" w:rsidR="00A6322E" w:rsidRPr="00201CD3" w:rsidRDefault="00A6322E" w:rsidP="0029449F">
            <w:pPr>
              <w:ind w:left="122" w:hanging="122"/>
              <w:jc w:val="center"/>
              <w:rPr>
                <w:b/>
                <w:bCs/>
              </w:rPr>
            </w:pPr>
            <w:r w:rsidRPr="00201CD3">
              <w:rPr>
                <w:b/>
                <w:bCs/>
              </w:rPr>
              <w:t>Kapitálové výdaje</w:t>
            </w:r>
          </w:p>
        </w:tc>
        <w:tc>
          <w:tcPr>
            <w:cnfStyle w:val="000001000000" w:firstRow="0" w:lastRow="0" w:firstColumn="0" w:lastColumn="0" w:oddVBand="0" w:evenVBand="1" w:oddHBand="0" w:evenHBand="0" w:firstRowFirstColumn="0" w:firstRowLastColumn="0" w:lastRowFirstColumn="0" w:lastRowLastColumn="0"/>
            <w:tcW w:w="1743" w:type="dxa"/>
            <w:shd w:val="thinReverseDiagStripe" w:color="D9D9D9" w:themeColor="background1" w:themeShade="D9" w:fill="auto"/>
          </w:tcPr>
          <w:p w14:paraId="2C8ECCD0" w14:textId="77777777" w:rsidR="00A6322E" w:rsidRPr="00201CD3" w:rsidRDefault="00A6322E" w:rsidP="0029449F">
            <w:pPr>
              <w:spacing w:before="81"/>
              <w:jc w:val="center"/>
              <w:rPr>
                <w:b/>
                <w:bCs/>
              </w:rPr>
            </w:pPr>
            <w:r w:rsidRPr="00201CD3">
              <w:rPr>
                <w:b/>
                <w:bCs/>
              </w:rPr>
              <w:t>Celkem</w:t>
            </w:r>
          </w:p>
        </w:tc>
      </w:tr>
      <w:tr w:rsidR="00201CD3" w:rsidRPr="00201CD3" w14:paraId="41AEF7BB" w14:textId="77777777" w:rsidTr="0029449F">
        <w:trPr>
          <w:trHeight w:val="452"/>
          <w:tblHeader/>
        </w:trPr>
        <w:tc>
          <w:tcPr>
            <w:cnfStyle w:val="000010000000" w:firstRow="0" w:lastRow="0" w:firstColumn="0" w:lastColumn="0" w:oddVBand="1" w:evenVBand="0" w:oddHBand="0" w:evenHBand="0" w:firstRowFirstColumn="0" w:firstRowLastColumn="0" w:lastRowFirstColumn="0" w:lastRowLastColumn="0"/>
            <w:tcW w:w="4390" w:type="dxa"/>
          </w:tcPr>
          <w:p w14:paraId="1D6A56EC" w14:textId="77777777" w:rsidR="00201CD3" w:rsidRPr="00201CD3" w:rsidRDefault="00201CD3" w:rsidP="00201CD3">
            <w:pPr>
              <w:spacing w:before="81"/>
              <w:rPr>
                <w:b/>
                <w:bCs/>
                <w:sz w:val="26"/>
                <w:szCs w:val="26"/>
              </w:rPr>
            </w:pPr>
            <w:r w:rsidRPr="00201CD3">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424" w:type="dxa"/>
          </w:tcPr>
          <w:p w14:paraId="139566E4" w14:textId="3952A10B" w:rsidR="00201CD3" w:rsidRPr="00201CD3" w:rsidRDefault="00201CD3" w:rsidP="00201CD3">
            <w:pPr>
              <w:spacing w:before="81"/>
              <w:jc w:val="right"/>
              <w:rPr>
                <w:b/>
                <w:bCs/>
                <w:sz w:val="26"/>
                <w:szCs w:val="26"/>
              </w:rPr>
            </w:pPr>
            <w:r w:rsidRPr="00201CD3">
              <w:rPr>
                <w:b/>
                <w:bCs/>
                <w:sz w:val="26"/>
                <w:szCs w:val="26"/>
              </w:rPr>
              <w:t>155 010</w:t>
            </w:r>
          </w:p>
        </w:tc>
        <w:tc>
          <w:tcPr>
            <w:cnfStyle w:val="000010000000" w:firstRow="0" w:lastRow="0" w:firstColumn="0" w:lastColumn="0" w:oddVBand="1" w:evenVBand="0" w:oddHBand="0" w:evenHBand="0" w:firstRowFirstColumn="0" w:firstRowLastColumn="0" w:lastRowFirstColumn="0" w:lastRowLastColumn="0"/>
            <w:tcW w:w="1800" w:type="dxa"/>
          </w:tcPr>
          <w:p w14:paraId="6598F36C" w14:textId="350EB1B0" w:rsidR="00201CD3" w:rsidRPr="00201CD3" w:rsidRDefault="00201CD3" w:rsidP="00201CD3">
            <w:pPr>
              <w:spacing w:before="81"/>
              <w:jc w:val="right"/>
              <w:rPr>
                <w:b/>
                <w:bCs/>
                <w:sz w:val="26"/>
                <w:szCs w:val="26"/>
              </w:rPr>
            </w:pPr>
            <w:r w:rsidRPr="00201CD3">
              <w:rPr>
                <w:b/>
                <w:bCs/>
                <w:sz w:val="26"/>
                <w:szCs w:val="26"/>
              </w:rPr>
              <w:t>37 336 376</w:t>
            </w:r>
          </w:p>
        </w:tc>
        <w:tc>
          <w:tcPr>
            <w:cnfStyle w:val="000001000000" w:firstRow="0" w:lastRow="0" w:firstColumn="0" w:lastColumn="0" w:oddVBand="0" w:evenVBand="1" w:oddHBand="0" w:evenHBand="0" w:firstRowFirstColumn="0" w:firstRowLastColumn="0" w:lastRowFirstColumn="0" w:lastRowLastColumn="0"/>
            <w:tcW w:w="1743" w:type="dxa"/>
          </w:tcPr>
          <w:p w14:paraId="37BF51B9" w14:textId="57F4560C" w:rsidR="00201CD3" w:rsidRPr="00201CD3" w:rsidRDefault="00201CD3" w:rsidP="00201CD3">
            <w:pPr>
              <w:tabs>
                <w:tab w:val="left" w:pos="0"/>
              </w:tabs>
              <w:spacing w:before="81"/>
              <w:jc w:val="right"/>
              <w:rPr>
                <w:b/>
                <w:bCs/>
                <w:color w:val="FF0000"/>
                <w:sz w:val="26"/>
                <w:szCs w:val="26"/>
              </w:rPr>
            </w:pPr>
            <w:r w:rsidRPr="00201CD3">
              <w:rPr>
                <w:b/>
                <w:bCs/>
                <w:sz w:val="26"/>
                <w:szCs w:val="26"/>
              </w:rPr>
              <w:t>37 491 386</w:t>
            </w:r>
          </w:p>
        </w:tc>
      </w:tr>
      <w:tr w:rsidR="00201CD3" w:rsidRPr="00201CD3" w14:paraId="5568665E"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1A67FEBE" w14:textId="0565784A" w:rsidR="00201CD3" w:rsidRPr="00201CD3" w:rsidRDefault="00201CD3" w:rsidP="00201CD3">
            <w:pPr>
              <w:rPr>
                <w:b/>
              </w:rPr>
            </w:pPr>
            <w:r w:rsidRPr="00201CD3">
              <w:rPr>
                <w:b/>
              </w:rPr>
              <w:t>Programové období 2021–2027 v tom:</w:t>
            </w:r>
          </w:p>
        </w:tc>
        <w:tc>
          <w:tcPr>
            <w:cnfStyle w:val="000001000000" w:firstRow="0" w:lastRow="0" w:firstColumn="0" w:lastColumn="0" w:oddVBand="0" w:evenVBand="1" w:oddHBand="0" w:evenHBand="0" w:firstRowFirstColumn="0" w:firstRowLastColumn="0" w:lastRowFirstColumn="0" w:lastRowLastColumn="0"/>
            <w:tcW w:w="1424" w:type="dxa"/>
          </w:tcPr>
          <w:p w14:paraId="22A48F6C" w14:textId="0CCC040D" w:rsidR="00201CD3" w:rsidRPr="00201CD3" w:rsidRDefault="00201CD3" w:rsidP="00201CD3">
            <w:pPr>
              <w:jc w:val="right"/>
              <w:rPr>
                <w:b/>
              </w:rPr>
            </w:pPr>
            <w:r w:rsidRPr="00201CD3">
              <w:rPr>
                <w:b/>
              </w:rPr>
              <w:t>155 010</w:t>
            </w:r>
          </w:p>
        </w:tc>
        <w:tc>
          <w:tcPr>
            <w:cnfStyle w:val="000010000000" w:firstRow="0" w:lastRow="0" w:firstColumn="0" w:lastColumn="0" w:oddVBand="1" w:evenVBand="0" w:oddHBand="0" w:evenHBand="0" w:firstRowFirstColumn="0" w:firstRowLastColumn="0" w:lastRowFirstColumn="0" w:lastRowLastColumn="0"/>
            <w:tcW w:w="1800" w:type="dxa"/>
          </w:tcPr>
          <w:p w14:paraId="1E1EF841" w14:textId="4602479C" w:rsidR="00201CD3" w:rsidRPr="00201CD3" w:rsidRDefault="00201CD3" w:rsidP="00201CD3">
            <w:pPr>
              <w:jc w:val="right"/>
              <w:rPr>
                <w:b/>
                <w:bCs/>
              </w:rPr>
            </w:pPr>
            <w:r w:rsidRPr="00201CD3">
              <w:rPr>
                <w:b/>
                <w:bCs/>
              </w:rPr>
              <w:t>37 336 376</w:t>
            </w:r>
          </w:p>
        </w:tc>
        <w:tc>
          <w:tcPr>
            <w:cnfStyle w:val="000001000000" w:firstRow="0" w:lastRow="0" w:firstColumn="0" w:lastColumn="0" w:oddVBand="0" w:evenVBand="1" w:oddHBand="0" w:evenHBand="0" w:firstRowFirstColumn="0" w:firstRowLastColumn="0" w:lastRowFirstColumn="0" w:lastRowLastColumn="0"/>
            <w:tcW w:w="1743" w:type="dxa"/>
          </w:tcPr>
          <w:p w14:paraId="25269D2C" w14:textId="76A189B1" w:rsidR="00201CD3" w:rsidRPr="00201CD3" w:rsidRDefault="00201CD3" w:rsidP="00201CD3">
            <w:pPr>
              <w:jc w:val="right"/>
              <w:rPr>
                <w:b/>
              </w:rPr>
            </w:pPr>
            <w:r w:rsidRPr="00201CD3">
              <w:rPr>
                <w:b/>
              </w:rPr>
              <w:t>37 491 386</w:t>
            </w:r>
          </w:p>
        </w:tc>
      </w:tr>
      <w:tr w:rsidR="00201CD3" w:rsidRPr="00201CD3" w14:paraId="02A544E4"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212C05A2" w14:textId="77777777" w:rsidR="00201CD3" w:rsidRPr="00201CD3" w:rsidRDefault="00201CD3" w:rsidP="00201CD3">
            <w:r w:rsidRPr="00201CD3">
              <w:t>Program Doprava 2021 + v tom:</w:t>
            </w:r>
          </w:p>
        </w:tc>
        <w:tc>
          <w:tcPr>
            <w:cnfStyle w:val="000001000000" w:firstRow="0" w:lastRow="0" w:firstColumn="0" w:lastColumn="0" w:oddVBand="0" w:evenVBand="1" w:oddHBand="0" w:evenHBand="0" w:firstRowFirstColumn="0" w:firstRowLastColumn="0" w:lastRowFirstColumn="0" w:lastRowLastColumn="0"/>
            <w:tcW w:w="1424" w:type="dxa"/>
          </w:tcPr>
          <w:p w14:paraId="30E0D764" w14:textId="717986B7" w:rsidR="00201CD3" w:rsidRPr="00201CD3" w:rsidRDefault="00201CD3" w:rsidP="00201CD3">
            <w:pPr>
              <w:jc w:val="right"/>
              <w:rPr>
                <w:color w:val="FF0000"/>
              </w:rPr>
            </w:pPr>
            <w:r w:rsidRPr="00201CD3">
              <w:t>132 434</w:t>
            </w:r>
          </w:p>
        </w:tc>
        <w:tc>
          <w:tcPr>
            <w:cnfStyle w:val="000010000000" w:firstRow="0" w:lastRow="0" w:firstColumn="0" w:lastColumn="0" w:oddVBand="1" w:evenVBand="0" w:oddHBand="0" w:evenHBand="0" w:firstRowFirstColumn="0" w:firstRowLastColumn="0" w:lastRowFirstColumn="0" w:lastRowLastColumn="0"/>
            <w:tcW w:w="1800" w:type="dxa"/>
          </w:tcPr>
          <w:p w14:paraId="3CB3F25E" w14:textId="4150B341" w:rsidR="00201CD3" w:rsidRPr="00201CD3" w:rsidRDefault="00201CD3" w:rsidP="00201CD3">
            <w:pPr>
              <w:jc w:val="right"/>
              <w:rPr>
                <w:bCs/>
                <w:color w:val="FF0000"/>
              </w:rPr>
            </w:pPr>
            <w:r w:rsidRPr="00201CD3">
              <w:rPr>
                <w:bCs/>
              </w:rPr>
              <w:t>30 227 679</w:t>
            </w:r>
          </w:p>
        </w:tc>
        <w:tc>
          <w:tcPr>
            <w:cnfStyle w:val="000001000000" w:firstRow="0" w:lastRow="0" w:firstColumn="0" w:lastColumn="0" w:oddVBand="0" w:evenVBand="1" w:oddHBand="0" w:evenHBand="0" w:firstRowFirstColumn="0" w:firstRowLastColumn="0" w:lastRowFirstColumn="0" w:lastRowLastColumn="0"/>
            <w:tcW w:w="1743" w:type="dxa"/>
            <w:shd w:val="clear" w:color="auto" w:fill="auto"/>
          </w:tcPr>
          <w:p w14:paraId="5E65CE39" w14:textId="33695A88" w:rsidR="00201CD3" w:rsidRPr="00201CD3" w:rsidRDefault="00201CD3" w:rsidP="00201CD3">
            <w:pPr>
              <w:jc w:val="right"/>
              <w:rPr>
                <w:color w:val="FF0000"/>
              </w:rPr>
            </w:pPr>
            <w:r w:rsidRPr="00201CD3">
              <w:t>30 360 113</w:t>
            </w:r>
          </w:p>
        </w:tc>
      </w:tr>
      <w:tr w:rsidR="00201CD3" w:rsidRPr="00201CD3" w14:paraId="440B0623"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19508CB0" w14:textId="77777777" w:rsidR="00201CD3" w:rsidRPr="00201CD3" w:rsidRDefault="00201CD3" w:rsidP="00201CD3">
            <w:r w:rsidRPr="00201CD3">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24" w:type="dxa"/>
          </w:tcPr>
          <w:p w14:paraId="4231F5B6" w14:textId="3108B091" w:rsidR="00201CD3" w:rsidRPr="00201CD3" w:rsidRDefault="00201CD3" w:rsidP="00201CD3">
            <w:pPr>
              <w:jc w:val="right"/>
              <w:rPr>
                <w:i/>
                <w:color w:val="FF0000"/>
              </w:rPr>
            </w:pPr>
            <w:r w:rsidRPr="00201CD3">
              <w:rPr>
                <w:i/>
              </w:rPr>
              <w:t>132 434</w:t>
            </w:r>
          </w:p>
        </w:tc>
        <w:tc>
          <w:tcPr>
            <w:cnfStyle w:val="000010000000" w:firstRow="0" w:lastRow="0" w:firstColumn="0" w:lastColumn="0" w:oddVBand="1" w:evenVBand="0" w:oddHBand="0" w:evenHBand="0" w:firstRowFirstColumn="0" w:firstRowLastColumn="0" w:lastRowFirstColumn="0" w:lastRowLastColumn="0"/>
            <w:tcW w:w="1800" w:type="dxa"/>
          </w:tcPr>
          <w:p w14:paraId="11AC1353" w14:textId="519B96F0" w:rsidR="00201CD3" w:rsidRPr="00201CD3" w:rsidRDefault="00201CD3" w:rsidP="00201CD3">
            <w:pPr>
              <w:jc w:val="right"/>
              <w:rPr>
                <w:bCs/>
                <w:i/>
                <w:color w:val="FF0000"/>
              </w:rPr>
            </w:pPr>
            <w:r w:rsidRPr="00201CD3">
              <w:rPr>
                <w:bCs/>
                <w:i/>
              </w:rPr>
              <w:t>27 580 969</w:t>
            </w:r>
          </w:p>
        </w:tc>
        <w:tc>
          <w:tcPr>
            <w:cnfStyle w:val="000001000000" w:firstRow="0" w:lastRow="0" w:firstColumn="0" w:lastColumn="0" w:oddVBand="0" w:evenVBand="1" w:oddHBand="0" w:evenHBand="0" w:firstRowFirstColumn="0" w:firstRowLastColumn="0" w:lastRowFirstColumn="0" w:lastRowLastColumn="0"/>
            <w:tcW w:w="1743" w:type="dxa"/>
          </w:tcPr>
          <w:p w14:paraId="116E0037" w14:textId="141E6395" w:rsidR="00201CD3" w:rsidRPr="00201CD3" w:rsidRDefault="00201CD3" w:rsidP="00201CD3">
            <w:pPr>
              <w:jc w:val="right"/>
              <w:rPr>
                <w:i/>
                <w:color w:val="FF0000"/>
              </w:rPr>
            </w:pPr>
            <w:r w:rsidRPr="00201CD3">
              <w:rPr>
                <w:i/>
              </w:rPr>
              <w:t>27 713 403</w:t>
            </w:r>
          </w:p>
        </w:tc>
      </w:tr>
      <w:tr w:rsidR="00201CD3" w:rsidRPr="00201CD3" w14:paraId="33DBF664"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75F7437B" w14:textId="77777777" w:rsidR="00201CD3" w:rsidRPr="00201CD3" w:rsidRDefault="00201CD3" w:rsidP="00201CD3">
            <w:r w:rsidRPr="00201CD3">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24" w:type="dxa"/>
          </w:tcPr>
          <w:p w14:paraId="29E4AC90" w14:textId="433EC1F2" w:rsidR="00201CD3" w:rsidRPr="00201CD3" w:rsidRDefault="00201CD3" w:rsidP="00201CD3">
            <w:pPr>
              <w:jc w:val="right"/>
              <w:rPr>
                <w:i/>
              </w:rPr>
            </w:pPr>
            <w:r w:rsidRPr="00201CD3">
              <w:rPr>
                <w:i/>
              </w:rPr>
              <w:t>0</w:t>
            </w:r>
          </w:p>
        </w:tc>
        <w:tc>
          <w:tcPr>
            <w:cnfStyle w:val="000010000000" w:firstRow="0" w:lastRow="0" w:firstColumn="0" w:lastColumn="0" w:oddVBand="1" w:evenVBand="0" w:oddHBand="0" w:evenHBand="0" w:firstRowFirstColumn="0" w:firstRowLastColumn="0" w:lastRowFirstColumn="0" w:lastRowLastColumn="0"/>
            <w:tcW w:w="1800" w:type="dxa"/>
          </w:tcPr>
          <w:p w14:paraId="44BCD2EC" w14:textId="642EE583" w:rsidR="00201CD3" w:rsidRPr="00201CD3" w:rsidRDefault="00201CD3" w:rsidP="00201CD3">
            <w:pPr>
              <w:jc w:val="right"/>
              <w:rPr>
                <w:bCs/>
                <w:i/>
              </w:rPr>
            </w:pPr>
            <w:r w:rsidRPr="00201CD3">
              <w:rPr>
                <w:bCs/>
                <w:i/>
              </w:rPr>
              <w:t>2 646 710</w:t>
            </w:r>
          </w:p>
        </w:tc>
        <w:tc>
          <w:tcPr>
            <w:cnfStyle w:val="000001000000" w:firstRow="0" w:lastRow="0" w:firstColumn="0" w:lastColumn="0" w:oddVBand="0" w:evenVBand="1" w:oddHBand="0" w:evenHBand="0" w:firstRowFirstColumn="0" w:firstRowLastColumn="0" w:lastRowFirstColumn="0" w:lastRowLastColumn="0"/>
            <w:tcW w:w="1743" w:type="dxa"/>
          </w:tcPr>
          <w:p w14:paraId="1AF493EF" w14:textId="6B42874D" w:rsidR="00201CD3" w:rsidRPr="00201CD3" w:rsidRDefault="00201CD3" w:rsidP="00201CD3">
            <w:pPr>
              <w:jc w:val="right"/>
              <w:rPr>
                <w:i/>
              </w:rPr>
            </w:pPr>
            <w:r w:rsidRPr="00201CD3">
              <w:rPr>
                <w:i/>
              </w:rPr>
              <w:t>2 646 710</w:t>
            </w:r>
          </w:p>
        </w:tc>
      </w:tr>
      <w:tr w:rsidR="00201CD3" w:rsidRPr="00201CD3" w14:paraId="37360572"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18882782" w14:textId="77777777" w:rsidR="00201CD3" w:rsidRPr="00201CD3" w:rsidRDefault="00201CD3" w:rsidP="00201CD3">
            <w:r w:rsidRPr="00201CD3">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14:paraId="3A605D26" w14:textId="25B12D7A" w:rsidR="00201CD3" w:rsidRPr="00201CD3" w:rsidRDefault="00201CD3" w:rsidP="00201CD3">
            <w:pPr>
              <w:jc w:val="right"/>
            </w:pPr>
            <w:r w:rsidRPr="00201CD3">
              <w:t>14 859</w:t>
            </w:r>
          </w:p>
        </w:tc>
        <w:tc>
          <w:tcPr>
            <w:cnfStyle w:val="000010000000" w:firstRow="0" w:lastRow="0" w:firstColumn="0" w:lastColumn="0" w:oddVBand="1" w:evenVBand="0" w:oddHBand="0" w:evenHBand="0" w:firstRowFirstColumn="0" w:firstRowLastColumn="0" w:lastRowFirstColumn="0" w:lastRowLastColumn="0"/>
            <w:tcW w:w="1800" w:type="dxa"/>
          </w:tcPr>
          <w:p w14:paraId="1DE25A1E" w14:textId="08F55CEC" w:rsidR="00201CD3" w:rsidRPr="00201CD3" w:rsidRDefault="00201CD3" w:rsidP="00201CD3">
            <w:pPr>
              <w:jc w:val="right"/>
              <w:rPr>
                <w:bCs/>
              </w:rPr>
            </w:pPr>
            <w:r w:rsidRPr="00201CD3">
              <w:rPr>
                <w:bCs/>
              </w:rPr>
              <w:t>7 108 697</w:t>
            </w:r>
          </w:p>
        </w:tc>
        <w:tc>
          <w:tcPr>
            <w:cnfStyle w:val="000001000000" w:firstRow="0" w:lastRow="0" w:firstColumn="0" w:lastColumn="0" w:oddVBand="0" w:evenVBand="1" w:oddHBand="0" w:evenHBand="0" w:firstRowFirstColumn="0" w:firstRowLastColumn="0" w:lastRowFirstColumn="0" w:lastRowLastColumn="0"/>
            <w:tcW w:w="1743" w:type="dxa"/>
          </w:tcPr>
          <w:p w14:paraId="0FA7E62D" w14:textId="6F6E949D" w:rsidR="00201CD3" w:rsidRPr="00201CD3" w:rsidRDefault="00201CD3" w:rsidP="00201CD3">
            <w:pPr>
              <w:jc w:val="right"/>
            </w:pPr>
            <w:r w:rsidRPr="00201CD3">
              <w:t>7 123 556</w:t>
            </w:r>
          </w:p>
        </w:tc>
      </w:tr>
      <w:tr w:rsidR="00201CD3" w:rsidRPr="00201CD3" w14:paraId="4C985954" w14:textId="77777777" w:rsidTr="0029449F">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2E7BA9A0" w14:textId="77777777" w:rsidR="00201CD3" w:rsidRPr="00201CD3" w:rsidRDefault="00201CD3" w:rsidP="00201CD3">
            <w:r w:rsidRPr="00201CD3">
              <w:t>Národní plán obnovy</w:t>
            </w:r>
          </w:p>
        </w:tc>
        <w:tc>
          <w:tcPr>
            <w:cnfStyle w:val="000001000000" w:firstRow="0" w:lastRow="0" w:firstColumn="0" w:lastColumn="0" w:oddVBand="0" w:evenVBand="1" w:oddHBand="0" w:evenHBand="0" w:firstRowFirstColumn="0" w:firstRowLastColumn="0" w:lastRowFirstColumn="0" w:lastRowLastColumn="0"/>
            <w:tcW w:w="1424" w:type="dxa"/>
          </w:tcPr>
          <w:p w14:paraId="59273657" w14:textId="70083A14" w:rsidR="00201CD3" w:rsidRPr="00201CD3" w:rsidRDefault="00201CD3" w:rsidP="00201CD3">
            <w:pPr>
              <w:jc w:val="right"/>
            </w:pPr>
            <w:r w:rsidRPr="00201CD3">
              <w:t>7 717</w:t>
            </w:r>
          </w:p>
        </w:tc>
        <w:tc>
          <w:tcPr>
            <w:cnfStyle w:val="000010000000" w:firstRow="0" w:lastRow="0" w:firstColumn="0" w:lastColumn="0" w:oddVBand="1" w:evenVBand="0" w:oddHBand="0" w:evenHBand="0" w:firstRowFirstColumn="0" w:firstRowLastColumn="0" w:lastRowFirstColumn="0" w:lastRowLastColumn="0"/>
            <w:tcW w:w="1800" w:type="dxa"/>
          </w:tcPr>
          <w:p w14:paraId="505C91EE" w14:textId="1BFF4BF6" w:rsidR="00201CD3" w:rsidRPr="00201CD3" w:rsidRDefault="00201CD3" w:rsidP="00201CD3">
            <w:pPr>
              <w:jc w:val="right"/>
              <w:rPr>
                <w:bCs/>
              </w:rPr>
            </w:pPr>
            <w:r w:rsidRPr="00201CD3">
              <w:rPr>
                <w:bCs/>
              </w:rPr>
              <w:t>0</w:t>
            </w:r>
          </w:p>
        </w:tc>
        <w:tc>
          <w:tcPr>
            <w:cnfStyle w:val="000001000000" w:firstRow="0" w:lastRow="0" w:firstColumn="0" w:lastColumn="0" w:oddVBand="0" w:evenVBand="1" w:oddHBand="0" w:evenHBand="0" w:firstRowFirstColumn="0" w:firstRowLastColumn="0" w:lastRowFirstColumn="0" w:lastRowLastColumn="0"/>
            <w:tcW w:w="1743" w:type="dxa"/>
          </w:tcPr>
          <w:p w14:paraId="0A5727A3" w14:textId="43763699" w:rsidR="00201CD3" w:rsidRPr="00201CD3" w:rsidRDefault="00201CD3" w:rsidP="00201CD3">
            <w:pPr>
              <w:jc w:val="right"/>
              <w:rPr>
                <w:color w:val="FF0000"/>
              </w:rPr>
            </w:pPr>
            <w:r w:rsidRPr="00201CD3">
              <w:t xml:space="preserve">7 717 </w:t>
            </w:r>
          </w:p>
        </w:tc>
      </w:tr>
    </w:tbl>
    <w:p w14:paraId="7A07146C" w14:textId="1B8A65AD" w:rsidR="00CA2F73" w:rsidRPr="00833810" w:rsidRDefault="008A2C80" w:rsidP="00CA2F73">
      <w:pPr>
        <w:pStyle w:val="Nadpis3"/>
      </w:pPr>
      <w:bookmarkStart w:id="279" w:name="_Toc179964113"/>
      <w:r w:rsidRPr="00833810">
        <w:t>P</w:t>
      </w:r>
      <w:r w:rsidR="00CA2F73" w:rsidRPr="00833810">
        <w:t xml:space="preserve">rogram Doprava </w:t>
      </w:r>
      <w:r w:rsidR="006436A1" w:rsidRPr="00833810">
        <w:t>2021–2027</w:t>
      </w:r>
      <w:bookmarkEnd w:id="279"/>
    </w:p>
    <w:p w14:paraId="6584AE1B" w14:textId="77777777" w:rsidR="00065472" w:rsidRPr="00833810" w:rsidRDefault="00065472" w:rsidP="00065472">
      <w:pPr>
        <w:pStyle w:val="Styl1"/>
      </w:pPr>
      <w:r w:rsidRPr="00833810">
        <w:t>Program Doprava 2021-2027 (OPD-3) navazuje na Operační program Doprava 2014-2020 (OPD-2), jehož základní principy, ověřené postupy a implementační mechanismy přebírá, případně dále zlepšuje. Hlavním cílem podporovaných intervencí je přispět k zvýšení konkurenceschopnosti ČR prostřednictvím zlepšení dopravní dostupnosti. Doprava a dopravní obslužnost stále patří mezi nejvýznamnější problémové oblasti v ČR, kterým je potřeba věnovat pozornost.</w:t>
      </w:r>
    </w:p>
    <w:p w14:paraId="2E182457" w14:textId="77777777" w:rsidR="00065472" w:rsidRPr="00833810" w:rsidRDefault="00065472" w:rsidP="00065472">
      <w:pPr>
        <w:pStyle w:val="Styl1"/>
      </w:pPr>
      <w:r w:rsidRPr="00833810">
        <w:t xml:space="preserve">Ministerstvo dopravy bylo na základě usnesení vlády č. 94 ze 4. února 2019 určeno subjektem zodpovědným za přípravu OPD-3 a na základě spolupráce s partnery z řad státní správy, samosprávy, nestátních neziskových organizací, sociálních a dalších partnerů připravuje intervence, které vycházejí ze všech relevantních strategických dokumentů na úrovni národní i evropské. Vláda České republiky dne 5. listopadu 2021 schválila programový dokument </w:t>
      </w:r>
      <w:r w:rsidRPr="00833810">
        <w:br/>
        <w:t xml:space="preserve">OPD-3, který byl pak oficiálně schválen Evropskou komisí 8. července 2022. Zprostředkujícím subjektem zůstává i v novém programovém období </w:t>
      </w:r>
      <w:r w:rsidRPr="00833810">
        <w:rPr>
          <w:b/>
          <w:bCs/>
        </w:rPr>
        <w:t>Státní fond dopravní infrastruktury (SFDI)</w:t>
      </w:r>
      <w:r w:rsidRPr="00833810">
        <w:t>.</w:t>
      </w:r>
    </w:p>
    <w:p w14:paraId="678F20F2" w14:textId="77777777" w:rsidR="00484930" w:rsidRDefault="00065472" w:rsidP="00065472">
      <w:pPr>
        <w:pStyle w:val="Styl1"/>
      </w:pPr>
      <w:r w:rsidRPr="00833810">
        <w:t xml:space="preserve">Celková alokace OPD-3 činí přibližně 4,86 mld. EUR (příspěvek EU včetně tzv. částky </w:t>
      </w:r>
      <w:r w:rsidRPr="00833810">
        <w:br/>
        <w:t>na flexibilitu), což z něj činí největší operační program v ČR.</w:t>
      </w:r>
    </w:p>
    <w:p w14:paraId="29EDCB87" w14:textId="7919A300" w:rsidR="00065472" w:rsidRPr="00833810" w:rsidRDefault="00065472" w:rsidP="00065472">
      <w:pPr>
        <w:pStyle w:val="Styl1"/>
      </w:pPr>
      <w:r w:rsidRPr="00833810">
        <w:t xml:space="preserve">OPD-3 je členěn do třech věcných priorit (doplněných o čtvrtou prioritu zaměřenou </w:t>
      </w:r>
      <w:r w:rsidRPr="00833810">
        <w:br/>
        <w:t>na technickou pomoc). První priorita obsahuje zejména </w:t>
      </w:r>
      <w:r w:rsidRPr="00833810">
        <w:rPr>
          <w:b/>
          <w:bCs/>
        </w:rPr>
        <w:t>intervence na železnici a na silniční síti TEN-T</w:t>
      </w:r>
      <w:r w:rsidRPr="00833810">
        <w:t> doplněné intervencemi v oblasti interoperability či inteligentních dopravních systémů (ITS). Druhá priorita poté cílí na </w:t>
      </w:r>
      <w:r w:rsidRPr="00833810">
        <w:rPr>
          <w:b/>
          <w:bCs/>
        </w:rPr>
        <w:t>silniční projekty mimo síť TEN-T</w:t>
      </w:r>
      <w:r w:rsidRPr="00833810">
        <w:t> a třetí priorita na </w:t>
      </w:r>
      <w:r w:rsidRPr="00833810">
        <w:rPr>
          <w:b/>
          <w:bCs/>
        </w:rPr>
        <w:t>projekty v oblasti městské dopravy</w:t>
      </w:r>
      <w:r w:rsidRPr="00833810">
        <w:t> (tramvajové a trolejbusové tratě) </w:t>
      </w:r>
      <w:r w:rsidRPr="00833810">
        <w:rPr>
          <w:b/>
          <w:bCs/>
        </w:rPr>
        <w:t>a infrastruktury alternativních paliv</w:t>
      </w:r>
      <w:r w:rsidRPr="00833810">
        <w:t xml:space="preserve">. </w:t>
      </w:r>
    </w:p>
    <w:p w14:paraId="22A5CD71" w14:textId="77777777" w:rsidR="00065472" w:rsidRPr="00833810" w:rsidRDefault="00065472" w:rsidP="00065472">
      <w:pPr>
        <w:pStyle w:val="Styl1"/>
      </w:pPr>
      <w:r w:rsidRPr="00833810">
        <w:lastRenderedPageBreak/>
        <w:t xml:space="preserve">První dvě priority budou financovány v rámci cíle politiky 3 (Propojenější Evropa díky zvyšování mobility a regionálního propojení IKT), zatímco třetí priorita bude financována v rámci cíle politiky 2 (Zelenější, nízkouhlíková Evropa díky podpoře přechodu na čistou a spravedlivou energii, zelených a modrých investic, oběhového hospodářství, přizpůsobení </w:t>
      </w:r>
      <w:r w:rsidRPr="00833810">
        <w:br/>
        <w:t xml:space="preserve">se změnám klimatu a prevence řízení rizik). </w:t>
      </w:r>
    </w:p>
    <w:p w14:paraId="4DC721E5" w14:textId="77777777" w:rsidR="00065472" w:rsidRPr="00833810" w:rsidRDefault="00065472" w:rsidP="00065472">
      <w:pPr>
        <w:pStyle w:val="Styl1"/>
      </w:pPr>
      <w:r w:rsidRPr="00833810">
        <w:t>OPD-3 bude financován z Fondu soudržnosti s výjimkou druhé priority, která musí být financována Evropským fondem pro regionální rozvoj.</w:t>
      </w:r>
    </w:p>
    <w:p w14:paraId="6B6C30B8" w14:textId="77777777" w:rsidR="00065472" w:rsidRPr="00833810" w:rsidRDefault="00065472" w:rsidP="00065472">
      <w:pPr>
        <w:spacing w:line="276" w:lineRule="auto"/>
        <w:rPr>
          <w:rFonts w:cs="Times New Roman"/>
          <w:b/>
          <w:i/>
          <w:szCs w:val="24"/>
        </w:rPr>
      </w:pPr>
      <w:r w:rsidRPr="00833810">
        <w:rPr>
          <w:rFonts w:cs="Times New Roman"/>
          <w:b/>
          <w:i/>
          <w:szCs w:val="24"/>
        </w:rPr>
        <w:t>Priorita 1 – Evropská, celostátní a regionální mobilita</w:t>
      </w:r>
    </w:p>
    <w:p w14:paraId="3095FD94" w14:textId="77777777" w:rsidR="00065472" w:rsidRPr="00833810" w:rsidRDefault="00065472" w:rsidP="00065472">
      <w:pPr>
        <w:autoSpaceDE w:val="0"/>
        <w:autoSpaceDN w:val="0"/>
        <w:adjustRightInd w:val="0"/>
        <w:spacing w:before="240" w:after="240" w:line="276" w:lineRule="auto"/>
        <w:rPr>
          <w:rFonts w:cs="Times New Roman"/>
          <w:i/>
          <w:szCs w:val="24"/>
        </w:rPr>
      </w:pPr>
      <w:r w:rsidRPr="00833810">
        <w:rPr>
          <w:rFonts w:cs="Times New Roman"/>
          <w:i/>
          <w:szCs w:val="24"/>
        </w:rPr>
        <w:t xml:space="preserve">Těžištěm rozvoje železniční a silniční sítě TEN-T bude nadále budování chybějící infrastruktury dálnic a modernizace hlavních železničních tratí. Podpora však bude směřována také </w:t>
      </w:r>
      <w:r w:rsidRPr="00833810">
        <w:rPr>
          <w:rFonts w:cs="Times New Roman"/>
          <w:i/>
          <w:szCs w:val="24"/>
        </w:rPr>
        <w:br/>
        <w:t>na zavádění nových technologií k zajištění efektivnější, bezpečnější a udržitelnější dopravy (vč. digitalizace infrastruktury).</w:t>
      </w:r>
    </w:p>
    <w:p w14:paraId="052DDEA0" w14:textId="77777777" w:rsidR="00065472" w:rsidRPr="00833810" w:rsidRDefault="00065472" w:rsidP="00065472">
      <w:pPr>
        <w:spacing w:before="240" w:after="240" w:line="276" w:lineRule="auto"/>
        <w:rPr>
          <w:rFonts w:cs="Times New Roman"/>
          <w:i/>
          <w:szCs w:val="24"/>
        </w:rPr>
      </w:pPr>
      <w:r w:rsidRPr="00833810">
        <w:rPr>
          <w:rFonts w:cs="Times New Roman"/>
          <w:i/>
          <w:szCs w:val="24"/>
        </w:rPr>
        <w:t xml:space="preserve">Opatření č. 1 – Železniční infrastruktura TEN-T – projekty zaměřené na modernizaci </w:t>
      </w:r>
      <w:r w:rsidRPr="00833810">
        <w:rPr>
          <w:rFonts w:cs="Times New Roman"/>
          <w:i/>
          <w:szCs w:val="24"/>
        </w:rPr>
        <w:br/>
        <w:t>a rekonstrukci železniční infrastruktury na hlavní i globální síti TEN-T: modernizace nebo rekonstrukce železničních stanic a zastávek, elektrizace tratí a modernizace trakční soustavy, včetně konverze na střídavou trakční soustavu 25 kV/50 Hz, zavádění nových technologií pro řízení železničního provozu a zajišťování jeho bezpečnosti, včetně ERTMS, aj.</w:t>
      </w:r>
    </w:p>
    <w:p w14:paraId="4BC25B05" w14:textId="77777777" w:rsidR="00065472" w:rsidRPr="00833810" w:rsidRDefault="00065472" w:rsidP="00065472">
      <w:pPr>
        <w:spacing w:before="240" w:after="240" w:line="276" w:lineRule="auto"/>
        <w:rPr>
          <w:rFonts w:cs="Times New Roman"/>
          <w:i/>
          <w:szCs w:val="24"/>
        </w:rPr>
      </w:pPr>
      <w:r w:rsidRPr="00833810">
        <w:rPr>
          <w:rFonts w:cs="Times New Roman"/>
          <w:i/>
          <w:szCs w:val="24"/>
        </w:rPr>
        <w:t>Opatření č. 2 – Silniční infrastruktura TEN-T – projekty zaměřené zejména na dobudování páteřní silniční sítě, která je součástí TEN-T, a rozvoj inteligentních dopravních systémů (ITS) a digitalizace silniční infrastruktury.</w:t>
      </w:r>
    </w:p>
    <w:p w14:paraId="7A2A9FD0" w14:textId="77777777" w:rsidR="00065472" w:rsidRPr="00833810" w:rsidRDefault="00065472" w:rsidP="00065472">
      <w:pPr>
        <w:spacing w:before="240" w:after="240" w:line="276" w:lineRule="auto"/>
        <w:rPr>
          <w:rFonts w:cs="Times New Roman"/>
          <w:i/>
          <w:szCs w:val="24"/>
        </w:rPr>
      </w:pPr>
      <w:r w:rsidRPr="00833810">
        <w:rPr>
          <w:rFonts w:cs="Times New Roman"/>
          <w:i/>
          <w:szCs w:val="24"/>
        </w:rPr>
        <w:t>Opatření č. 3 – Infrastruktura pro multimodální dopravu TEN-T – projekty zaměřené na plné zprovoznění multimodální hlavní sítě TEN-T do roku 2030.</w:t>
      </w:r>
    </w:p>
    <w:p w14:paraId="5041D5F6" w14:textId="77777777" w:rsidR="00065472" w:rsidRPr="00833810" w:rsidRDefault="00065472" w:rsidP="00065472">
      <w:pPr>
        <w:spacing w:before="240" w:after="240" w:line="276" w:lineRule="auto"/>
        <w:rPr>
          <w:rFonts w:cs="Times New Roman"/>
          <w:i/>
          <w:szCs w:val="24"/>
        </w:rPr>
      </w:pPr>
      <w:r w:rsidRPr="00833810">
        <w:rPr>
          <w:rFonts w:cs="Times New Roman"/>
          <w:i/>
          <w:szCs w:val="24"/>
        </w:rPr>
        <w:t xml:space="preserve">Opatření č. 4 – Interoperabilita v železniční dopravě – projekty zaměřené na rozvoj interoperability, tj. schopnosti umožnit bezpečný a nepřerušený pohyb drážního vozidla </w:t>
      </w:r>
      <w:r w:rsidRPr="00833810">
        <w:rPr>
          <w:rFonts w:cs="Times New Roman"/>
          <w:i/>
          <w:szCs w:val="24"/>
        </w:rPr>
        <w:br/>
        <w:t>na dráhách evropského železničního systému dané jednotlivými technickými specifikacemi interoperability (TSI).</w:t>
      </w:r>
    </w:p>
    <w:p w14:paraId="08BA31AF" w14:textId="77777777" w:rsidR="00065472" w:rsidRPr="00833810" w:rsidRDefault="00065472" w:rsidP="00065472">
      <w:pPr>
        <w:spacing w:before="240" w:after="240" w:line="276" w:lineRule="auto"/>
        <w:rPr>
          <w:rFonts w:cs="Times New Roman"/>
          <w:i/>
          <w:szCs w:val="24"/>
        </w:rPr>
      </w:pPr>
      <w:r w:rsidRPr="00833810">
        <w:rPr>
          <w:rFonts w:cs="Times New Roman"/>
          <w:i/>
          <w:szCs w:val="24"/>
        </w:rPr>
        <w:t xml:space="preserve">Opatření č. 5 – Železniční infrastruktura mimo TEN-T – projekty zajišťující zlepšení kvality železniční infrastruktury ohledně plynulosti, kapacity, bezpečnosti a lepší návaznosti dopravy z regionálních tratí. </w:t>
      </w:r>
    </w:p>
    <w:p w14:paraId="6A10CEF4" w14:textId="5D6BD42E" w:rsidR="00065472" w:rsidRDefault="00065472" w:rsidP="00065472">
      <w:pPr>
        <w:spacing w:before="240" w:after="240" w:line="276" w:lineRule="auto"/>
        <w:rPr>
          <w:rFonts w:cs="Times New Roman"/>
          <w:i/>
          <w:szCs w:val="24"/>
        </w:rPr>
      </w:pPr>
      <w:r w:rsidRPr="00833810">
        <w:rPr>
          <w:rFonts w:cs="Times New Roman"/>
          <w:i/>
          <w:szCs w:val="24"/>
        </w:rPr>
        <w:t xml:space="preserve">Opatření č. 6 – </w:t>
      </w:r>
      <w:r w:rsidR="006436A1" w:rsidRPr="00833810">
        <w:rPr>
          <w:rFonts w:cs="Times New Roman"/>
          <w:i/>
          <w:szCs w:val="24"/>
        </w:rPr>
        <w:t>ITS – dopravní</w:t>
      </w:r>
      <w:r w:rsidRPr="00833810">
        <w:rPr>
          <w:rFonts w:cs="Times New Roman"/>
          <w:i/>
          <w:szCs w:val="24"/>
        </w:rPr>
        <w:t xml:space="preserve"> telematika – rozvoj systémů a služeb ITS, infrastruktur prostorových dat, sítí a služeb elektronických komunikací pro poskytování informací </w:t>
      </w:r>
      <w:r w:rsidRPr="00833810">
        <w:rPr>
          <w:rFonts w:cs="Times New Roman"/>
          <w:i/>
          <w:szCs w:val="24"/>
        </w:rPr>
        <w:br/>
        <w:t xml:space="preserve">o dopravním provozu a pro dynamické řízení dopravy, implementace dopravních detektorů, kamerových systémů pro ITS systémy a prostorových dat, včetně řešení přenosu dat, aj. </w:t>
      </w:r>
    </w:p>
    <w:p w14:paraId="21E05251" w14:textId="77777777" w:rsidR="00065472" w:rsidRPr="00833810" w:rsidRDefault="00065472" w:rsidP="00065472">
      <w:pPr>
        <w:spacing w:line="276" w:lineRule="auto"/>
        <w:rPr>
          <w:rFonts w:cs="Times New Roman"/>
          <w:b/>
          <w:i/>
          <w:szCs w:val="24"/>
        </w:rPr>
      </w:pPr>
      <w:r w:rsidRPr="00833810">
        <w:rPr>
          <w:rFonts w:cs="Times New Roman"/>
          <w:b/>
          <w:i/>
          <w:szCs w:val="24"/>
        </w:rPr>
        <w:t>Priorita 2 – Celostátní silniční mobilita zajišťující konektivitu k síti TEN-T</w:t>
      </w:r>
    </w:p>
    <w:p w14:paraId="35C2A194" w14:textId="77777777" w:rsidR="00065472" w:rsidRPr="00833810" w:rsidRDefault="00065472" w:rsidP="00065472">
      <w:pPr>
        <w:spacing w:before="240" w:after="240" w:line="276" w:lineRule="auto"/>
        <w:rPr>
          <w:rFonts w:cs="Times New Roman"/>
          <w:b/>
          <w:i/>
          <w:szCs w:val="24"/>
        </w:rPr>
      </w:pPr>
      <w:r w:rsidRPr="00833810">
        <w:rPr>
          <w:rFonts w:cs="Times New Roman"/>
          <w:i/>
          <w:szCs w:val="24"/>
        </w:rPr>
        <w:lastRenderedPageBreak/>
        <w:t xml:space="preserve">Intervence jsou zaměřeny na napojování krajských a významných regionálních center na páteřní silniční síť. Projekty budou zahrnovat výstavbu a modernizaci dálnic a silnic I. třídy mimo síť TEN-T, tzn. silnic a dálnic celostátního významu ve vlastnictví státu. </w:t>
      </w:r>
    </w:p>
    <w:p w14:paraId="06BD6E6E" w14:textId="77777777" w:rsidR="00065472" w:rsidRPr="00833810" w:rsidRDefault="00065472" w:rsidP="00065472">
      <w:pPr>
        <w:spacing w:before="240" w:after="240" w:line="276" w:lineRule="auto"/>
        <w:rPr>
          <w:rFonts w:cs="Times New Roman"/>
          <w:i/>
          <w:szCs w:val="24"/>
        </w:rPr>
      </w:pPr>
      <w:r w:rsidRPr="00833810">
        <w:rPr>
          <w:rFonts w:cs="Times New Roman"/>
          <w:i/>
          <w:szCs w:val="24"/>
        </w:rPr>
        <w:t xml:space="preserve">Opatření č. 7 – Silniční infrastruktura (mimo TEN-T) – zaměření na napojování krajských </w:t>
      </w:r>
      <w:r w:rsidRPr="00833810">
        <w:rPr>
          <w:rFonts w:cs="Times New Roman"/>
          <w:i/>
          <w:szCs w:val="24"/>
        </w:rPr>
        <w:br/>
        <w:t xml:space="preserve">a významných regionálních center na páteřní silniční síť. Projekty budou zahrnovat výstavbu </w:t>
      </w:r>
      <w:r w:rsidRPr="00833810">
        <w:rPr>
          <w:rFonts w:cs="Times New Roman"/>
          <w:i/>
          <w:szCs w:val="24"/>
        </w:rPr>
        <w:br/>
        <w:t>a modernizaci dálnic a silnic I. třídy mimo síť TEN-T, tzn. silnic a dálnic celostátního významu ve vlastnictví státu, a budou také zaměřeny na vhodná opatření vedoucí ke stabilitě ekosystémů a zmírňování dopadů na životní prostředí (včetně potřebného monitoringu), např. budováním propustků zajišťující dostatečnou migrační propustnost nových dopravních staveb.</w:t>
      </w:r>
    </w:p>
    <w:p w14:paraId="2C422643" w14:textId="77777777" w:rsidR="00065472" w:rsidRPr="00833810" w:rsidRDefault="00065472" w:rsidP="00065472">
      <w:pPr>
        <w:spacing w:line="276" w:lineRule="auto"/>
        <w:rPr>
          <w:rFonts w:cs="Times New Roman"/>
          <w:b/>
          <w:i/>
          <w:szCs w:val="24"/>
        </w:rPr>
      </w:pPr>
      <w:r w:rsidRPr="00833810">
        <w:rPr>
          <w:rFonts w:cs="Times New Roman"/>
          <w:b/>
          <w:i/>
          <w:szCs w:val="24"/>
        </w:rPr>
        <w:t>Priorita 3 – Udržitelná městská mobilita (a alternativní paliva)</w:t>
      </w:r>
    </w:p>
    <w:p w14:paraId="00C2A9F1" w14:textId="77777777" w:rsidR="00065472" w:rsidRPr="00833810" w:rsidRDefault="00065472" w:rsidP="00065472">
      <w:pPr>
        <w:spacing w:before="240" w:after="240" w:line="276" w:lineRule="auto"/>
        <w:rPr>
          <w:rFonts w:cs="Times New Roman"/>
          <w:i/>
          <w:szCs w:val="24"/>
        </w:rPr>
      </w:pPr>
      <w:r w:rsidRPr="00833810">
        <w:rPr>
          <w:rFonts w:cs="Times New Roman"/>
          <w:i/>
          <w:szCs w:val="24"/>
        </w:rPr>
        <w:t xml:space="preserve">Plánované intervence v oblasti nízkoemisní a bezemisní mobility v městských oblastech jsou zaměřeny především na rozvoj infrastruktury pro elektromobilitu a jiná alternativní paliva (vodík, LNG) a to zejména na infrastrukturu veřejně přístupných dobíjecích a plnících stanic. </w:t>
      </w:r>
    </w:p>
    <w:p w14:paraId="46FE2E9C" w14:textId="77777777" w:rsidR="00065472" w:rsidRPr="00833810" w:rsidRDefault="00065472" w:rsidP="00065472">
      <w:pPr>
        <w:spacing w:before="240" w:after="240" w:line="276" w:lineRule="auto"/>
        <w:rPr>
          <w:rFonts w:cs="Times New Roman"/>
          <w:i/>
          <w:szCs w:val="24"/>
        </w:rPr>
      </w:pPr>
      <w:r w:rsidRPr="00833810">
        <w:rPr>
          <w:rFonts w:cs="Times New Roman"/>
          <w:i/>
          <w:szCs w:val="24"/>
        </w:rPr>
        <w:t>Intervence v oblasti rozvoje městské a příměstské železniční dopravy jsou zaměřeny na posílení postavení železnice jakožto páteřní části udržitelného dopravního systému v daném městě (resp. v dané aglomeraci/metropolitní oblasti). Jedná se zejména o modernizace stávajících tratí (zvýšení kapacity nebo rychlosti, příp. elektrifikace), v některých městech (resp. aglomeracích/metropolitních oblastech) může být podpořena rovněž výstavba nových tratí.</w:t>
      </w:r>
    </w:p>
    <w:p w14:paraId="204EE906" w14:textId="77777777" w:rsidR="00065472" w:rsidRPr="00833810" w:rsidRDefault="00065472" w:rsidP="00065472">
      <w:pPr>
        <w:spacing w:before="240" w:after="240" w:line="276" w:lineRule="auto"/>
        <w:rPr>
          <w:rFonts w:cs="Times New Roman"/>
          <w:i/>
          <w:szCs w:val="24"/>
        </w:rPr>
      </w:pPr>
      <w:r w:rsidRPr="00833810">
        <w:rPr>
          <w:rFonts w:cs="Times New Roman"/>
          <w:i/>
          <w:szCs w:val="24"/>
        </w:rPr>
        <w:t>Předmětem rozvoje tratí MHD je převedení nejzatíženějších autobusových linek do elektrické trakce a dokončení dlouhodobě připravovaných tratí do lokalit s vysokou hustotou osídlení.</w:t>
      </w:r>
    </w:p>
    <w:p w14:paraId="0E4E3BA9" w14:textId="77777777" w:rsidR="00065472" w:rsidRPr="00833810" w:rsidRDefault="00065472" w:rsidP="00065472">
      <w:pPr>
        <w:spacing w:before="240" w:after="240" w:line="276" w:lineRule="auto"/>
        <w:rPr>
          <w:rFonts w:cs="Times New Roman"/>
          <w:i/>
          <w:szCs w:val="24"/>
        </w:rPr>
      </w:pPr>
      <w:r w:rsidRPr="00833810">
        <w:rPr>
          <w:rFonts w:cs="Times New Roman"/>
          <w:i/>
          <w:szCs w:val="24"/>
        </w:rPr>
        <w:t xml:space="preserve">Bude podpořena jak výstavba nových tramvajových a trolejbusových tratí (v hl. městě Praze </w:t>
      </w:r>
      <w:r w:rsidRPr="00833810">
        <w:rPr>
          <w:rFonts w:cs="Times New Roman"/>
          <w:i/>
          <w:szCs w:val="24"/>
        </w:rPr>
        <w:br/>
        <w:t>i metra), tak modernizace a rekonstrukce tratí stávajících. Podporováno bude rovněž technické zázemí městské drážní dopravy, tedy vozovny a měnírny. Všechny intervence budou směřovat k zvýšení využívání veřejné hromadné dopravy v elektrické trakci na úkor individuální automobilové dopravy.</w:t>
      </w:r>
    </w:p>
    <w:p w14:paraId="6A5389E0" w14:textId="77777777" w:rsidR="00065472" w:rsidRPr="00833810" w:rsidRDefault="00065472" w:rsidP="00065472">
      <w:pPr>
        <w:spacing w:before="240" w:after="240" w:line="276" w:lineRule="auto"/>
        <w:rPr>
          <w:rFonts w:cs="Times New Roman"/>
          <w:i/>
          <w:szCs w:val="24"/>
        </w:rPr>
      </w:pPr>
      <w:r w:rsidRPr="00833810">
        <w:rPr>
          <w:rFonts w:cs="Times New Roman"/>
          <w:i/>
          <w:szCs w:val="24"/>
        </w:rPr>
        <w:t>Opatření č. 8 – Infrastruktura městské drážní dopravy – podporuje jak výstavbu nových tramvajových a trolejbusových tratí (v hl. městě Praze i metra), tak modernizaci a rekonstrukci tratí stávajících. Podporováno je rovněž technické zázemí městské drážní dopravy, tedy vozovny a měnírny.</w:t>
      </w:r>
    </w:p>
    <w:p w14:paraId="21DD3B28" w14:textId="77777777" w:rsidR="00065472" w:rsidRPr="00833810" w:rsidRDefault="00065472" w:rsidP="00065472">
      <w:pPr>
        <w:spacing w:before="240" w:after="240" w:line="276" w:lineRule="auto"/>
        <w:rPr>
          <w:rFonts w:cs="Times New Roman"/>
          <w:i/>
          <w:szCs w:val="24"/>
        </w:rPr>
      </w:pPr>
      <w:r w:rsidRPr="00833810">
        <w:rPr>
          <w:rFonts w:cs="Times New Roman"/>
          <w:i/>
          <w:szCs w:val="24"/>
        </w:rPr>
        <w:t>Opatření č. 9 – Infrastruktura pro alternativní paliva – intervence v oblasti čisté mobility budou zaměřeny především na rozvoj infrastruktury pro elektromobilitu a jiná alternativní paliva (vodík, LNG, biometan/bioCNG) a to zejména na infrastrukturu veřejně přístupných dobíjecích a plnících stanic.</w:t>
      </w:r>
    </w:p>
    <w:p w14:paraId="3F332CC5" w14:textId="77777777" w:rsidR="00065472" w:rsidRDefault="00065472" w:rsidP="00065472">
      <w:pPr>
        <w:spacing w:before="240" w:after="240" w:line="276" w:lineRule="auto"/>
        <w:rPr>
          <w:rFonts w:cs="Times New Roman"/>
          <w:i/>
          <w:szCs w:val="24"/>
        </w:rPr>
      </w:pPr>
      <w:r w:rsidRPr="00833810">
        <w:rPr>
          <w:rFonts w:cs="Times New Roman"/>
          <w:i/>
          <w:szCs w:val="24"/>
        </w:rPr>
        <w:t>Opatření č. 10 – Příměstská železniční infrastruktura – Cílovým územím jsou nejvýznamnější města (resp. aglomerace/metropolitní oblasti) v ČR, tedy města se systémy drážní dopravy v elektrické trakci.</w:t>
      </w:r>
    </w:p>
    <w:p w14:paraId="73F09699" w14:textId="77777777" w:rsidR="00484930" w:rsidRPr="00833810" w:rsidRDefault="00484930" w:rsidP="00065472">
      <w:pPr>
        <w:spacing w:before="240" w:after="240" w:line="276" w:lineRule="auto"/>
        <w:rPr>
          <w:rFonts w:cs="Times New Roman"/>
          <w:i/>
          <w:szCs w:val="24"/>
        </w:rPr>
      </w:pPr>
    </w:p>
    <w:p w14:paraId="29496719" w14:textId="77777777" w:rsidR="00065472" w:rsidRPr="00833810" w:rsidRDefault="00065472" w:rsidP="00065472">
      <w:pPr>
        <w:spacing w:line="276" w:lineRule="auto"/>
        <w:rPr>
          <w:rFonts w:cs="Times New Roman"/>
          <w:b/>
          <w:i/>
          <w:szCs w:val="24"/>
        </w:rPr>
      </w:pPr>
      <w:r w:rsidRPr="00833810">
        <w:rPr>
          <w:rFonts w:cs="Times New Roman"/>
          <w:b/>
          <w:i/>
          <w:szCs w:val="24"/>
        </w:rPr>
        <w:lastRenderedPageBreak/>
        <w:t xml:space="preserve">Priorita 4 – Technická pomoc </w:t>
      </w:r>
    </w:p>
    <w:p w14:paraId="0004E248" w14:textId="6D3DC5BD" w:rsidR="00065472" w:rsidRPr="00D070B8" w:rsidRDefault="00065472" w:rsidP="00065472">
      <w:pPr>
        <w:spacing w:line="276" w:lineRule="auto"/>
        <w:rPr>
          <w:rFonts w:cs="Times New Roman"/>
          <w:i/>
          <w:szCs w:val="24"/>
          <w:highlight w:val="yellow"/>
        </w:rPr>
      </w:pPr>
      <w:r w:rsidRPr="00833810">
        <w:rPr>
          <w:rFonts w:cs="Times New Roman"/>
          <w:i/>
          <w:szCs w:val="24"/>
        </w:rPr>
        <w:t xml:space="preserve">Je zaměřena na podporu a zajištění implementace Programu Doprava 2021-2027. V rámci prioritní osy Technická pomoc může být dle čl. 29 obecného nařízení financována příprava, řízení, monitorování, kontrola, audit, hodnocení, komunikace včetně komunikační činnosti týkající se politických priorit Unie, viditelnost a veškerá správní a technická pomoc, případně </w:t>
      </w:r>
      <w:r w:rsidRPr="00833810">
        <w:rPr>
          <w:rFonts w:cs="Times New Roman"/>
          <w:i/>
          <w:szCs w:val="24"/>
        </w:rPr>
        <w:br/>
        <w:t>i ve spolupráci se třetími zeměmi.</w:t>
      </w:r>
    </w:p>
    <w:p w14:paraId="2BD86C6C" w14:textId="54A85AA2" w:rsidR="009426D9" w:rsidRPr="004B398B" w:rsidRDefault="009426D9" w:rsidP="009426D9">
      <w:pPr>
        <w:spacing w:before="240" w:after="80"/>
        <w:rPr>
          <w:rFonts w:eastAsia="Times New Roman" w:cs="Times New Roman"/>
          <w:szCs w:val="24"/>
          <w:u w:val="single"/>
          <w:lang w:eastAsia="cs-CZ"/>
        </w:rPr>
      </w:pPr>
      <w:r w:rsidRPr="004B398B">
        <w:rPr>
          <w:rFonts w:eastAsia="Times New Roman" w:cs="Times New Roman"/>
          <w:szCs w:val="24"/>
          <w:u w:val="single"/>
          <w:lang w:eastAsia="cs-CZ"/>
        </w:rPr>
        <w:t>Rozdělení prostředků fondů EU a SR pro Program Doprava 2021–2027 na rok 202</w:t>
      </w:r>
      <w:r w:rsidR="004B398B" w:rsidRPr="004B398B">
        <w:rPr>
          <w:rFonts w:eastAsia="Times New Roman" w:cs="Times New Roman"/>
          <w:szCs w:val="24"/>
          <w:u w:val="single"/>
          <w:lang w:eastAsia="cs-CZ"/>
        </w:rPr>
        <w:t>5</w:t>
      </w:r>
    </w:p>
    <w:p w14:paraId="0C0F5CC0" w14:textId="6AB36998" w:rsidR="00CA2F73" w:rsidRPr="004B398B" w:rsidRDefault="00CA2F73" w:rsidP="00CA2F73">
      <w:pPr>
        <w:keepNext/>
        <w:spacing w:before="120" w:after="120" w:line="240" w:lineRule="auto"/>
        <w:rPr>
          <w:rFonts w:eastAsia="Times New Roman" w:cs="Times New Roman"/>
          <w:b/>
          <w:bCs/>
          <w:noProof/>
          <w:sz w:val="20"/>
          <w:szCs w:val="20"/>
          <w:lang w:eastAsia="cs-CZ"/>
        </w:rPr>
      </w:pPr>
      <w:r w:rsidRPr="004B398B">
        <w:rPr>
          <w:rFonts w:eastAsia="Times New Roman" w:cs="Times New Roman"/>
          <w:b/>
          <w:bCs/>
          <w:sz w:val="20"/>
          <w:szCs w:val="20"/>
          <w:lang w:eastAsia="cs-CZ"/>
        </w:rPr>
        <w:t xml:space="preserve">Tabulka č. </w:t>
      </w:r>
      <w:r w:rsidRPr="004B398B">
        <w:rPr>
          <w:rFonts w:eastAsia="Times New Roman" w:cs="Times New Roman"/>
          <w:b/>
          <w:bCs/>
          <w:noProof/>
          <w:sz w:val="20"/>
          <w:szCs w:val="20"/>
          <w:lang w:eastAsia="cs-CZ"/>
        </w:rPr>
        <w:fldChar w:fldCharType="begin"/>
      </w:r>
      <w:r w:rsidRPr="004B398B">
        <w:rPr>
          <w:rFonts w:eastAsia="Times New Roman" w:cs="Times New Roman"/>
          <w:b/>
          <w:bCs/>
          <w:noProof/>
          <w:sz w:val="20"/>
          <w:szCs w:val="20"/>
          <w:lang w:eastAsia="cs-CZ"/>
        </w:rPr>
        <w:instrText xml:space="preserve"> SEQ Tabulka \* ARABIC </w:instrText>
      </w:r>
      <w:r w:rsidRPr="004B398B">
        <w:rPr>
          <w:rFonts w:eastAsia="Times New Roman" w:cs="Times New Roman"/>
          <w:b/>
          <w:bCs/>
          <w:noProof/>
          <w:sz w:val="20"/>
          <w:szCs w:val="20"/>
          <w:lang w:eastAsia="cs-CZ"/>
        </w:rPr>
        <w:fldChar w:fldCharType="separate"/>
      </w:r>
      <w:r w:rsidR="005B73C0">
        <w:rPr>
          <w:rFonts w:eastAsia="Times New Roman" w:cs="Times New Roman"/>
          <w:b/>
          <w:bCs/>
          <w:noProof/>
          <w:sz w:val="20"/>
          <w:szCs w:val="20"/>
          <w:lang w:eastAsia="cs-CZ"/>
        </w:rPr>
        <w:t>52</w:t>
      </w:r>
      <w:r w:rsidRPr="004B398B">
        <w:rPr>
          <w:rFonts w:eastAsia="Times New Roman" w:cs="Times New Roman"/>
          <w:b/>
          <w:bCs/>
          <w:noProof/>
          <w:sz w:val="20"/>
          <w:szCs w:val="20"/>
          <w:lang w:eastAsia="cs-CZ"/>
        </w:rPr>
        <w:fldChar w:fldCharType="end"/>
      </w:r>
      <w:r w:rsidRPr="004B398B">
        <w:rPr>
          <w:rFonts w:eastAsia="Times New Roman" w:cs="Times New Roman"/>
          <w:b/>
          <w:bCs/>
          <w:noProof/>
          <w:sz w:val="20"/>
          <w:szCs w:val="20"/>
          <w:lang w:eastAsia="cs-CZ"/>
        </w:rPr>
        <w:t xml:space="preserve"> </w:t>
      </w:r>
      <w:r w:rsidR="008423BA" w:rsidRPr="004B398B">
        <w:rPr>
          <w:rFonts w:eastAsia="Times New Roman" w:cs="Times New Roman"/>
          <w:b/>
          <w:bCs/>
          <w:noProof/>
          <w:sz w:val="20"/>
          <w:szCs w:val="20"/>
          <w:lang w:eastAsia="cs-CZ"/>
        </w:rPr>
        <w:t>Členění Programu Doprava 2021–2027 (v tis. Kč)</w:t>
      </w:r>
    </w:p>
    <w:tbl>
      <w:tblPr>
        <w:tblW w:w="5083"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7"/>
        <w:gridCol w:w="1527"/>
        <w:gridCol w:w="1174"/>
        <w:gridCol w:w="1413"/>
      </w:tblGrid>
      <w:tr w:rsidR="004A3C15" w:rsidRPr="004B398B" w14:paraId="3FBAD54C" w14:textId="77777777" w:rsidTr="0029449F">
        <w:trPr>
          <w:trHeight w:val="467"/>
        </w:trPr>
        <w:tc>
          <w:tcPr>
            <w:tcW w:w="276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6A952EE" w14:textId="77777777" w:rsidR="004A3C15" w:rsidRPr="004B398B" w:rsidRDefault="004A3C15" w:rsidP="0029449F">
            <w:pPr>
              <w:spacing w:before="81"/>
              <w:rPr>
                <w:rFonts w:eastAsia="Times New Roman" w:cs="Times New Roman"/>
                <w:b/>
                <w:lang w:eastAsia="cs-CZ"/>
              </w:rPr>
            </w:pPr>
            <w:r w:rsidRPr="004B398B">
              <w:rPr>
                <w:rFonts w:eastAsia="Times New Roman" w:cs="Times New Roman"/>
                <w:b/>
                <w:lang w:eastAsia="cs-CZ"/>
              </w:rPr>
              <w:t xml:space="preserve">Číslo (Fond) a název priority </w:t>
            </w:r>
          </w:p>
        </w:tc>
        <w:tc>
          <w:tcPr>
            <w:tcW w:w="83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8DF63CE" w14:textId="77777777" w:rsidR="004A3C15" w:rsidRPr="004B398B" w:rsidRDefault="004A3C15" w:rsidP="0029449F">
            <w:pPr>
              <w:spacing w:before="81"/>
              <w:jc w:val="center"/>
              <w:rPr>
                <w:rFonts w:eastAsia="Times New Roman" w:cs="Times New Roman"/>
                <w:b/>
                <w:lang w:eastAsia="cs-CZ"/>
              </w:rPr>
            </w:pPr>
            <w:r w:rsidRPr="004B398B">
              <w:rPr>
                <w:rFonts w:eastAsia="Times New Roman" w:cs="Times New Roman"/>
                <w:b/>
                <w:lang w:eastAsia="cs-CZ"/>
              </w:rPr>
              <w:t>EU</w:t>
            </w:r>
          </w:p>
        </w:tc>
        <w:tc>
          <w:tcPr>
            <w:tcW w:w="63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D04AC87" w14:textId="77777777" w:rsidR="004A3C15" w:rsidRPr="004B398B" w:rsidRDefault="004A3C15" w:rsidP="0029449F">
            <w:pPr>
              <w:spacing w:before="81"/>
              <w:jc w:val="center"/>
              <w:rPr>
                <w:rFonts w:eastAsia="Times New Roman" w:cs="Times New Roman"/>
                <w:b/>
                <w:lang w:eastAsia="cs-CZ"/>
              </w:rPr>
            </w:pPr>
            <w:r w:rsidRPr="004B398B">
              <w:rPr>
                <w:rFonts w:eastAsia="Times New Roman" w:cs="Times New Roman"/>
                <w:b/>
                <w:lang w:eastAsia="cs-CZ"/>
              </w:rPr>
              <w:t>SR</w:t>
            </w:r>
          </w:p>
        </w:tc>
        <w:tc>
          <w:tcPr>
            <w:tcW w:w="76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75B96F3" w14:textId="77777777" w:rsidR="004A3C15" w:rsidRPr="004B398B" w:rsidRDefault="004A3C15" w:rsidP="0029449F">
            <w:pPr>
              <w:spacing w:before="81"/>
              <w:jc w:val="center"/>
              <w:rPr>
                <w:rFonts w:eastAsia="Times New Roman" w:cs="Times New Roman"/>
                <w:b/>
                <w:lang w:eastAsia="cs-CZ"/>
              </w:rPr>
            </w:pPr>
            <w:r w:rsidRPr="004B398B">
              <w:rPr>
                <w:rFonts w:eastAsia="Times New Roman" w:cs="Times New Roman"/>
                <w:b/>
                <w:lang w:eastAsia="cs-CZ"/>
              </w:rPr>
              <w:t>Celkem</w:t>
            </w:r>
          </w:p>
        </w:tc>
      </w:tr>
      <w:tr w:rsidR="004B398B" w:rsidRPr="004B398B" w14:paraId="66BFE496" w14:textId="77777777" w:rsidTr="00713920">
        <w:trPr>
          <w:trHeight w:val="661"/>
        </w:trPr>
        <w:tc>
          <w:tcPr>
            <w:tcW w:w="2764" w:type="pct"/>
            <w:tcBorders>
              <w:top w:val="single" w:sz="4" w:space="0" w:color="7F7F7F" w:themeColor="text1" w:themeTint="80"/>
            </w:tcBorders>
            <w:shd w:val="clear" w:color="auto" w:fill="auto"/>
          </w:tcPr>
          <w:p w14:paraId="7D95A976" w14:textId="05A033FF" w:rsidR="004B398B" w:rsidRPr="004B398B" w:rsidRDefault="004B398B" w:rsidP="004B398B">
            <w:pPr>
              <w:rPr>
                <w:rFonts w:eastAsia="Times New Roman" w:cs="Times New Roman"/>
                <w:lang w:eastAsia="cs-CZ"/>
              </w:rPr>
            </w:pPr>
            <w:r w:rsidRPr="004B398B">
              <w:rPr>
                <w:rFonts w:eastAsia="Times New Roman" w:cs="Times New Roman"/>
                <w:b/>
                <w:lang w:eastAsia="cs-CZ"/>
              </w:rPr>
              <w:t>1 (CF) – Evropská, celostátní a regionální mobilita (v Kč) v</w:t>
            </w:r>
            <w:r w:rsidRPr="004B398B">
              <w:rPr>
                <w:rFonts w:eastAsia="Times New Roman" w:cs="Times New Roman"/>
                <w:lang w:eastAsia="cs-CZ"/>
              </w:rPr>
              <w:t> tom:</w:t>
            </w:r>
          </w:p>
        </w:tc>
        <w:tc>
          <w:tcPr>
            <w:tcW w:w="830" w:type="pct"/>
            <w:tcBorders>
              <w:top w:val="single" w:sz="4" w:space="0" w:color="7F7F7F" w:themeColor="text1" w:themeTint="80"/>
            </w:tcBorders>
            <w:shd w:val="clear" w:color="auto" w:fill="auto"/>
            <w:vAlign w:val="center"/>
          </w:tcPr>
          <w:p w14:paraId="71930070" w14:textId="56EC4203" w:rsidR="004B398B" w:rsidRPr="004B398B" w:rsidRDefault="004B398B" w:rsidP="004B398B">
            <w:pPr>
              <w:jc w:val="right"/>
              <w:rPr>
                <w:rFonts w:ascii="Times New Roman CE" w:hAnsi="Times New Roman CE" w:cs="Times New Roman CE"/>
                <w:b/>
                <w:bCs/>
                <w:sz w:val="26"/>
                <w:szCs w:val="26"/>
              </w:rPr>
            </w:pPr>
            <w:r w:rsidRPr="004B398B">
              <w:rPr>
                <w:rFonts w:ascii="Times New Roman CE" w:hAnsi="Times New Roman CE" w:cs="Times New Roman CE"/>
                <w:b/>
                <w:bCs/>
                <w:sz w:val="26"/>
                <w:szCs w:val="26"/>
              </w:rPr>
              <w:t>24 578 952</w:t>
            </w:r>
          </w:p>
        </w:tc>
        <w:tc>
          <w:tcPr>
            <w:tcW w:w="638" w:type="pct"/>
            <w:tcBorders>
              <w:top w:val="single" w:sz="4" w:space="0" w:color="7F7F7F" w:themeColor="text1" w:themeTint="80"/>
            </w:tcBorders>
            <w:shd w:val="clear" w:color="auto" w:fill="auto"/>
            <w:vAlign w:val="center"/>
          </w:tcPr>
          <w:p w14:paraId="2F84AA2C" w14:textId="54A351D2" w:rsidR="004B398B" w:rsidRPr="004B398B" w:rsidRDefault="004B398B" w:rsidP="004B398B">
            <w:pPr>
              <w:jc w:val="right"/>
              <w:rPr>
                <w:rFonts w:eastAsia="Times New Roman" w:cs="Times New Roman"/>
                <w:b/>
                <w:lang w:eastAsia="cs-CZ"/>
              </w:rPr>
            </w:pPr>
            <w:r w:rsidRPr="004B398B">
              <w:rPr>
                <w:rFonts w:eastAsia="Times New Roman" w:cs="Times New Roman"/>
                <w:b/>
                <w:lang w:eastAsia="cs-CZ"/>
              </w:rPr>
              <w:t>0</w:t>
            </w:r>
          </w:p>
        </w:tc>
        <w:tc>
          <w:tcPr>
            <w:tcW w:w="768" w:type="pct"/>
            <w:tcBorders>
              <w:top w:val="single" w:sz="4" w:space="0" w:color="7F7F7F" w:themeColor="text1" w:themeTint="80"/>
            </w:tcBorders>
            <w:shd w:val="clear" w:color="auto" w:fill="auto"/>
            <w:vAlign w:val="center"/>
          </w:tcPr>
          <w:p w14:paraId="0F81199A" w14:textId="032E745F" w:rsidR="004B398B" w:rsidRPr="004B398B" w:rsidRDefault="004B398B" w:rsidP="004B398B">
            <w:pPr>
              <w:jc w:val="right"/>
              <w:rPr>
                <w:rFonts w:eastAsia="Times New Roman" w:cs="Times New Roman"/>
                <w:b/>
                <w:lang w:eastAsia="cs-CZ"/>
              </w:rPr>
            </w:pPr>
            <w:r w:rsidRPr="004B398B">
              <w:rPr>
                <w:rFonts w:eastAsia="Times New Roman" w:cs="Times New Roman"/>
                <w:b/>
                <w:lang w:eastAsia="cs-CZ"/>
              </w:rPr>
              <w:t>24 578 952</w:t>
            </w:r>
          </w:p>
        </w:tc>
      </w:tr>
      <w:tr w:rsidR="004B398B" w:rsidRPr="004B398B" w14:paraId="73CCD1CA" w14:textId="77777777" w:rsidTr="0029449F">
        <w:trPr>
          <w:trHeight w:val="112"/>
        </w:trPr>
        <w:tc>
          <w:tcPr>
            <w:tcW w:w="2764" w:type="pct"/>
            <w:tcBorders>
              <w:bottom w:val="nil"/>
            </w:tcBorders>
            <w:shd w:val="clear" w:color="auto" w:fill="auto"/>
          </w:tcPr>
          <w:p w14:paraId="6AB13ECF" w14:textId="77777777" w:rsidR="004B398B" w:rsidRPr="004B398B" w:rsidRDefault="004B398B" w:rsidP="004B398B">
            <w:pPr>
              <w:rPr>
                <w:rFonts w:eastAsia="Times New Roman" w:cs="Times New Roman"/>
                <w:i/>
                <w:lang w:eastAsia="cs-CZ"/>
              </w:rPr>
            </w:pPr>
            <w:r w:rsidRPr="004B398B">
              <w:rPr>
                <w:rFonts w:eastAsia="Times New Roman" w:cs="Times New Roman"/>
                <w:i/>
                <w:lang w:eastAsia="cs-CZ"/>
              </w:rPr>
              <w:t>Státní fond dopravní infrastruktury</w:t>
            </w:r>
          </w:p>
        </w:tc>
        <w:tc>
          <w:tcPr>
            <w:tcW w:w="830" w:type="pct"/>
            <w:tcBorders>
              <w:bottom w:val="nil"/>
            </w:tcBorders>
            <w:shd w:val="clear" w:color="auto" w:fill="auto"/>
          </w:tcPr>
          <w:p w14:paraId="2CC36FC1" w14:textId="4CBA89C1"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24 578 952</w:t>
            </w:r>
          </w:p>
        </w:tc>
        <w:tc>
          <w:tcPr>
            <w:tcW w:w="638" w:type="pct"/>
            <w:tcBorders>
              <w:bottom w:val="nil"/>
            </w:tcBorders>
            <w:shd w:val="clear" w:color="auto" w:fill="auto"/>
          </w:tcPr>
          <w:p w14:paraId="60A30FCF" w14:textId="58FFE6C5"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c>
          <w:tcPr>
            <w:tcW w:w="768" w:type="pct"/>
            <w:tcBorders>
              <w:bottom w:val="nil"/>
            </w:tcBorders>
            <w:shd w:val="clear" w:color="auto" w:fill="auto"/>
          </w:tcPr>
          <w:p w14:paraId="6AA26A17" w14:textId="2B7F9E84"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24 578 952</w:t>
            </w:r>
          </w:p>
        </w:tc>
      </w:tr>
      <w:tr w:rsidR="004B398B" w:rsidRPr="004B398B" w14:paraId="6B2A7CF3" w14:textId="77777777" w:rsidTr="0029449F">
        <w:trPr>
          <w:trHeight w:val="112"/>
        </w:trPr>
        <w:tc>
          <w:tcPr>
            <w:tcW w:w="2764" w:type="pct"/>
            <w:tcBorders>
              <w:bottom w:val="nil"/>
            </w:tcBorders>
            <w:shd w:val="clear" w:color="auto" w:fill="auto"/>
          </w:tcPr>
          <w:p w14:paraId="13991FA2" w14:textId="77777777" w:rsidR="004B398B" w:rsidRPr="004B398B" w:rsidRDefault="004B398B" w:rsidP="004B398B">
            <w:pPr>
              <w:rPr>
                <w:rFonts w:eastAsia="Times New Roman" w:cs="Times New Roman"/>
                <w:i/>
                <w:lang w:eastAsia="cs-CZ"/>
              </w:rPr>
            </w:pPr>
            <w:r w:rsidRPr="004B398B">
              <w:rPr>
                <w:rFonts w:eastAsia="Times New Roman" w:cs="Times New Roman"/>
                <w:i/>
                <w:lang w:eastAsia="cs-CZ"/>
              </w:rPr>
              <w:t>Podnikatelské subjekty</w:t>
            </w:r>
          </w:p>
        </w:tc>
        <w:tc>
          <w:tcPr>
            <w:tcW w:w="830" w:type="pct"/>
            <w:tcBorders>
              <w:bottom w:val="nil"/>
            </w:tcBorders>
            <w:shd w:val="clear" w:color="auto" w:fill="auto"/>
          </w:tcPr>
          <w:p w14:paraId="745F3708" w14:textId="0B32B18C"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c>
          <w:tcPr>
            <w:tcW w:w="638" w:type="pct"/>
            <w:tcBorders>
              <w:bottom w:val="nil"/>
            </w:tcBorders>
            <w:shd w:val="clear" w:color="auto" w:fill="auto"/>
          </w:tcPr>
          <w:p w14:paraId="03CF1C0E" w14:textId="3D7E5A16"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c>
          <w:tcPr>
            <w:tcW w:w="768" w:type="pct"/>
            <w:tcBorders>
              <w:bottom w:val="nil"/>
            </w:tcBorders>
            <w:shd w:val="clear" w:color="auto" w:fill="auto"/>
          </w:tcPr>
          <w:p w14:paraId="3B73F929" w14:textId="0B2C23B2"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r>
      <w:tr w:rsidR="004B398B" w:rsidRPr="004B398B" w14:paraId="72DD9FBE" w14:textId="77777777" w:rsidTr="0029449F">
        <w:tc>
          <w:tcPr>
            <w:tcW w:w="2764" w:type="pct"/>
            <w:tcBorders>
              <w:top w:val="single" w:sz="4" w:space="0" w:color="7F7F7F" w:themeColor="text1" w:themeTint="80"/>
            </w:tcBorders>
            <w:shd w:val="clear" w:color="auto" w:fill="auto"/>
          </w:tcPr>
          <w:p w14:paraId="5808550F" w14:textId="77777777" w:rsidR="004B398B" w:rsidRPr="004B398B" w:rsidRDefault="004B398B" w:rsidP="004B398B">
            <w:pPr>
              <w:rPr>
                <w:rFonts w:eastAsia="Times New Roman" w:cs="Times New Roman"/>
                <w:lang w:eastAsia="cs-CZ"/>
              </w:rPr>
            </w:pPr>
            <w:r w:rsidRPr="004B398B">
              <w:rPr>
                <w:rFonts w:eastAsia="Times New Roman" w:cs="Times New Roman"/>
                <w:b/>
                <w:lang w:eastAsia="cs-CZ"/>
              </w:rPr>
              <w:t xml:space="preserve">2 (ERDF) – Celostátní silniční mobilita zajišťující konektivitu k síti TEN-T </w:t>
            </w:r>
            <w:r w:rsidRPr="004B398B">
              <w:rPr>
                <w:rFonts w:eastAsia="Times New Roman" w:cs="Times New Roman"/>
                <w:lang w:eastAsia="cs-CZ"/>
              </w:rPr>
              <w:t>v tom:</w:t>
            </w:r>
          </w:p>
        </w:tc>
        <w:tc>
          <w:tcPr>
            <w:tcW w:w="830" w:type="pct"/>
            <w:tcBorders>
              <w:top w:val="single" w:sz="4" w:space="0" w:color="7F7F7F" w:themeColor="text1" w:themeTint="80"/>
            </w:tcBorders>
            <w:shd w:val="clear" w:color="auto" w:fill="auto"/>
          </w:tcPr>
          <w:p w14:paraId="52B4181C" w14:textId="4724A883" w:rsidR="004B398B" w:rsidRPr="004B398B" w:rsidRDefault="004B398B" w:rsidP="004B398B">
            <w:pPr>
              <w:spacing w:before="163"/>
              <w:jc w:val="right"/>
              <w:rPr>
                <w:rFonts w:eastAsia="Times New Roman" w:cs="Times New Roman"/>
                <w:b/>
                <w:lang w:eastAsia="cs-CZ"/>
              </w:rPr>
            </w:pPr>
            <w:r w:rsidRPr="004B398B">
              <w:rPr>
                <w:rFonts w:eastAsia="Times New Roman" w:cs="Times New Roman"/>
                <w:b/>
                <w:lang w:eastAsia="cs-CZ"/>
              </w:rPr>
              <w:t>2 646 710</w:t>
            </w:r>
          </w:p>
        </w:tc>
        <w:tc>
          <w:tcPr>
            <w:tcW w:w="638" w:type="pct"/>
            <w:tcBorders>
              <w:top w:val="single" w:sz="4" w:space="0" w:color="7F7F7F" w:themeColor="text1" w:themeTint="80"/>
            </w:tcBorders>
            <w:shd w:val="clear" w:color="auto" w:fill="auto"/>
          </w:tcPr>
          <w:p w14:paraId="620DC715" w14:textId="0B60AB9F" w:rsidR="004B398B" w:rsidRPr="004B398B" w:rsidRDefault="004B398B" w:rsidP="004B398B">
            <w:pPr>
              <w:spacing w:before="163"/>
              <w:jc w:val="right"/>
              <w:rPr>
                <w:rFonts w:eastAsia="Times New Roman" w:cs="Times New Roman"/>
                <w:b/>
                <w:lang w:eastAsia="cs-CZ"/>
              </w:rPr>
            </w:pPr>
            <w:r w:rsidRPr="004B398B">
              <w:rPr>
                <w:rFonts w:eastAsia="Times New Roman" w:cs="Times New Roman"/>
                <w:b/>
                <w:lang w:eastAsia="cs-CZ"/>
              </w:rPr>
              <w:t>0</w:t>
            </w:r>
          </w:p>
        </w:tc>
        <w:tc>
          <w:tcPr>
            <w:tcW w:w="768" w:type="pct"/>
            <w:tcBorders>
              <w:top w:val="single" w:sz="4" w:space="0" w:color="7F7F7F" w:themeColor="text1" w:themeTint="80"/>
            </w:tcBorders>
            <w:shd w:val="clear" w:color="auto" w:fill="auto"/>
          </w:tcPr>
          <w:p w14:paraId="459B5376" w14:textId="4453D1CD" w:rsidR="004B398B" w:rsidRPr="004B398B" w:rsidRDefault="004B398B" w:rsidP="004B398B">
            <w:pPr>
              <w:spacing w:before="163"/>
              <w:jc w:val="right"/>
              <w:rPr>
                <w:rFonts w:eastAsia="Times New Roman" w:cs="Times New Roman"/>
                <w:b/>
                <w:lang w:eastAsia="cs-CZ"/>
              </w:rPr>
            </w:pPr>
            <w:r w:rsidRPr="004B398B">
              <w:rPr>
                <w:rFonts w:eastAsia="Times New Roman" w:cs="Times New Roman"/>
                <w:b/>
                <w:lang w:eastAsia="cs-CZ"/>
              </w:rPr>
              <w:t>2 646 710</w:t>
            </w:r>
          </w:p>
        </w:tc>
      </w:tr>
      <w:tr w:rsidR="004B398B" w:rsidRPr="004B398B" w14:paraId="29DD30B4" w14:textId="77777777" w:rsidTr="0029449F">
        <w:tc>
          <w:tcPr>
            <w:tcW w:w="2764" w:type="pct"/>
            <w:tcBorders>
              <w:bottom w:val="nil"/>
            </w:tcBorders>
            <w:shd w:val="clear" w:color="auto" w:fill="auto"/>
          </w:tcPr>
          <w:p w14:paraId="3B463FF9" w14:textId="77777777" w:rsidR="004B398B" w:rsidRPr="004B398B" w:rsidRDefault="004B398B" w:rsidP="004B398B">
            <w:pPr>
              <w:rPr>
                <w:rFonts w:eastAsia="Times New Roman" w:cs="Times New Roman"/>
                <w:i/>
                <w:lang w:eastAsia="cs-CZ"/>
              </w:rPr>
            </w:pPr>
            <w:r w:rsidRPr="004B398B">
              <w:rPr>
                <w:rFonts w:eastAsia="Times New Roman" w:cs="Times New Roman"/>
                <w:i/>
                <w:lang w:eastAsia="cs-CZ"/>
              </w:rPr>
              <w:t>Státní fond dopravní infrastruktury</w:t>
            </w:r>
          </w:p>
        </w:tc>
        <w:tc>
          <w:tcPr>
            <w:tcW w:w="830" w:type="pct"/>
            <w:tcBorders>
              <w:bottom w:val="nil"/>
            </w:tcBorders>
            <w:shd w:val="clear" w:color="auto" w:fill="auto"/>
          </w:tcPr>
          <w:p w14:paraId="1111085B" w14:textId="65594CE4" w:rsidR="004B398B" w:rsidRPr="004B398B" w:rsidRDefault="004B398B" w:rsidP="004B398B">
            <w:pPr>
              <w:jc w:val="right"/>
              <w:rPr>
                <w:rFonts w:cs="Times New Roman"/>
                <w:i/>
                <w:iCs/>
              </w:rPr>
            </w:pPr>
            <w:r w:rsidRPr="004B398B">
              <w:rPr>
                <w:rFonts w:cs="Times New Roman"/>
                <w:i/>
                <w:iCs/>
              </w:rPr>
              <w:t>2 646 710</w:t>
            </w:r>
          </w:p>
        </w:tc>
        <w:tc>
          <w:tcPr>
            <w:tcW w:w="638" w:type="pct"/>
            <w:tcBorders>
              <w:bottom w:val="nil"/>
            </w:tcBorders>
            <w:shd w:val="clear" w:color="auto" w:fill="auto"/>
          </w:tcPr>
          <w:p w14:paraId="557A36D1" w14:textId="2D306D95" w:rsidR="004B398B" w:rsidRPr="004B398B" w:rsidRDefault="004B398B" w:rsidP="004B398B">
            <w:pPr>
              <w:jc w:val="right"/>
              <w:rPr>
                <w:rFonts w:eastAsia="Times New Roman" w:cs="Times New Roman"/>
                <w:i/>
                <w:iCs/>
                <w:lang w:eastAsia="cs-CZ"/>
              </w:rPr>
            </w:pPr>
            <w:r w:rsidRPr="004B398B">
              <w:rPr>
                <w:rFonts w:eastAsia="Times New Roman" w:cs="Times New Roman"/>
                <w:i/>
                <w:iCs/>
                <w:lang w:eastAsia="cs-CZ"/>
              </w:rPr>
              <w:t>0</w:t>
            </w:r>
          </w:p>
        </w:tc>
        <w:tc>
          <w:tcPr>
            <w:tcW w:w="768" w:type="pct"/>
            <w:tcBorders>
              <w:bottom w:val="nil"/>
            </w:tcBorders>
            <w:shd w:val="clear" w:color="auto" w:fill="auto"/>
          </w:tcPr>
          <w:p w14:paraId="4C95CCC3" w14:textId="3DA1AFB7"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2 646 710</w:t>
            </w:r>
          </w:p>
        </w:tc>
      </w:tr>
      <w:tr w:rsidR="004B398B" w:rsidRPr="004B398B" w14:paraId="187502B8" w14:textId="77777777" w:rsidTr="0029449F">
        <w:tc>
          <w:tcPr>
            <w:tcW w:w="2764" w:type="pct"/>
            <w:tcBorders>
              <w:top w:val="single" w:sz="4" w:space="0" w:color="7F7F7F" w:themeColor="text1" w:themeTint="80"/>
            </w:tcBorders>
            <w:shd w:val="clear" w:color="auto" w:fill="auto"/>
          </w:tcPr>
          <w:p w14:paraId="25A23765" w14:textId="03884BBF" w:rsidR="004B398B" w:rsidRPr="004B398B" w:rsidRDefault="004B398B" w:rsidP="004B398B">
            <w:pPr>
              <w:rPr>
                <w:rFonts w:eastAsia="Times New Roman" w:cs="Times New Roman"/>
                <w:lang w:eastAsia="cs-CZ"/>
              </w:rPr>
            </w:pPr>
            <w:r w:rsidRPr="004B398B">
              <w:rPr>
                <w:rFonts w:eastAsia="Times New Roman" w:cs="Times New Roman"/>
                <w:b/>
                <w:lang w:eastAsia="cs-CZ"/>
              </w:rPr>
              <w:t xml:space="preserve">3 (CF) – Udržitelná městská mobilita </w:t>
            </w:r>
            <w:r w:rsidRPr="004B398B">
              <w:rPr>
                <w:rFonts w:eastAsia="Times New Roman" w:cs="Times New Roman"/>
                <w:b/>
                <w:lang w:eastAsia="cs-CZ"/>
              </w:rPr>
              <w:br/>
              <w:t xml:space="preserve">(a alternativní paliva) </w:t>
            </w:r>
            <w:r w:rsidRPr="004B398B">
              <w:rPr>
                <w:rFonts w:eastAsia="Times New Roman" w:cs="Times New Roman"/>
                <w:lang w:eastAsia="cs-CZ"/>
              </w:rPr>
              <w:t>v tom:</w:t>
            </w:r>
          </w:p>
        </w:tc>
        <w:tc>
          <w:tcPr>
            <w:tcW w:w="830" w:type="pct"/>
            <w:tcBorders>
              <w:top w:val="single" w:sz="4" w:space="0" w:color="7F7F7F" w:themeColor="text1" w:themeTint="80"/>
            </w:tcBorders>
            <w:shd w:val="clear" w:color="auto" w:fill="auto"/>
            <w:vAlign w:val="center"/>
          </w:tcPr>
          <w:p w14:paraId="5B33D48A" w14:textId="45DC751E" w:rsidR="004B398B" w:rsidRPr="004B398B" w:rsidRDefault="004B398B" w:rsidP="004B398B">
            <w:pPr>
              <w:jc w:val="right"/>
              <w:rPr>
                <w:rFonts w:eastAsia="Times New Roman" w:cs="Times New Roman"/>
                <w:b/>
                <w:lang w:eastAsia="cs-CZ"/>
              </w:rPr>
            </w:pPr>
            <w:r w:rsidRPr="004B398B">
              <w:rPr>
                <w:rFonts w:eastAsia="Times New Roman" w:cs="Times New Roman"/>
                <w:b/>
                <w:lang w:eastAsia="cs-CZ"/>
              </w:rPr>
              <w:t>3 000 000</w:t>
            </w:r>
          </w:p>
        </w:tc>
        <w:tc>
          <w:tcPr>
            <w:tcW w:w="638" w:type="pct"/>
            <w:tcBorders>
              <w:top w:val="single" w:sz="4" w:space="0" w:color="7F7F7F" w:themeColor="text1" w:themeTint="80"/>
            </w:tcBorders>
            <w:shd w:val="clear" w:color="auto" w:fill="auto"/>
            <w:vAlign w:val="center"/>
          </w:tcPr>
          <w:p w14:paraId="6E6D8A79" w14:textId="6A3002A4" w:rsidR="004B398B" w:rsidRPr="004B398B" w:rsidRDefault="004B398B" w:rsidP="004B398B">
            <w:pPr>
              <w:jc w:val="right"/>
              <w:rPr>
                <w:rFonts w:eastAsia="Times New Roman" w:cs="Times New Roman"/>
                <w:b/>
                <w:lang w:eastAsia="cs-CZ"/>
              </w:rPr>
            </w:pPr>
            <w:r w:rsidRPr="004B398B">
              <w:rPr>
                <w:rFonts w:eastAsia="Times New Roman" w:cs="Times New Roman"/>
                <w:b/>
                <w:lang w:eastAsia="cs-CZ"/>
              </w:rPr>
              <w:t>0</w:t>
            </w:r>
          </w:p>
        </w:tc>
        <w:tc>
          <w:tcPr>
            <w:tcW w:w="768" w:type="pct"/>
            <w:tcBorders>
              <w:top w:val="single" w:sz="4" w:space="0" w:color="7F7F7F" w:themeColor="text1" w:themeTint="80"/>
            </w:tcBorders>
            <w:shd w:val="clear" w:color="auto" w:fill="auto"/>
            <w:vAlign w:val="center"/>
          </w:tcPr>
          <w:p w14:paraId="7B6623B6" w14:textId="593695B1" w:rsidR="004B398B" w:rsidRPr="004B398B" w:rsidRDefault="004B398B" w:rsidP="004B398B">
            <w:pPr>
              <w:jc w:val="right"/>
              <w:rPr>
                <w:rFonts w:eastAsia="Times New Roman" w:cs="Times New Roman"/>
                <w:b/>
                <w:lang w:eastAsia="cs-CZ"/>
              </w:rPr>
            </w:pPr>
            <w:r w:rsidRPr="004B398B">
              <w:rPr>
                <w:rFonts w:eastAsia="Times New Roman" w:cs="Times New Roman"/>
                <w:b/>
                <w:lang w:eastAsia="cs-CZ"/>
              </w:rPr>
              <w:t>3 000 000</w:t>
            </w:r>
          </w:p>
        </w:tc>
      </w:tr>
      <w:tr w:rsidR="004B398B" w:rsidRPr="004B398B" w14:paraId="4ED25A8D" w14:textId="77777777" w:rsidTr="0029449F">
        <w:tc>
          <w:tcPr>
            <w:tcW w:w="2764" w:type="pct"/>
            <w:tcBorders>
              <w:bottom w:val="nil"/>
            </w:tcBorders>
            <w:shd w:val="clear" w:color="auto" w:fill="auto"/>
          </w:tcPr>
          <w:p w14:paraId="5BF5FB39" w14:textId="77777777" w:rsidR="004B398B" w:rsidRPr="004B398B" w:rsidRDefault="004B398B" w:rsidP="004B398B">
            <w:pPr>
              <w:rPr>
                <w:rFonts w:eastAsia="Times New Roman" w:cs="Times New Roman"/>
                <w:i/>
                <w:lang w:eastAsia="cs-CZ"/>
              </w:rPr>
            </w:pPr>
            <w:r w:rsidRPr="004B398B">
              <w:rPr>
                <w:rFonts w:eastAsia="Times New Roman" w:cs="Times New Roman"/>
                <w:i/>
                <w:lang w:eastAsia="cs-CZ"/>
              </w:rPr>
              <w:t xml:space="preserve">Státní fond dopravní infrastruktury </w:t>
            </w:r>
          </w:p>
        </w:tc>
        <w:tc>
          <w:tcPr>
            <w:tcW w:w="830" w:type="pct"/>
            <w:tcBorders>
              <w:bottom w:val="nil"/>
            </w:tcBorders>
            <w:shd w:val="clear" w:color="auto" w:fill="auto"/>
          </w:tcPr>
          <w:p w14:paraId="06B3A442" w14:textId="54E083B6"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3 000 000</w:t>
            </w:r>
          </w:p>
        </w:tc>
        <w:tc>
          <w:tcPr>
            <w:tcW w:w="638" w:type="pct"/>
            <w:tcBorders>
              <w:bottom w:val="nil"/>
            </w:tcBorders>
            <w:shd w:val="clear" w:color="auto" w:fill="auto"/>
          </w:tcPr>
          <w:p w14:paraId="34B136B1" w14:textId="1333BA73"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c>
          <w:tcPr>
            <w:tcW w:w="768" w:type="pct"/>
            <w:tcBorders>
              <w:bottom w:val="nil"/>
            </w:tcBorders>
            <w:shd w:val="clear" w:color="auto" w:fill="auto"/>
          </w:tcPr>
          <w:p w14:paraId="0D8BFF6B" w14:textId="71CF5BBB"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3 000 000</w:t>
            </w:r>
          </w:p>
        </w:tc>
      </w:tr>
      <w:tr w:rsidR="004B398B" w:rsidRPr="004B398B" w14:paraId="10574648" w14:textId="77777777" w:rsidTr="0029449F">
        <w:tc>
          <w:tcPr>
            <w:tcW w:w="2764" w:type="pct"/>
            <w:tcBorders>
              <w:bottom w:val="nil"/>
            </w:tcBorders>
            <w:shd w:val="clear" w:color="auto" w:fill="auto"/>
          </w:tcPr>
          <w:p w14:paraId="76E8B347" w14:textId="77777777" w:rsidR="004B398B" w:rsidRPr="004B398B" w:rsidRDefault="004B398B" w:rsidP="004B398B">
            <w:pPr>
              <w:rPr>
                <w:rFonts w:eastAsia="Times New Roman" w:cs="Times New Roman"/>
                <w:i/>
                <w:lang w:eastAsia="cs-CZ"/>
              </w:rPr>
            </w:pPr>
            <w:r w:rsidRPr="004B398B">
              <w:rPr>
                <w:rFonts w:eastAsia="Times New Roman" w:cs="Times New Roman"/>
                <w:i/>
                <w:lang w:eastAsia="cs-CZ"/>
              </w:rPr>
              <w:t>Podnikatelské subjekty</w:t>
            </w:r>
          </w:p>
        </w:tc>
        <w:tc>
          <w:tcPr>
            <w:tcW w:w="830" w:type="pct"/>
            <w:tcBorders>
              <w:bottom w:val="nil"/>
            </w:tcBorders>
            <w:shd w:val="clear" w:color="auto" w:fill="auto"/>
          </w:tcPr>
          <w:p w14:paraId="5832A5C0" w14:textId="6279A3E6"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c>
          <w:tcPr>
            <w:tcW w:w="638" w:type="pct"/>
            <w:tcBorders>
              <w:bottom w:val="nil"/>
            </w:tcBorders>
            <w:shd w:val="clear" w:color="auto" w:fill="auto"/>
          </w:tcPr>
          <w:p w14:paraId="2A0D9370" w14:textId="3D893819"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c>
          <w:tcPr>
            <w:tcW w:w="768" w:type="pct"/>
            <w:tcBorders>
              <w:bottom w:val="nil"/>
            </w:tcBorders>
            <w:shd w:val="clear" w:color="auto" w:fill="auto"/>
          </w:tcPr>
          <w:p w14:paraId="65DDFD9C" w14:textId="4AAC0422"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r>
      <w:tr w:rsidR="004B398B" w:rsidRPr="004B398B" w14:paraId="09C897A3" w14:textId="77777777" w:rsidTr="0029449F">
        <w:tc>
          <w:tcPr>
            <w:tcW w:w="2764" w:type="pct"/>
            <w:tcBorders>
              <w:top w:val="single" w:sz="4" w:space="0" w:color="7F7F7F" w:themeColor="text1" w:themeTint="80"/>
            </w:tcBorders>
            <w:shd w:val="clear" w:color="auto" w:fill="auto"/>
          </w:tcPr>
          <w:p w14:paraId="7F2FEE40" w14:textId="77777777" w:rsidR="004B398B" w:rsidRPr="004B398B" w:rsidRDefault="004B398B" w:rsidP="004B398B">
            <w:pPr>
              <w:rPr>
                <w:rFonts w:eastAsia="Times New Roman" w:cs="Times New Roman"/>
                <w:lang w:eastAsia="cs-CZ"/>
              </w:rPr>
            </w:pPr>
            <w:r w:rsidRPr="004B398B">
              <w:rPr>
                <w:rFonts w:eastAsia="Times New Roman" w:cs="Times New Roman"/>
                <w:b/>
                <w:lang w:eastAsia="cs-CZ"/>
              </w:rPr>
              <w:t xml:space="preserve">4 (CF) – Technická pomoc </w:t>
            </w:r>
          </w:p>
        </w:tc>
        <w:tc>
          <w:tcPr>
            <w:tcW w:w="830" w:type="pct"/>
            <w:tcBorders>
              <w:top w:val="single" w:sz="4" w:space="0" w:color="7F7F7F" w:themeColor="text1" w:themeTint="80"/>
            </w:tcBorders>
            <w:shd w:val="clear" w:color="auto" w:fill="auto"/>
          </w:tcPr>
          <w:p w14:paraId="6CD412FF" w14:textId="396256A0" w:rsidR="004B398B" w:rsidRPr="004B398B" w:rsidRDefault="004B398B" w:rsidP="004B398B">
            <w:pPr>
              <w:jc w:val="right"/>
              <w:rPr>
                <w:rFonts w:ascii="Times New Roman CE" w:hAnsi="Times New Roman CE" w:cs="Times New Roman CE"/>
                <w:b/>
                <w:bCs/>
                <w:sz w:val="26"/>
                <w:szCs w:val="26"/>
              </w:rPr>
            </w:pPr>
            <w:r w:rsidRPr="004B398B">
              <w:rPr>
                <w:rFonts w:ascii="Times New Roman CE" w:hAnsi="Times New Roman CE" w:cs="Times New Roman CE"/>
                <w:b/>
                <w:bCs/>
                <w:sz w:val="26"/>
                <w:szCs w:val="26"/>
              </w:rPr>
              <w:t>134 451</w:t>
            </w:r>
          </w:p>
        </w:tc>
        <w:tc>
          <w:tcPr>
            <w:tcW w:w="638" w:type="pct"/>
            <w:tcBorders>
              <w:top w:val="single" w:sz="4" w:space="0" w:color="7F7F7F" w:themeColor="text1" w:themeTint="80"/>
            </w:tcBorders>
            <w:shd w:val="clear" w:color="auto" w:fill="auto"/>
          </w:tcPr>
          <w:p w14:paraId="1EE9A352" w14:textId="3EE3160F" w:rsidR="004B398B" w:rsidRPr="004B398B" w:rsidRDefault="004B398B" w:rsidP="004B398B">
            <w:pPr>
              <w:jc w:val="right"/>
              <w:rPr>
                <w:rFonts w:eastAsia="Times New Roman" w:cs="Times New Roman"/>
                <w:b/>
                <w:lang w:eastAsia="cs-CZ"/>
              </w:rPr>
            </w:pPr>
            <w:r w:rsidRPr="004B398B">
              <w:rPr>
                <w:rFonts w:eastAsia="Times New Roman" w:cs="Times New Roman"/>
                <w:b/>
                <w:lang w:eastAsia="cs-CZ"/>
              </w:rPr>
              <w:t>12 622</w:t>
            </w:r>
          </w:p>
        </w:tc>
        <w:tc>
          <w:tcPr>
            <w:tcW w:w="768" w:type="pct"/>
            <w:tcBorders>
              <w:top w:val="single" w:sz="4" w:space="0" w:color="7F7F7F" w:themeColor="text1" w:themeTint="80"/>
            </w:tcBorders>
            <w:shd w:val="clear" w:color="auto" w:fill="auto"/>
          </w:tcPr>
          <w:p w14:paraId="042B3CD0" w14:textId="20A5EE9B" w:rsidR="004B398B" w:rsidRPr="004B398B" w:rsidRDefault="004B398B" w:rsidP="004B398B">
            <w:pPr>
              <w:jc w:val="right"/>
              <w:rPr>
                <w:rFonts w:eastAsia="Times New Roman" w:cs="Times New Roman"/>
                <w:b/>
                <w:lang w:eastAsia="cs-CZ"/>
              </w:rPr>
            </w:pPr>
            <w:r w:rsidRPr="004B398B">
              <w:rPr>
                <w:rFonts w:eastAsia="Times New Roman" w:cs="Times New Roman"/>
                <w:b/>
                <w:lang w:eastAsia="cs-CZ"/>
              </w:rPr>
              <w:t>147 073</w:t>
            </w:r>
          </w:p>
        </w:tc>
      </w:tr>
      <w:tr w:rsidR="004B398B" w:rsidRPr="004B398B" w14:paraId="31A0C847" w14:textId="77777777" w:rsidTr="0029449F">
        <w:tc>
          <w:tcPr>
            <w:tcW w:w="2764" w:type="pct"/>
            <w:tcBorders>
              <w:top w:val="single" w:sz="4" w:space="0" w:color="7F7F7F" w:themeColor="text1" w:themeTint="80"/>
            </w:tcBorders>
            <w:shd w:val="clear" w:color="auto" w:fill="auto"/>
          </w:tcPr>
          <w:p w14:paraId="6F6DF1CC" w14:textId="77777777" w:rsidR="004B398B" w:rsidRPr="004B398B" w:rsidRDefault="004B398B" w:rsidP="004B398B">
            <w:pPr>
              <w:rPr>
                <w:rFonts w:eastAsia="Times New Roman" w:cs="Times New Roman"/>
                <w:i/>
                <w:lang w:eastAsia="cs-CZ"/>
              </w:rPr>
            </w:pPr>
            <w:r w:rsidRPr="004B398B">
              <w:rPr>
                <w:rFonts w:eastAsia="Times New Roman" w:cs="Times New Roman"/>
                <w:i/>
                <w:lang w:eastAsia="cs-CZ"/>
              </w:rPr>
              <w:t xml:space="preserve">Státní fond dopravní infrastruktury </w:t>
            </w:r>
          </w:p>
        </w:tc>
        <w:tc>
          <w:tcPr>
            <w:tcW w:w="830" w:type="pct"/>
            <w:tcBorders>
              <w:top w:val="single" w:sz="4" w:space="0" w:color="7F7F7F" w:themeColor="text1" w:themeTint="80"/>
            </w:tcBorders>
            <w:shd w:val="clear" w:color="auto" w:fill="auto"/>
          </w:tcPr>
          <w:p w14:paraId="67E2180B" w14:textId="04C240E6"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62 929</w:t>
            </w:r>
          </w:p>
        </w:tc>
        <w:tc>
          <w:tcPr>
            <w:tcW w:w="638" w:type="pct"/>
            <w:tcBorders>
              <w:top w:val="single" w:sz="4" w:space="0" w:color="7F7F7F" w:themeColor="text1" w:themeTint="80"/>
            </w:tcBorders>
            <w:shd w:val="clear" w:color="auto" w:fill="auto"/>
          </w:tcPr>
          <w:p w14:paraId="67C13E6D" w14:textId="5FF8335B"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0</w:t>
            </w:r>
          </w:p>
        </w:tc>
        <w:tc>
          <w:tcPr>
            <w:tcW w:w="768" w:type="pct"/>
            <w:tcBorders>
              <w:top w:val="single" w:sz="4" w:space="0" w:color="7F7F7F" w:themeColor="text1" w:themeTint="80"/>
            </w:tcBorders>
            <w:shd w:val="clear" w:color="auto" w:fill="auto"/>
          </w:tcPr>
          <w:p w14:paraId="7B84D308" w14:textId="07475A06"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62 929</w:t>
            </w:r>
          </w:p>
        </w:tc>
      </w:tr>
      <w:tr w:rsidR="004B398B" w:rsidRPr="004B398B" w14:paraId="0430FBE3" w14:textId="77777777" w:rsidTr="0029449F">
        <w:tc>
          <w:tcPr>
            <w:tcW w:w="2764" w:type="pct"/>
            <w:tcBorders>
              <w:top w:val="single" w:sz="4" w:space="0" w:color="7F7F7F" w:themeColor="text1" w:themeTint="80"/>
            </w:tcBorders>
            <w:shd w:val="clear" w:color="auto" w:fill="auto"/>
          </w:tcPr>
          <w:p w14:paraId="003014B4" w14:textId="77777777" w:rsidR="004B398B" w:rsidRPr="004B398B" w:rsidRDefault="004B398B" w:rsidP="004B398B">
            <w:pPr>
              <w:rPr>
                <w:rFonts w:eastAsia="Times New Roman" w:cs="Times New Roman"/>
                <w:i/>
                <w:lang w:eastAsia="cs-CZ"/>
              </w:rPr>
            </w:pPr>
            <w:r w:rsidRPr="004B398B">
              <w:rPr>
                <w:rFonts w:eastAsia="Times New Roman" w:cs="Times New Roman"/>
                <w:i/>
                <w:lang w:eastAsia="cs-CZ"/>
              </w:rPr>
              <w:t>Ústřední orgán MD</w:t>
            </w:r>
          </w:p>
        </w:tc>
        <w:tc>
          <w:tcPr>
            <w:tcW w:w="830" w:type="pct"/>
            <w:tcBorders>
              <w:top w:val="single" w:sz="4" w:space="0" w:color="7F7F7F" w:themeColor="text1" w:themeTint="80"/>
            </w:tcBorders>
            <w:shd w:val="clear" w:color="auto" w:fill="auto"/>
          </w:tcPr>
          <w:p w14:paraId="4F96E6C0" w14:textId="7D4D08D2" w:rsidR="004B398B" w:rsidRPr="004B398B" w:rsidRDefault="004B398B" w:rsidP="004B398B">
            <w:pPr>
              <w:jc w:val="right"/>
              <w:rPr>
                <w:rFonts w:ascii="Times New Roman CE" w:hAnsi="Times New Roman CE" w:cs="Times New Roman CE"/>
              </w:rPr>
            </w:pPr>
            <w:r w:rsidRPr="004B398B">
              <w:rPr>
                <w:rFonts w:ascii="Times New Roman CE" w:hAnsi="Times New Roman CE" w:cs="Times New Roman CE"/>
              </w:rPr>
              <w:t>71 522</w:t>
            </w:r>
          </w:p>
        </w:tc>
        <w:tc>
          <w:tcPr>
            <w:tcW w:w="638" w:type="pct"/>
            <w:tcBorders>
              <w:top w:val="single" w:sz="4" w:space="0" w:color="7F7F7F" w:themeColor="text1" w:themeTint="80"/>
            </w:tcBorders>
            <w:shd w:val="clear" w:color="auto" w:fill="auto"/>
          </w:tcPr>
          <w:p w14:paraId="6B1F37C7" w14:textId="4DC80485"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12 622</w:t>
            </w:r>
          </w:p>
        </w:tc>
        <w:tc>
          <w:tcPr>
            <w:tcW w:w="768" w:type="pct"/>
            <w:tcBorders>
              <w:top w:val="single" w:sz="4" w:space="0" w:color="7F7F7F" w:themeColor="text1" w:themeTint="80"/>
            </w:tcBorders>
            <w:shd w:val="clear" w:color="auto" w:fill="auto"/>
          </w:tcPr>
          <w:p w14:paraId="27ABC854" w14:textId="0AFE4F7A" w:rsidR="004B398B" w:rsidRPr="004B398B" w:rsidRDefault="004B398B" w:rsidP="004B398B">
            <w:pPr>
              <w:jc w:val="right"/>
              <w:rPr>
                <w:rFonts w:eastAsia="Times New Roman" w:cs="Times New Roman"/>
                <w:i/>
                <w:lang w:eastAsia="cs-CZ"/>
              </w:rPr>
            </w:pPr>
            <w:r w:rsidRPr="004B398B">
              <w:rPr>
                <w:rFonts w:eastAsia="Times New Roman" w:cs="Times New Roman"/>
                <w:i/>
                <w:lang w:eastAsia="cs-CZ"/>
              </w:rPr>
              <w:t>84 144</w:t>
            </w:r>
          </w:p>
        </w:tc>
      </w:tr>
      <w:tr w:rsidR="004B398B" w:rsidRPr="004B398B" w14:paraId="7DC104CD" w14:textId="77777777" w:rsidTr="0029449F">
        <w:trPr>
          <w:trHeight w:val="402"/>
        </w:trPr>
        <w:tc>
          <w:tcPr>
            <w:tcW w:w="2764" w:type="pct"/>
            <w:tcBorders>
              <w:top w:val="single" w:sz="8" w:space="0" w:color="7F7F7F" w:themeColor="text1" w:themeTint="80"/>
              <w:bottom w:val="single" w:sz="8" w:space="0" w:color="7F7F7F" w:themeColor="text1" w:themeTint="80"/>
            </w:tcBorders>
            <w:shd w:val="clear" w:color="auto" w:fill="auto"/>
          </w:tcPr>
          <w:p w14:paraId="663BDDDF" w14:textId="77777777" w:rsidR="004B398B" w:rsidRPr="004B398B" w:rsidRDefault="004B398B" w:rsidP="004B398B">
            <w:pPr>
              <w:spacing w:before="81"/>
              <w:rPr>
                <w:rFonts w:eastAsia="Times New Roman" w:cs="Times New Roman"/>
                <w:b/>
                <w:szCs w:val="24"/>
                <w:lang w:eastAsia="cs-CZ"/>
              </w:rPr>
            </w:pPr>
            <w:r w:rsidRPr="004B398B">
              <w:rPr>
                <w:rFonts w:eastAsia="Times New Roman" w:cs="Times New Roman"/>
                <w:b/>
                <w:szCs w:val="24"/>
                <w:lang w:eastAsia="cs-CZ"/>
              </w:rPr>
              <w:t>Celkem</w:t>
            </w:r>
          </w:p>
        </w:tc>
        <w:tc>
          <w:tcPr>
            <w:tcW w:w="830" w:type="pct"/>
            <w:tcBorders>
              <w:top w:val="single" w:sz="8" w:space="0" w:color="7F7F7F" w:themeColor="text1" w:themeTint="80"/>
              <w:bottom w:val="single" w:sz="8" w:space="0" w:color="7F7F7F" w:themeColor="text1" w:themeTint="80"/>
            </w:tcBorders>
            <w:shd w:val="clear" w:color="auto" w:fill="auto"/>
          </w:tcPr>
          <w:p w14:paraId="21BBACE0" w14:textId="61A4FA2B" w:rsidR="004B398B" w:rsidRPr="004B398B" w:rsidRDefault="004B398B" w:rsidP="004B398B">
            <w:pPr>
              <w:spacing w:before="81"/>
              <w:jc w:val="right"/>
              <w:rPr>
                <w:rFonts w:eastAsia="Times New Roman" w:cs="Times New Roman"/>
                <w:b/>
                <w:szCs w:val="24"/>
                <w:lang w:eastAsia="cs-CZ"/>
              </w:rPr>
            </w:pPr>
            <w:r w:rsidRPr="004B398B">
              <w:rPr>
                <w:rFonts w:eastAsia="Times New Roman" w:cs="Times New Roman"/>
                <w:b/>
                <w:szCs w:val="24"/>
                <w:lang w:eastAsia="cs-CZ"/>
              </w:rPr>
              <w:t>30 360 113</w:t>
            </w:r>
          </w:p>
        </w:tc>
        <w:tc>
          <w:tcPr>
            <w:tcW w:w="638" w:type="pct"/>
            <w:tcBorders>
              <w:top w:val="single" w:sz="8" w:space="0" w:color="7F7F7F" w:themeColor="text1" w:themeTint="80"/>
              <w:bottom w:val="single" w:sz="8" w:space="0" w:color="7F7F7F" w:themeColor="text1" w:themeTint="80"/>
            </w:tcBorders>
            <w:shd w:val="clear" w:color="auto" w:fill="auto"/>
          </w:tcPr>
          <w:p w14:paraId="37E3C054" w14:textId="4D2614FA" w:rsidR="004B398B" w:rsidRPr="004B398B" w:rsidRDefault="004B398B" w:rsidP="004B398B">
            <w:pPr>
              <w:spacing w:before="81"/>
              <w:jc w:val="right"/>
              <w:rPr>
                <w:rFonts w:eastAsia="Times New Roman" w:cs="Times New Roman"/>
                <w:b/>
                <w:szCs w:val="24"/>
                <w:lang w:eastAsia="cs-CZ"/>
              </w:rPr>
            </w:pPr>
            <w:r w:rsidRPr="004B398B">
              <w:rPr>
                <w:rFonts w:eastAsia="Times New Roman" w:cs="Times New Roman"/>
                <w:b/>
                <w:szCs w:val="24"/>
                <w:lang w:eastAsia="cs-CZ"/>
              </w:rPr>
              <w:t>12 622</w:t>
            </w:r>
          </w:p>
        </w:tc>
        <w:tc>
          <w:tcPr>
            <w:tcW w:w="768" w:type="pct"/>
            <w:tcBorders>
              <w:top w:val="single" w:sz="8" w:space="0" w:color="7F7F7F" w:themeColor="text1" w:themeTint="80"/>
              <w:bottom w:val="single" w:sz="8" w:space="0" w:color="7F7F7F" w:themeColor="text1" w:themeTint="80"/>
            </w:tcBorders>
            <w:shd w:val="clear" w:color="auto" w:fill="auto"/>
          </w:tcPr>
          <w:p w14:paraId="37561DC6" w14:textId="0F6FCF26" w:rsidR="004B398B" w:rsidRPr="004B398B" w:rsidRDefault="004B398B" w:rsidP="004B398B">
            <w:pPr>
              <w:spacing w:before="81"/>
              <w:jc w:val="right"/>
              <w:rPr>
                <w:rFonts w:eastAsia="Times New Roman" w:cs="Times New Roman"/>
                <w:b/>
                <w:szCs w:val="24"/>
                <w:lang w:eastAsia="cs-CZ"/>
              </w:rPr>
            </w:pPr>
            <w:r w:rsidRPr="004B398B">
              <w:rPr>
                <w:rFonts w:eastAsia="Times New Roman" w:cs="Times New Roman"/>
                <w:b/>
                <w:szCs w:val="24"/>
                <w:lang w:eastAsia="cs-CZ"/>
              </w:rPr>
              <w:t>30 372 735</w:t>
            </w:r>
          </w:p>
        </w:tc>
      </w:tr>
    </w:tbl>
    <w:p w14:paraId="30C41752" w14:textId="0EF39C61" w:rsidR="00CA2F73" w:rsidRPr="009007A4" w:rsidRDefault="00CA2F73" w:rsidP="00CA2F73">
      <w:pPr>
        <w:pStyle w:val="Nadpis3"/>
      </w:pPr>
      <w:bookmarkStart w:id="280" w:name="_Toc179964114"/>
      <w:r w:rsidRPr="009007A4">
        <w:t xml:space="preserve">Komunitární programy – programové období </w:t>
      </w:r>
      <w:r w:rsidR="006436A1" w:rsidRPr="009007A4">
        <w:t>2021–2027</w:t>
      </w:r>
      <w:bookmarkEnd w:id="280"/>
    </w:p>
    <w:p w14:paraId="6DBF6500" w14:textId="2AF61A56" w:rsidR="00CA2F73" w:rsidRPr="009007A4" w:rsidRDefault="00CA2F73" w:rsidP="00CA2F73">
      <w:pPr>
        <w:pStyle w:val="Titulek"/>
        <w:rPr>
          <w:noProof/>
        </w:rPr>
      </w:pPr>
      <w:r w:rsidRPr="009007A4">
        <w:t xml:space="preserve">Tabulka č. </w:t>
      </w:r>
      <w:r w:rsidRPr="009007A4">
        <w:rPr>
          <w:noProof/>
        </w:rPr>
        <w:fldChar w:fldCharType="begin"/>
      </w:r>
      <w:r w:rsidRPr="009007A4">
        <w:rPr>
          <w:noProof/>
        </w:rPr>
        <w:instrText xml:space="preserve"> SEQ Tabulka \* ARABIC </w:instrText>
      </w:r>
      <w:r w:rsidRPr="009007A4">
        <w:rPr>
          <w:noProof/>
        </w:rPr>
        <w:fldChar w:fldCharType="separate"/>
      </w:r>
      <w:r w:rsidR="005B73C0">
        <w:rPr>
          <w:noProof/>
        </w:rPr>
        <w:t>53</w:t>
      </w:r>
      <w:r w:rsidRPr="009007A4">
        <w:rPr>
          <w:noProof/>
        </w:rPr>
        <w:fldChar w:fldCharType="end"/>
      </w:r>
      <w:r w:rsidRPr="009007A4">
        <w:rPr>
          <w:noProof/>
        </w:rPr>
        <w:t xml:space="preserve"> </w:t>
      </w:r>
      <w:r w:rsidR="00DF4373" w:rsidRPr="009007A4">
        <w:rPr>
          <w:noProof/>
        </w:rPr>
        <w:t>Členění komunitárních programů 2021+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962A23" w:rsidRPr="009007A4" w14:paraId="2FFD8C40" w14:textId="77777777" w:rsidTr="0029449F">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F221FE8" w14:textId="77777777" w:rsidR="00962A23" w:rsidRPr="009007A4" w:rsidRDefault="00962A23" w:rsidP="0029449F">
            <w:pPr>
              <w:rPr>
                <w:rFonts w:eastAsia="Times New Roman" w:cs="Times New Roman"/>
                <w:b/>
                <w:lang w:eastAsia="cs-CZ"/>
              </w:rPr>
            </w:pPr>
            <w:r w:rsidRPr="009007A4">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B2EE23F" w14:textId="77777777" w:rsidR="00962A23" w:rsidRPr="009007A4" w:rsidRDefault="00962A23" w:rsidP="0029449F">
            <w:pPr>
              <w:jc w:val="center"/>
              <w:rPr>
                <w:rFonts w:eastAsia="Times New Roman" w:cs="Times New Roman"/>
                <w:b/>
                <w:lang w:eastAsia="cs-CZ"/>
              </w:rPr>
            </w:pPr>
            <w:r w:rsidRPr="009007A4">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AA51FE" w14:textId="77777777" w:rsidR="00962A23" w:rsidRPr="009007A4" w:rsidRDefault="00962A23" w:rsidP="0029449F">
            <w:pPr>
              <w:jc w:val="center"/>
              <w:rPr>
                <w:rFonts w:eastAsia="Times New Roman" w:cs="Times New Roman"/>
                <w:b/>
                <w:lang w:eastAsia="cs-CZ"/>
              </w:rPr>
            </w:pPr>
            <w:r w:rsidRPr="009007A4">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1186593" w14:textId="77777777" w:rsidR="00962A23" w:rsidRPr="009007A4" w:rsidRDefault="00962A23" w:rsidP="0029449F">
            <w:pPr>
              <w:jc w:val="center"/>
              <w:rPr>
                <w:rFonts w:eastAsia="Times New Roman" w:cs="Times New Roman"/>
                <w:b/>
                <w:lang w:eastAsia="cs-CZ"/>
              </w:rPr>
            </w:pPr>
            <w:r w:rsidRPr="009007A4">
              <w:rPr>
                <w:rFonts w:eastAsia="Times New Roman" w:cs="Times New Roman"/>
                <w:b/>
                <w:lang w:eastAsia="cs-CZ"/>
              </w:rPr>
              <w:t>Celkem</w:t>
            </w:r>
          </w:p>
        </w:tc>
      </w:tr>
      <w:tr w:rsidR="009007A4" w:rsidRPr="009007A4" w14:paraId="06B0F7E4" w14:textId="77777777" w:rsidTr="0029449F">
        <w:trPr>
          <w:tblHeader/>
          <w:jc w:val="center"/>
        </w:trPr>
        <w:tc>
          <w:tcPr>
            <w:tcW w:w="2501" w:type="pct"/>
            <w:tcBorders>
              <w:top w:val="single" w:sz="4" w:space="0" w:color="7F7F7F" w:themeColor="text1" w:themeTint="80"/>
            </w:tcBorders>
            <w:shd w:val="clear" w:color="auto" w:fill="auto"/>
          </w:tcPr>
          <w:p w14:paraId="2CFA308B" w14:textId="77777777" w:rsidR="009007A4" w:rsidRPr="009007A4" w:rsidRDefault="009007A4" w:rsidP="009007A4">
            <w:pPr>
              <w:spacing w:before="27" w:after="27"/>
              <w:rPr>
                <w:rFonts w:eastAsia="Times New Roman" w:cs="Times New Roman"/>
                <w:lang w:eastAsia="cs-CZ"/>
              </w:rPr>
            </w:pPr>
            <w:r w:rsidRPr="009007A4">
              <w:rPr>
                <w:rFonts w:eastAsia="Times New Roman" w:cs="Times New Roman"/>
                <w:b/>
                <w:lang w:eastAsia="cs-CZ"/>
              </w:rPr>
              <w:t xml:space="preserve">Nástroj pro propojení Evropy 2021+ </w:t>
            </w:r>
            <w:r w:rsidRPr="009007A4">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14:paraId="15250E4E" w14:textId="61650B6D" w:rsidR="009007A4" w:rsidRPr="009007A4" w:rsidRDefault="009007A4" w:rsidP="009007A4">
            <w:pPr>
              <w:spacing w:before="27" w:after="27"/>
              <w:jc w:val="right"/>
              <w:rPr>
                <w:rFonts w:eastAsia="Times New Roman" w:cs="Times New Roman"/>
                <w:b/>
                <w:color w:val="FF0000"/>
                <w:lang w:eastAsia="cs-CZ"/>
              </w:rPr>
            </w:pPr>
            <w:r w:rsidRPr="009007A4">
              <w:rPr>
                <w:rFonts w:eastAsia="Times New Roman" w:cs="Times New Roman"/>
                <w:b/>
                <w:lang w:eastAsia="cs-CZ"/>
              </w:rPr>
              <w:t>7 119 744</w:t>
            </w:r>
          </w:p>
        </w:tc>
        <w:tc>
          <w:tcPr>
            <w:tcW w:w="772" w:type="pct"/>
            <w:tcBorders>
              <w:top w:val="single" w:sz="4" w:space="0" w:color="7F7F7F" w:themeColor="text1" w:themeTint="80"/>
            </w:tcBorders>
            <w:shd w:val="clear" w:color="auto" w:fill="auto"/>
            <w:vAlign w:val="center"/>
          </w:tcPr>
          <w:p w14:paraId="49A27697" w14:textId="132E6D72" w:rsidR="009007A4" w:rsidRPr="009007A4" w:rsidRDefault="009007A4" w:rsidP="009007A4">
            <w:pPr>
              <w:spacing w:before="27" w:after="27"/>
              <w:jc w:val="right"/>
              <w:rPr>
                <w:rFonts w:eastAsia="Times New Roman" w:cs="Times New Roman"/>
                <w:b/>
                <w:color w:val="FF0000"/>
                <w:lang w:eastAsia="cs-CZ"/>
              </w:rPr>
            </w:pPr>
            <w:r w:rsidRPr="009007A4">
              <w:rPr>
                <w:rFonts w:eastAsia="Times New Roman" w:cs="Times New Roman"/>
                <w:b/>
                <w:lang w:eastAsia="cs-CZ"/>
              </w:rPr>
              <w:t>3 453</w:t>
            </w:r>
          </w:p>
        </w:tc>
        <w:tc>
          <w:tcPr>
            <w:tcW w:w="808" w:type="pct"/>
            <w:tcBorders>
              <w:top w:val="single" w:sz="4" w:space="0" w:color="7F7F7F" w:themeColor="text1" w:themeTint="80"/>
            </w:tcBorders>
            <w:shd w:val="clear" w:color="auto" w:fill="auto"/>
            <w:vAlign w:val="center"/>
          </w:tcPr>
          <w:p w14:paraId="78AC57CB" w14:textId="09863A8A" w:rsidR="009007A4" w:rsidRPr="009007A4" w:rsidRDefault="009007A4" w:rsidP="009007A4">
            <w:pPr>
              <w:spacing w:before="27" w:after="27"/>
              <w:jc w:val="right"/>
              <w:rPr>
                <w:rFonts w:eastAsia="Times New Roman" w:cs="Times New Roman"/>
                <w:b/>
                <w:color w:val="FF0000"/>
                <w:lang w:eastAsia="cs-CZ"/>
              </w:rPr>
            </w:pPr>
            <w:r w:rsidRPr="009007A4">
              <w:rPr>
                <w:rFonts w:eastAsia="Times New Roman" w:cs="Times New Roman"/>
                <w:b/>
                <w:lang w:eastAsia="cs-CZ"/>
              </w:rPr>
              <w:t>7 123 197</w:t>
            </w:r>
          </w:p>
        </w:tc>
      </w:tr>
      <w:tr w:rsidR="009007A4" w:rsidRPr="009007A4" w14:paraId="317AFE84" w14:textId="77777777" w:rsidTr="0029449F">
        <w:trPr>
          <w:tblHeader/>
          <w:jc w:val="center"/>
        </w:trPr>
        <w:tc>
          <w:tcPr>
            <w:tcW w:w="2501" w:type="pct"/>
            <w:tcBorders>
              <w:top w:val="single" w:sz="4" w:space="0" w:color="7F7F7F" w:themeColor="text1" w:themeTint="80"/>
            </w:tcBorders>
            <w:shd w:val="clear" w:color="auto" w:fill="auto"/>
          </w:tcPr>
          <w:p w14:paraId="4E22A418" w14:textId="77777777" w:rsidR="009007A4" w:rsidRPr="009007A4" w:rsidRDefault="009007A4" w:rsidP="009007A4">
            <w:pPr>
              <w:spacing w:before="27" w:after="27"/>
              <w:rPr>
                <w:rFonts w:eastAsia="Times New Roman" w:cs="Times New Roman"/>
                <w:lang w:eastAsia="cs-CZ"/>
              </w:rPr>
            </w:pPr>
            <w:r w:rsidRPr="009007A4">
              <w:rPr>
                <w:rFonts w:eastAsia="Times New Roman" w:cs="Times New Roman"/>
                <w:lang w:eastAsia="cs-CZ"/>
              </w:rPr>
              <w:t>CEF 2021+ (SFDI)</w:t>
            </w:r>
          </w:p>
        </w:tc>
        <w:tc>
          <w:tcPr>
            <w:tcW w:w="919" w:type="pct"/>
            <w:tcBorders>
              <w:top w:val="single" w:sz="4" w:space="0" w:color="7F7F7F" w:themeColor="text1" w:themeTint="80"/>
            </w:tcBorders>
            <w:shd w:val="clear" w:color="auto" w:fill="auto"/>
            <w:vAlign w:val="center"/>
          </w:tcPr>
          <w:p w14:paraId="21FE0463" w14:textId="4305832C"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7 098 974</w:t>
            </w:r>
          </w:p>
        </w:tc>
        <w:tc>
          <w:tcPr>
            <w:tcW w:w="772" w:type="pct"/>
            <w:tcBorders>
              <w:top w:val="single" w:sz="4" w:space="0" w:color="7F7F7F" w:themeColor="text1" w:themeTint="80"/>
            </w:tcBorders>
            <w:shd w:val="clear" w:color="auto" w:fill="auto"/>
            <w:vAlign w:val="center"/>
          </w:tcPr>
          <w:p w14:paraId="28FB1160" w14:textId="42F34DFA"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14:paraId="42D64752" w14:textId="1A724FF2"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7 098 974</w:t>
            </w:r>
          </w:p>
        </w:tc>
      </w:tr>
      <w:tr w:rsidR="009007A4" w:rsidRPr="009007A4" w14:paraId="7A868438" w14:textId="77777777" w:rsidTr="0029449F">
        <w:trPr>
          <w:tblHeader/>
          <w:jc w:val="center"/>
        </w:trPr>
        <w:tc>
          <w:tcPr>
            <w:tcW w:w="2501" w:type="pct"/>
            <w:tcBorders>
              <w:top w:val="single" w:sz="4" w:space="0" w:color="7F7F7F" w:themeColor="text1" w:themeTint="80"/>
            </w:tcBorders>
            <w:shd w:val="clear" w:color="auto" w:fill="auto"/>
          </w:tcPr>
          <w:p w14:paraId="5682CCBE" w14:textId="787DDC22" w:rsidR="009007A4" w:rsidRPr="009007A4" w:rsidRDefault="009007A4" w:rsidP="009007A4">
            <w:pPr>
              <w:spacing w:before="27" w:after="27"/>
              <w:rPr>
                <w:rFonts w:eastAsia="Times New Roman" w:cs="Times New Roman"/>
                <w:lang w:eastAsia="cs-CZ"/>
              </w:rPr>
            </w:pPr>
            <w:r w:rsidRPr="009007A4">
              <w:rPr>
                <w:rFonts w:eastAsia="Times New Roman" w:cs="Times New Roman"/>
                <w:lang w:eastAsia="cs-CZ"/>
              </w:rPr>
              <w:t>CEF – Technická pomoc (ÚO MD)</w:t>
            </w:r>
          </w:p>
        </w:tc>
        <w:tc>
          <w:tcPr>
            <w:tcW w:w="919" w:type="pct"/>
            <w:tcBorders>
              <w:top w:val="single" w:sz="4" w:space="0" w:color="7F7F7F" w:themeColor="text1" w:themeTint="80"/>
            </w:tcBorders>
            <w:shd w:val="clear" w:color="auto" w:fill="auto"/>
            <w:vAlign w:val="center"/>
          </w:tcPr>
          <w:p w14:paraId="72F5771A" w14:textId="5B4BFCDC" w:rsidR="009007A4" w:rsidRPr="009007A4" w:rsidRDefault="009007A4" w:rsidP="009007A4">
            <w:pPr>
              <w:spacing w:before="27" w:after="27"/>
              <w:jc w:val="right"/>
              <w:rPr>
                <w:rFonts w:eastAsia="Times New Roman" w:cs="Times New Roman"/>
                <w:color w:val="FF0000"/>
                <w:lang w:eastAsia="cs-CZ"/>
              </w:rPr>
            </w:pPr>
            <w:r w:rsidRPr="009007A4">
              <w:rPr>
                <w:rFonts w:eastAsia="Times New Roman" w:cs="Times New Roman"/>
                <w:lang w:eastAsia="cs-CZ"/>
              </w:rPr>
              <w:t>7 594</w:t>
            </w:r>
          </w:p>
        </w:tc>
        <w:tc>
          <w:tcPr>
            <w:tcW w:w="772" w:type="pct"/>
            <w:tcBorders>
              <w:top w:val="single" w:sz="4" w:space="0" w:color="7F7F7F" w:themeColor="text1" w:themeTint="80"/>
            </w:tcBorders>
            <w:shd w:val="clear" w:color="auto" w:fill="auto"/>
            <w:vAlign w:val="center"/>
          </w:tcPr>
          <w:p w14:paraId="4DE717BB" w14:textId="140E0D91"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14:paraId="3586415E" w14:textId="64CED1BC"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7 594</w:t>
            </w:r>
          </w:p>
        </w:tc>
      </w:tr>
      <w:tr w:rsidR="009007A4" w:rsidRPr="009007A4" w14:paraId="18FC0361" w14:textId="77777777" w:rsidTr="0029449F">
        <w:trPr>
          <w:tblHeader/>
          <w:jc w:val="center"/>
        </w:trPr>
        <w:tc>
          <w:tcPr>
            <w:tcW w:w="2501" w:type="pct"/>
            <w:tcBorders>
              <w:top w:val="single" w:sz="4" w:space="0" w:color="7F7F7F" w:themeColor="text1" w:themeTint="80"/>
            </w:tcBorders>
            <w:shd w:val="clear" w:color="auto" w:fill="auto"/>
          </w:tcPr>
          <w:p w14:paraId="158B46B7" w14:textId="399DC85D" w:rsidR="009007A4" w:rsidRPr="009007A4" w:rsidRDefault="009007A4" w:rsidP="009007A4">
            <w:pPr>
              <w:spacing w:before="27" w:after="27"/>
              <w:rPr>
                <w:rFonts w:eastAsia="Times New Roman" w:cs="Times New Roman"/>
                <w:lang w:eastAsia="cs-CZ"/>
              </w:rPr>
            </w:pPr>
            <w:r w:rsidRPr="009007A4">
              <w:rPr>
                <w:rFonts w:eastAsia="Times New Roman" w:cs="Times New Roman"/>
                <w:lang w:eastAsia="cs-CZ"/>
              </w:rPr>
              <w:t>C-Roads Extended (ÚO MD)</w:t>
            </w:r>
          </w:p>
        </w:tc>
        <w:tc>
          <w:tcPr>
            <w:tcW w:w="919" w:type="pct"/>
            <w:tcBorders>
              <w:top w:val="single" w:sz="4" w:space="0" w:color="7F7F7F" w:themeColor="text1" w:themeTint="80"/>
            </w:tcBorders>
            <w:shd w:val="clear" w:color="auto" w:fill="auto"/>
            <w:vAlign w:val="center"/>
          </w:tcPr>
          <w:p w14:paraId="1B24A363" w14:textId="57EDBBF8"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2 925</w:t>
            </w:r>
          </w:p>
        </w:tc>
        <w:tc>
          <w:tcPr>
            <w:tcW w:w="772" w:type="pct"/>
            <w:tcBorders>
              <w:top w:val="single" w:sz="4" w:space="0" w:color="7F7F7F" w:themeColor="text1" w:themeTint="80"/>
            </w:tcBorders>
            <w:shd w:val="clear" w:color="auto" w:fill="auto"/>
            <w:vAlign w:val="center"/>
          </w:tcPr>
          <w:p w14:paraId="679CDCB0" w14:textId="7BC67E02"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2 925</w:t>
            </w:r>
          </w:p>
        </w:tc>
        <w:tc>
          <w:tcPr>
            <w:tcW w:w="808" w:type="pct"/>
            <w:tcBorders>
              <w:top w:val="single" w:sz="4" w:space="0" w:color="7F7F7F" w:themeColor="text1" w:themeTint="80"/>
            </w:tcBorders>
            <w:shd w:val="clear" w:color="auto" w:fill="auto"/>
            <w:vAlign w:val="center"/>
          </w:tcPr>
          <w:p w14:paraId="07CB2FF8" w14:textId="23ECC90E"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5 850</w:t>
            </w:r>
          </w:p>
        </w:tc>
      </w:tr>
      <w:tr w:rsidR="009007A4" w:rsidRPr="009007A4" w14:paraId="14C47DB1" w14:textId="77777777" w:rsidTr="0029449F">
        <w:trPr>
          <w:trHeight w:val="132"/>
          <w:tblHeader/>
          <w:jc w:val="center"/>
        </w:trPr>
        <w:tc>
          <w:tcPr>
            <w:tcW w:w="2501" w:type="pct"/>
            <w:tcBorders>
              <w:top w:val="single" w:sz="4" w:space="0" w:color="7F7F7F" w:themeColor="text1" w:themeTint="80"/>
            </w:tcBorders>
            <w:shd w:val="clear" w:color="auto" w:fill="auto"/>
          </w:tcPr>
          <w:p w14:paraId="171A6241" w14:textId="77777777" w:rsidR="009007A4" w:rsidRPr="009007A4" w:rsidRDefault="009007A4" w:rsidP="009007A4">
            <w:pPr>
              <w:spacing w:before="27" w:after="27"/>
              <w:rPr>
                <w:rFonts w:eastAsia="Times New Roman" w:cs="Times New Roman"/>
                <w:lang w:eastAsia="cs-CZ"/>
              </w:rPr>
            </w:pPr>
            <w:r w:rsidRPr="009007A4">
              <w:rPr>
                <w:rFonts w:eastAsia="Times New Roman" w:cs="Times New Roman"/>
                <w:lang w:eastAsia="cs-CZ"/>
              </w:rPr>
              <w:t>RIS COMEX II</w:t>
            </w:r>
          </w:p>
        </w:tc>
        <w:tc>
          <w:tcPr>
            <w:tcW w:w="919" w:type="pct"/>
            <w:tcBorders>
              <w:top w:val="single" w:sz="4" w:space="0" w:color="7F7F7F" w:themeColor="text1" w:themeTint="80"/>
            </w:tcBorders>
            <w:shd w:val="clear" w:color="auto" w:fill="auto"/>
            <w:vAlign w:val="center"/>
          </w:tcPr>
          <w:p w14:paraId="6A380C10" w14:textId="212A0FAE"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10 251</w:t>
            </w:r>
          </w:p>
        </w:tc>
        <w:tc>
          <w:tcPr>
            <w:tcW w:w="772" w:type="pct"/>
            <w:tcBorders>
              <w:top w:val="single" w:sz="4" w:space="0" w:color="7F7F7F" w:themeColor="text1" w:themeTint="80"/>
            </w:tcBorders>
            <w:shd w:val="clear" w:color="auto" w:fill="auto"/>
            <w:vAlign w:val="center"/>
          </w:tcPr>
          <w:p w14:paraId="0333A15A" w14:textId="05885AC6"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528</w:t>
            </w:r>
          </w:p>
        </w:tc>
        <w:tc>
          <w:tcPr>
            <w:tcW w:w="808" w:type="pct"/>
            <w:tcBorders>
              <w:top w:val="single" w:sz="4" w:space="0" w:color="7F7F7F" w:themeColor="text1" w:themeTint="80"/>
            </w:tcBorders>
            <w:shd w:val="clear" w:color="auto" w:fill="auto"/>
            <w:vAlign w:val="center"/>
          </w:tcPr>
          <w:p w14:paraId="6EC19D82" w14:textId="69A610C6"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10 781</w:t>
            </w:r>
          </w:p>
        </w:tc>
      </w:tr>
      <w:tr w:rsidR="009007A4" w:rsidRPr="009007A4" w14:paraId="5840F769" w14:textId="77777777" w:rsidTr="0029449F">
        <w:trPr>
          <w:trHeight w:val="283"/>
          <w:tblHeader/>
          <w:jc w:val="center"/>
        </w:trPr>
        <w:tc>
          <w:tcPr>
            <w:tcW w:w="2501" w:type="pct"/>
            <w:tcBorders>
              <w:bottom w:val="nil"/>
            </w:tcBorders>
            <w:shd w:val="clear" w:color="auto" w:fill="auto"/>
          </w:tcPr>
          <w:p w14:paraId="5116A446" w14:textId="77777777" w:rsidR="009007A4" w:rsidRPr="009007A4" w:rsidRDefault="009007A4" w:rsidP="009007A4">
            <w:pPr>
              <w:spacing w:before="40" w:after="40"/>
              <w:rPr>
                <w:rFonts w:eastAsia="Times New Roman" w:cs="Times New Roman"/>
                <w:b/>
                <w:lang w:eastAsia="cs-CZ"/>
              </w:rPr>
            </w:pPr>
            <w:r w:rsidRPr="009007A4">
              <w:rPr>
                <w:rFonts w:eastAsia="Times New Roman" w:cs="Times New Roman"/>
                <w:b/>
                <w:lang w:eastAsia="cs-CZ"/>
              </w:rPr>
              <w:t>Horizon Europe</w:t>
            </w:r>
          </w:p>
        </w:tc>
        <w:tc>
          <w:tcPr>
            <w:tcW w:w="919" w:type="pct"/>
            <w:tcBorders>
              <w:bottom w:val="nil"/>
            </w:tcBorders>
            <w:shd w:val="clear" w:color="auto" w:fill="auto"/>
            <w:vAlign w:val="center"/>
          </w:tcPr>
          <w:p w14:paraId="6CA8FB60" w14:textId="4981363A" w:rsidR="009007A4" w:rsidRPr="009007A4" w:rsidRDefault="009007A4" w:rsidP="009007A4">
            <w:pPr>
              <w:spacing w:before="40" w:after="40"/>
              <w:jc w:val="right"/>
              <w:rPr>
                <w:rFonts w:eastAsia="Times New Roman" w:cs="Times New Roman"/>
                <w:b/>
                <w:lang w:eastAsia="cs-CZ"/>
              </w:rPr>
            </w:pPr>
            <w:r w:rsidRPr="009007A4">
              <w:rPr>
                <w:rFonts w:eastAsia="Times New Roman" w:cs="Times New Roman"/>
                <w:b/>
                <w:lang w:eastAsia="cs-CZ"/>
              </w:rPr>
              <w:t>327</w:t>
            </w:r>
          </w:p>
        </w:tc>
        <w:tc>
          <w:tcPr>
            <w:tcW w:w="772" w:type="pct"/>
            <w:tcBorders>
              <w:bottom w:val="nil"/>
            </w:tcBorders>
            <w:shd w:val="clear" w:color="auto" w:fill="auto"/>
            <w:vAlign w:val="center"/>
          </w:tcPr>
          <w:p w14:paraId="29C08BEF" w14:textId="084C35C7" w:rsidR="009007A4" w:rsidRPr="009007A4" w:rsidRDefault="009007A4" w:rsidP="009007A4">
            <w:pPr>
              <w:spacing w:before="40" w:after="40"/>
              <w:ind w:firstLine="366"/>
              <w:jc w:val="right"/>
              <w:rPr>
                <w:rFonts w:eastAsia="Times New Roman" w:cs="Times New Roman"/>
                <w:b/>
                <w:lang w:eastAsia="cs-CZ"/>
              </w:rPr>
            </w:pPr>
            <w:r w:rsidRPr="009007A4">
              <w:rPr>
                <w:rFonts w:eastAsia="Times New Roman" w:cs="Times New Roman"/>
                <w:b/>
                <w:lang w:eastAsia="cs-CZ"/>
              </w:rPr>
              <w:t>0</w:t>
            </w:r>
          </w:p>
        </w:tc>
        <w:tc>
          <w:tcPr>
            <w:tcW w:w="808" w:type="pct"/>
            <w:tcBorders>
              <w:bottom w:val="nil"/>
            </w:tcBorders>
            <w:shd w:val="clear" w:color="auto" w:fill="auto"/>
            <w:vAlign w:val="center"/>
          </w:tcPr>
          <w:p w14:paraId="5AC5259E" w14:textId="1E25A4A7" w:rsidR="009007A4" w:rsidRPr="009007A4" w:rsidRDefault="009007A4" w:rsidP="009007A4">
            <w:pPr>
              <w:spacing w:before="40" w:after="40"/>
              <w:jc w:val="right"/>
              <w:rPr>
                <w:rFonts w:eastAsia="Times New Roman" w:cs="Times New Roman"/>
                <w:b/>
                <w:lang w:eastAsia="cs-CZ"/>
              </w:rPr>
            </w:pPr>
            <w:r w:rsidRPr="009007A4">
              <w:rPr>
                <w:rFonts w:eastAsia="Times New Roman" w:cs="Times New Roman"/>
                <w:b/>
                <w:lang w:eastAsia="cs-CZ"/>
              </w:rPr>
              <w:t>327</w:t>
            </w:r>
          </w:p>
        </w:tc>
      </w:tr>
      <w:tr w:rsidR="009007A4" w:rsidRPr="009007A4" w14:paraId="61DFB181" w14:textId="77777777" w:rsidTr="0029449F">
        <w:trPr>
          <w:trHeight w:val="283"/>
          <w:tblHeader/>
          <w:jc w:val="center"/>
        </w:trPr>
        <w:tc>
          <w:tcPr>
            <w:tcW w:w="2501" w:type="pct"/>
            <w:tcBorders>
              <w:bottom w:val="single" w:sz="4" w:space="0" w:color="7F7F7F" w:themeColor="text1" w:themeTint="80"/>
            </w:tcBorders>
            <w:shd w:val="clear" w:color="auto" w:fill="auto"/>
          </w:tcPr>
          <w:p w14:paraId="4F606F41" w14:textId="5EC5720C" w:rsidR="009007A4" w:rsidRPr="009007A4" w:rsidRDefault="009007A4" w:rsidP="009007A4">
            <w:pPr>
              <w:spacing w:before="40" w:after="40"/>
              <w:rPr>
                <w:rFonts w:eastAsia="Times New Roman" w:cs="Times New Roman"/>
                <w:b/>
                <w:lang w:eastAsia="cs-CZ"/>
              </w:rPr>
            </w:pPr>
            <w:r w:rsidRPr="009007A4">
              <w:rPr>
                <w:rFonts w:eastAsia="Times New Roman" w:cs="Times New Roman"/>
                <w:b/>
                <w:lang w:eastAsia="cs-CZ"/>
              </w:rPr>
              <w:t xml:space="preserve">Kosmický program Unie </w:t>
            </w:r>
          </w:p>
        </w:tc>
        <w:tc>
          <w:tcPr>
            <w:tcW w:w="919" w:type="pct"/>
            <w:tcBorders>
              <w:bottom w:val="single" w:sz="4" w:space="0" w:color="7F7F7F" w:themeColor="text1" w:themeTint="80"/>
            </w:tcBorders>
            <w:shd w:val="clear" w:color="auto" w:fill="auto"/>
            <w:vAlign w:val="center"/>
          </w:tcPr>
          <w:p w14:paraId="4198F0F9" w14:textId="6291B849" w:rsidR="009007A4" w:rsidRPr="009007A4" w:rsidRDefault="009007A4" w:rsidP="009007A4">
            <w:pPr>
              <w:spacing w:before="40" w:after="40"/>
              <w:jc w:val="right"/>
              <w:rPr>
                <w:rFonts w:eastAsia="Times New Roman" w:cs="Times New Roman"/>
                <w:b/>
                <w:lang w:eastAsia="cs-CZ"/>
              </w:rPr>
            </w:pPr>
            <w:r w:rsidRPr="009007A4">
              <w:rPr>
                <w:rFonts w:eastAsia="Times New Roman" w:cs="Times New Roman"/>
                <w:b/>
                <w:lang w:eastAsia="cs-CZ"/>
              </w:rPr>
              <w:t>3 485</w:t>
            </w:r>
          </w:p>
        </w:tc>
        <w:tc>
          <w:tcPr>
            <w:tcW w:w="772" w:type="pct"/>
            <w:tcBorders>
              <w:bottom w:val="single" w:sz="4" w:space="0" w:color="7F7F7F" w:themeColor="text1" w:themeTint="80"/>
            </w:tcBorders>
            <w:shd w:val="clear" w:color="auto" w:fill="auto"/>
            <w:vAlign w:val="center"/>
          </w:tcPr>
          <w:p w14:paraId="23614A90" w14:textId="3DA02236" w:rsidR="009007A4" w:rsidRPr="009007A4" w:rsidRDefault="009007A4" w:rsidP="009007A4">
            <w:pPr>
              <w:spacing w:before="40" w:after="40"/>
              <w:ind w:firstLine="366"/>
              <w:jc w:val="right"/>
              <w:rPr>
                <w:rFonts w:eastAsia="Times New Roman" w:cs="Times New Roman"/>
                <w:b/>
                <w:lang w:eastAsia="cs-CZ"/>
              </w:rPr>
            </w:pPr>
            <w:r w:rsidRPr="009007A4">
              <w:rPr>
                <w:rFonts w:eastAsia="Times New Roman" w:cs="Times New Roman"/>
                <w:b/>
                <w:lang w:eastAsia="cs-CZ"/>
              </w:rPr>
              <w:t>0</w:t>
            </w:r>
          </w:p>
        </w:tc>
        <w:tc>
          <w:tcPr>
            <w:tcW w:w="808" w:type="pct"/>
            <w:tcBorders>
              <w:bottom w:val="single" w:sz="4" w:space="0" w:color="7F7F7F" w:themeColor="text1" w:themeTint="80"/>
            </w:tcBorders>
            <w:shd w:val="clear" w:color="auto" w:fill="auto"/>
            <w:vAlign w:val="center"/>
          </w:tcPr>
          <w:p w14:paraId="66764270" w14:textId="09150501" w:rsidR="009007A4" w:rsidRPr="009007A4" w:rsidRDefault="009007A4" w:rsidP="009007A4">
            <w:pPr>
              <w:spacing w:before="40" w:after="40"/>
              <w:jc w:val="right"/>
              <w:rPr>
                <w:rFonts w:eastAsia="Times New Roman" w:cs="Times New Roman"/>
                <w:b/>
                <w:lang w:eastAsia="cs-CZ"/>
              </w:rPr>
            </w:pPr>
            <w:r w:rsidRPr="009007A4">
              <w:rPr>
                <w:rFonts w:eastAsia="Times New Roman" w:cs="Times New Roman"/>
                <w:b/>
                <w:lang w:eastAsia="cs-CZ"/>
              </w:rPr>
              <w:t>3 485</w:t>
            </w:r>
          </w:p>
        </w:tc>
      </w:tr>
      <w:tr w:rsidR="009007A4" w:rsidRPr="009007A4" w14:paraId="0AEE2FCB" w14:textId="77777777" w:rsidTr="0029449F">
        <w:trPr>
          <w:trHeight w:val="283"/>
          <w:tblHeader/>
          <w:jc w:val="center"/>
        </w:trPr>
        <w:tc>
          <w:tcPr>
            <w:tcW w:w="2501" w:type="pct"/>
            <w:tcBorders>
              <w:top w:val="single" w:sz="4" w:space="0" w:color="7F7F7F" w:themeColor="text1" w:themeTint="80"/>
              <w:bottom w:val="single" w:sz="4" w:space="0" w:color="auto"/>
            </w:tcBorders>
            <w:shd w:val="clear" w:color="auto" w:fill="auto"/>
            <w:vAlign w:val="center"/>
          </w:tcPr>
          <w:p w14:paraId="5DA99481" w14:textId="77777777" w:rsidR="009007A4" w:rsidRPr="009007A4" w:rsidRDefault="009007A4" w:rsidP="009007A4">
            <w:pPr>
              <w:spacing w:before="40" w:after="40"/>
              <w:rPr>
                <w:rFonts w:eastAsia="Times New Roman" w:cs="Times New Roman"/>
                <w:b/>
                <w:lang w:eastAsia="cs-CZ"/>
              </w:rPr>
            </w:pPr>
            <w:r w:rsidRPr="009007A4">
              <w:rPr>
                <w:rFonts w:eastAsia="Times New Roman" w:cs="Times New Roman"/>
                <w:b/>
                <w:lang w:eastAsia="cs-CZ"/>
              </w:rPr>
              <w:t>Celkem</w:t>
            </w:r>
          </w:p>
        </w:tc>
        <w:tc>
          <w:tcPr>
            <w:tcW w:w="919" w:type="pct"/>
            <w:tcBorders>
              <w:top w:val="single" w:sz="4" w:space="0" w:color="7F7F7F" w:themeColor="text1" w:themeTint="80"/>
              <w:bottom w:val="single" w:sz="4" w:space="0" w:color="auto"/>
            </w:tcBorders>
            <w:shd w:val="clear" w:color="auto" w:fill="auto"/>
            <w:vAlign w:val="center"/>
          </w:tcPr>
          <w:p w14:paraId="4DB2EF41" w14:textId="3992FC84" w:rsidR="009007A4" w:rsidRPr="009007A4" w:rsidRDefault="009007A4" w:rsidP="009007A4">
            <w:pPr>
              <w:spacing w:before="40" w:after="40"/>
              <w:jc w:val="right"/>
              <w:rPr>
                <w:rFonts w:eastAsia="Times New Roman" w:cs="Times New Roman"/>
                <w:b/>
                <w:color w:val="FF0000"/>
                <w:lang w:eastAsia="cs-CZ"/>
              </w:rPr>
            </w:pPr>
            <w:r w:rsidRPr="009007A4">
              <w:rPr>
                <w:rFonts w:eastAsia="Times New Roman" w:cs="Times New Roman"/>
                <w:b/>
                <w:lang w:eastAsia="cs-CZ"/>
              </w:rPr>
              <w:t>7 123 556</w:t>
            </w:r>
          </w:p>
        </w:tc>
        <w:tc>
          <w:tcPr>
            <w:tcW w:w="772" w:type="pct"/>
            <w:tcBorders>
              <w:top w:val="single" w:sz="4" w:space="0" w:color="7F7F7F" w:themeColor="text1" w:themeTint="80"/>
              <w:bottom w:val="single" w:sz="4" w:space="0" w:color="auto"/>
            </w:tcBorders>
            <w:shd w:val="clear" w:color="auto" w:fill="auto"/>
            <w:vAlign w:val="center"/>
          </w:tcPr>
          <w:p w14:paraId="64917B02" w14:textId="0C2B81BB" w:rsidR="009007A4" w:rsidRPr="009007A4" w:rsidRDefault="009007A4" w:rsidP="009007A4">
            <w:pPr>
              <w:spacing w:before="40" w:after="40"/>
              <w:ind w:firstLine="366"/>
              <w:jc w:val="right"/>
              <w:rPr>
                <w:rFonts w:eastAsia="Times New Roman" w:cs="Times New Roman"/>
                <w:b/>
                <w:color w:val="FF0000"/>
                <w:lang w:eastAsia="cs-CZ"/>
              </w:rPr>
            </w:pPr>
            <w:r w:rsidRPr="009007A4">
              <w:rPr>
                <w:rFonts w:eastAsia="Times New Roman" w:cs="Times New Roman"/>
                <w:b/>
                <w:lang w:eastAsia="cs-CZ"/>
              </w:rPr>
              <w:t>3 453</w:t>
            </w:r>
          </w:p>
        </w:tc>
        <w:tc>
          <w:tcPr>
            <w:tcW w:w="808" w:type="pct"/>
            <w:tcBorders>
              <w:top w:val="single" w:sz="4" w:space="0" w:color="7F7F7F" w:themeColor="text1" w:themeTint="80"/>
              <w:bottom w:val="single" w:sz="4" w:space="0" w:color="auto"/>
            </w:tcBorders>
            <w:shd w:val="clear" w:color="auto" w:fill="auto"/>
            <w:vAlign w:val="center"/>
          </w:tcPr>
          <w:p w14:paraId="3C28F93B" w14:textId="6E9DD901" w:rsidR="009007A4" w:rsidRPr="009007A4" w:rsidRDefault="009007A4" w:rsidP="009007A4">
            <w:pPr>
              <w:spacing w:before="40" w:after="40"/>
              <w:jc w:val="right"/>
              <w:rPr>
                <w:rFonts w:eastAsia="Times New Roman" w:cs="Times New Roman"/>
                <w:b/>
                <w:color w:val="FF0000"/>
                <w:lang w:eastAsia="cs-CZ"/>
              </w:rPr>
            </w:pPr>
            <w:r w:rsidRPr="009007A4">
              <w:rPr>
                <w:rFonts w:eastAsia="Times New Roman" w:cs="Times New Roman"/>
                <w:b/>
                <w:lang w:eastAsia="cs-CZ"/>
              </w:rPr>
              <w:t>7 127 009</w:t>
            </w:r>
          </w:p>
        </w:tc>
      </w:tr>
    </w:tbl>
    <w:p w14:paraId="6B998A53" w14:textId="77777777" w:rsidR="00A11CF5" w:rsidRPr="00D070B8" w:rsidRDefault="00A11CF5" w:rsidP="00A11CF5">
      <w:pPr>
        <w:rPr>
          <w:color w:val="FF0000"/>
          <w:highlight w:val="yellow"/>
          <w:lang w:eastAsia="cs-CZ"/>
        </w:rPr>
      </w:pPr>
    </w:p>
    <w:p w14:paraId="7C752686" w14:textId="77777777" w:rsidR="001B4608" w:rsidRPr="009007A4" w:rsidRDefault="001B4608"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9007A4">
        <w:rPr>
          <w:rFonts w:eastAsia="Times New Roman" w:cs="Times New Roman"/>
          <w:b/>
          <w:szCs w:val="20"/>
          <w:u w:val="single"/>
          <w:lang w:eastAsia="cs-CZ"/>
        </w:rPr>
        <w:lastRenderedPageBreak/>
        <w:t>CEF 2021+ (SFDI)</w:t>
      </w:r>
    </w:p>
    <w:p w14:paraId="7A48AAFB" w14:textId="52E6FC19" w:rsidR="00982356" w:rsidRPr="009007A4" w:rsidRDefault="00982356" w:rsidP="00982356">
      <w:pPr>
        <w:pStyle w:val="Styl1"/>
        <w:rPr>
          <w:bCs/>
        </w:rPr>
      </w:pPr>
      <w:bookmarkStart w:id="281" w:name="_Hlk178845189"/>
      <w:r w:rsidRPr="009007A4">
        <w:rPr>
          <w:bCs/>
        </w:rPr>
        <w:t xml:space="preserve">Jedná se o přímo řízený program k financování prioritních transevropských infrastrukturních sítí, který navazuje na obdobný program z období 2014 - 2020 a je realizován na základě nařízení Evropského parlamentu a Rady č. 2021/1153. Cílem je podpora transevropských dopravních, energetických a digitálních sítí, v oblasti dopravy rozvoj, modernizace a dokončení transevropské dopravní sítě (TEN-T) s přihlédnutím k dlouhodobým závazkům v oblasti dekarbonizace a cílům zvyšování evropské konkurenceschopnosti, inteligentního </w:t>
      </w:r>
      <w:r w:rsidR="00314C07" w:rsidRPr="009007A4">
        <w:rPr>
          <w:bCs/>
        </w:rPr>
        <w:br/>
      </w:r>
      <w:r w:rsidRPr="009007A4">
        <w:rPr>
          <w:bCs/>
        </w:rPr>
        <w:t xml:space="preserve">a udržitelného růstu podporujícího začlenění, územní, sociální a hospodářské soudržnosti </w:t>
      </w:r>
      <w:r w:rsidR="00314C07" w:rsidRPr="009007A4">
        <w:rPr>
          <w:bCs/>
        </w:rPr>
        <w:br/>
      </w:r>
      <w:r w:rsidRPr="009007A4">
        <w:rPr>
          <w:bCs/>
        </w:rPr>
        <w:t>a přístupu na vnitřní trh a jeho integrace.</w:t>
      </w:r>
    </w:p>
    <w:p w14:paraId="50D45186" w14:textId="1FE04AFF" w:rsidR="00982356" w:rsidRPr="00D070B8" w:rsidRDefault="00982356" w:rsidP="00982356">
      <w:pPr>
        <w:pStyle w:val="Styl1"/>
        <w:rPr>
          <w:bCs/>
          <w:highlight w:val="yellow"/>
        </w:rPr>
      </w:pPr>
      <w:r w:rsidRPr="009007A4">
        <w:rPr>
          <w:bCs/>
        </w:rPr>
        <w:t xml:space="preserve">Pro implementaci CEF2 byla k 1. 4. 2021 Evropskou komisí zřízena Evropská výkonná agentura pro klima, infrastrukturu a životní prostředí (CINEA). Celkem je pro celou EU v rámci CEF2 na období 2021-2027 vyčleněno 25,8 mld. EUR, z toho pro tzv. kohezní země je v rámci CEF2 vyčleněno 11,29 mld. EUR, které byly do CEF převedeny z Fondu soudržnosti. Z toho 7,9 mld. EUR je rozděleno do tzv. národních obálek, které </w:t>
      </w:r>
      <w:r w:rsidR="00177268">
        <w:rPr>
          <w:bCs/>
        </w:rPr>
        <w:t>byly</w:t>
      </w:r>
      <w:r w:rsidRPr="009007A4">
        <w:rPr>
          <w:bCs/>
        </w:rPr>
        <w:t xml:space="preserve"> určeny k výhradnímu využití jednotlivých kohezních zemí</w:t>
      </w:r>
      <w:r w:rsidR="00177268">
        <w:rPr>
          <w:bCs/>
        </w:rPr>
        <w:t xml:space="preserve"> </w:t>
      </w:r>
      <w:r w:rsidR="00177268" w:rsidRPr="00177268">
        <w:rPr>
          <w:bCs/>
        </w:rPr>
        <w:t>v rámci 3 výzev vyhlášených v průběhu let 2021 – 20</w:t>
      </w:r>
      <w:r w:rsidR="00177268">
        <w:rPr>
          <w:bCs/>
        </w:rPr>
        <w:t xml:space="preserve">23. </w:t>
      </w:r>
      <w:r w:rsidR="00177268" w:rsidRPr="00177268">
        <w:rPr>
          <w:bCs/>
        </w:rPr>
        <w:t>V rámci těchto výzev bylo schváleno 31 projektů ve výši 1,4 mld. EUR, čímž byla národní obálka Česka plně využita. Další projekty byly schváleny v obecné obálce a obálce na vojenskou mobilitu. Celkem je v realizaci 24 projektů Správy železnic a 4 projekty Ředitelství silnic a dálnic</w:t>
      </w:r>
      <w:r w:rsidR="00177268">
        <w:rPr>
          <w:bCs/>
        </w:rPr>
        <w:t>.</w:t>
      </w:r>
      <w:bookmarkEnd w:id="281"/>
    </w:p>
    <w:p w14:paraId="0BED29EF" w14:textId="13F8C617" w:rsidR="00CA2F73" w:rsidRPr="009007A4" w:rsidRDefault="00CA2F73" w:rsidP="00CA2F73">
      <w:pPr>
        <w:pStyle w:val="Titulek"/>
        <w:rPr>
          <w:noProof/>
        </w:rPr>
      </w:pPr>
      <w:r w:rsidRPr="009007A4">
        <w:t xml:space="preserve">Tabulka č. </w:t>
      </w:r>
      <w:r w:rsidRPr="009007A4">
        <w:rPr>
          <w:noProof/>
        </w:rPr>
        <w:fldChar w:fldCharType="begin"/>
      </w:r>
      <w:r w:rsidRPr="009007A4">
        <w:rPr>
          <w:noProof/>
        </w:rPr>
        <w:instrText xml:space="preserve"> SEQ Tabulka \* ARABIC </w:instrText>
      </w:r>
      <w:r w:rsidRPr="009007A4">
        <w:rPr>
          <w:noProof/>
        </w:rPr>
        <w:fldChar w:fldCharType="separate"/>
      </w:r>
      <w:r w:rsidR="005B73C0">
        <w:rPr>
          <w:noProof/>
        </w:rPr>
        <w:t>54</w:t>
      </w:r>
      <w:r w:rsidRPr="009007A4">
        <w:rPr>
          <w:noProof/>
        </w:rPr>
        <w:fldChar w:fldCharType="end"/>
      </w:r>
      <w:r w:rsidRPr="009007A4">
        <w:rPr>
          <w:noProof/>
        </w:rPr>
        <w:t xml:space="preserve"> </w:t>
      </w:r>
      <w:r w:rsidR="00A63AB1" w:rsidRPr="009007A4">
        <w:rPr>
          <w:noProof/>
        </w:rPr>
        <w:t>Komunitární projekt CEF 2021+ (SFDI)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181846" w:rsidRPr="009007A4" w14:paraId="23FC4C3F" w14:textId="77777777" w:rsidTr="009007A4">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7D537E5" w14:textId="77777777" w:rsidR="00181846" w:rsidRPr="009007A4" w:rsidRDefault="00181846" w:rsidP="0029449F">
            <w:pPr>
              <w:spacing w:before="27" w:after="27"/>
              <w:rPr>
                <w:rFonts w:eastAsia="Times New Roman" w:cs="Times New Roman"/>
                <w:b/>
                <w:lang w:eastAsia="cs-CZ"/>
              </w:rPr>
            </w:pPr>
            <w:r w:rsidRPr="009007A4">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9CDF7A7" w14:textId="77777777" w:rsidR="00181846" w:rsidRPr="009007A4" w:rsidRDefault="00181846" w:rsidP="0029449F">
            <w:pPr>
              <w:spacing w:before="27" w:after="27"/>
              <w:ind w:firstLine="366"/>
              <w:rPr>
                <w:rFonts w:eastAsia="Times New Roman" w:cs="Times New Roman"/>
                <w:b/>
                <w:lang w:eastAsia="cs-CZ"/>
              </w:rPr>
            </w:pPr>
            <w:r w:rsidRPr="009007A4">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A282A2" w14:textId="77777777" w:rsidR="00181846" w:rsidRPr="009007A4" w:rsidRDefault="00181846" w:rsidP="0029449F">
            <w:pPr>
              <w:spacing w:before="27" w:after="27"/>
              <w:ind w:firstLine="366"/>
              <w:rPr>
                <w:rFonts w:eastAsia="Times New Roman" w:cs="Times New Roman"/>
                <w:b/>
                <w:lang w:eastAsia="cs-CZ"/>
              </w:rPr>
            </w:pPr>
            <w:r w:rsidRPr="009007A4">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E7A46D6" w14:textId="77777777" w:rsidR="00181846" w:rsidRPr="009007A4" w:rsidRDefault="00181846" w:rsidP="0029449F">
            <w:pPr>
              <w:spacing w:before="27" w:after="27"/>
              <w:jc w:val="center"/>
              <w:rPr>
                <w:rFonts w:eastAsia="Times New Roman" w:cs="Times New Roman"/>
                <w:b/>
                <w:lang w:eastAsia="cs-CZ"/>
              </w:rPr>
            </w:pPr>
            <w:r w:rsidRPr="009007A4">
              <w:rPr>
                <w:rFonts w:eastAsia="Times New Roman" w:cs="Times New Roman"/>
                <w:b/>
                <w:lang w:eastAsia="cs-CZ"/>
              </w:rPr>
              <w:t>Celkem</w:t>
            </w:r>
          </w:p>
        </w:tc>
      </w:tr>
      <w:tr w:rsidR="009007A4" w:rsidRPr="009007A4" w14:paraId="60F58A57" w14:textId="77777777" w:rsidTr="009007A4">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2105D1D3" w14:textId="77777777" w:rsidR="009007A4" w:rsidRPr="009007A4" w:rsidRDefault="009007A4" w:rsidP="009007A4">
            <w:pPr>
              <w:spacing w:before="27" w:after="27"/>
              <w:rPr>
                <w:rFonts w:eastAsia="Times New Roman" w:cs="Times New Roman"/>
                <w:color w:val="FF0000"/>
                <w:lang w:eastAsia="cs-CZ"/>
              </w:rPr>
            </w:pPr>
            <w:r w:rsidRPr="009007A4">
              <w:rPr>
                <w:rFonts w:eastAsia="Times New Roman" w:cs="Times New Roman"/>
                <w:lang w:eastAsia="cs-CZ"/>
              </w:rPr>
              <w:t>CEF 2021+ (SFDI)</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74F4352" w14:textId="32762578" w:rsidR="009007A4" w:rsidRPr="009007A4" w:rsidRDefault="009007A4" w:rsidP="009007A4">
            <w:pPr>
              <w:spacing w:before="27" w:after="27"/>
              <w:jc w:val="right"/>
              <w:rPr>
                <w:rFonts w:eastAsia="Times New Roman" w:cs="Times New Roman"/>
                <w:color w:val="FF0000"/>
                <w:lang w:eastAsia="cs-CZ"/>
              </w:rPr>
            </w:pPr>
            <w:r w:rsidRPr="009007A4">
              <w:rPr>
                <w:rFonts w:eastAsia="Times New Roman" w:cs="Times New Roman"/>
                <w:lang w:eastAsia="cs-CZ"/>
              </w:rPr>
              <w:t>7 098 974</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6D69F6B" w14:textId="7AA431C5" w:rsidR="009007A4" w:rsidRPr="009007A4" w:rsidRDefault="009007A4" w:rsidP="009007A4">
            <w:pPr>
              <w:spacing w:before="27" w:after="27"/>
              <w:jc w:val="right"/>
              <w:rPr>
                <w:rFonts w:eastAsia="Times New Roman" w:cs="Times New Roman"/>
                <w:lang w:eastAsia="cs-CZ"/>
              </w:rPr>
            </w:pPr>
            <w:r w:rsidRPr="009007A4">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62AEA4CF" w14:textId="5BFC1B1B" w:rsidR="009007A4" w:rsidRPr="009007A4" w:rsidRDefault="009007A4" w:rsidP="009007A4">
            <w:pPr>
              <w:spacing w:before="27" w:after="27"/>
              <w:jc w:val="right"/>
              <w:rPr>
                <w:rFonts w:eastAsia="Times New Roman" w:cs="Times New Roman"/>
                <w:b/>
                <w:bCs/>
                <w:lang w:eastAsia="cs-CZ"/>
              </w:rPr>
            </w:pPr>
            <w:r w:rsidRPr="009007A4">
              <w:rPr>
                <w:rFonts w:eastAsia="Times New Roman" w:cs="Times New Roman"/>
                <w:b/>
                <w:bCs/>
                <w:lang w:eastAsia="cs-CZ"/>
              </w:rPr>
              <w:t>7 098 974</w:t>
            </w:r>
          </w:p>
        </w:tc>
      </w:tr>
    </w:tbl>
    <w:p w14:paraId="46BB575C" w14:textId="77777777" w:rsidR="00593660" w:rsidRPr="008705C2" w:rsidRDefault="00593660"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8705C2">
        <w:rPr>
          <w:rFonts w:eastAsia="Times New Roman" w:cs="Times New Roman"/>
          <w:b/>
          <w:szCs w:val="20"/>
          <w:u w:val="single"/>
          <w:lang w:eastAsia="cs-CZ"/>
        </w:rPr>
        <w:t>CEF TP (ÚO MD)</w:t>
      </w:r>
    </w:p>
    <w:p w14:paraId="25F1CA43" w14:textId="7C73C637" w:rsidR="00D705D4" w:rsidRPr="00480B49" w:rsidRDefault="00D705D4" w:rsidP="00D705D4">
      <w:pPr>
        <w:pStyle w:val="Styl1"/>
      </w:pPr>
      <w:r w:rsidRPr="00480B49">
        <w:t xml:space="preserve">V období </w:t>
      </w:r>
      <w:r w:rsidR="006436A1" w:rsidRPr="00480B49">
        <w:t>2021–2027</w:t>
      </w:r>
      <w:r w:rsidRPr="00480B49">
        <w:t xml:space="preserve"> Ministerstvo dopravy v rámci jediného projektu technické pomoci </w:t>
      </w:r>
      <w:r w:rsidRPr="00480B49">
        <w:br/>
        <w:t>z Nástroje pro propojení Evropy (CEF2) obdrží prostředky na tyto tzv. pracovní balíčky:</w:t>
      </w:r>
    </w:p>
    <w:p w14:paraId="47E93000" w14:textId="77777777" w:rsidR="00D705D4" w:rsidRPr="00480B49" w:rsidRDefault="00D705D4" w:rsidP="00D705D4">
      <w:pPr>
        <w:keepNext/>
        <w:spacing w:before="120" w:after="120"/>
        <w:ind w:left="567" w:hanging="283"/>
        <w:rPr>
          <w:iCs/>
        </w:rPr>
      </w:pPr>
      <w:r w:rsidRPr="00480B49">
        <w:rPr>
          <w:iCs/>
        </w:rPr>
        <w:t>-</w:t>
      </w:r>
      <w:r w:rsidRPr="00480B49">
        <w:rPr>
          <w:iCs/>
        </w:rPr>
        <w:tab/>
        <w:t>informování žadatelů, hodnocení a monitoring projektů CEF2</w:t>
      </w:r>
    </w:p>
    <w:p w14:paraId="57E34AA9" w14:textId="0275BFDD" w:rsidR="00D705D4" w:rsidRPr="00480B49" w:rsidRDefault="00D705D4" w:rsidP="00D705D4">
      <w:pPr>
        <w:keepNext/>
        <w:spacing w:before="120" w:after="120"/>
        <w:ind w:left="567" w:hanging="283"/>
        <w:rPr>
          <w:iCs/>
        </w:rPr>
      </w:pPr>
      <w:r w:rsidRPr="00480B49">
        <w:rPr>
          <w:iCs/>
        </w:rPr>
        <w:t>-</w:t>
      </w:r>
      <w:r w:rsidRPr="00480B49">
        <w:rPr>
          <w:iCs/>
        </w:rPr>
        <w:tab/>
        <w:t xml:space="preserve">monitoring projektů CEF </w:t>
      </w:r>
      <w:r w:rsidR="006436A1" w:rsidRPr="00480B49">
        <w:rPr>
          <w:iCs/>
        </w:rPr>
        <w:t>2014–2020</w:t>
      </w:r>
    </w:p>
    <w:p w14:paraId="45B42D5B" w14:textId="77777777" w:rsidR="00D705D4" w:rsidRPr="00480B49" w:rsidRDefault="00D705D4" w:rsidP="00D705D4">
      <w:pPr>
        <w:keepNext/>
        <w:spacing w:before="120" w:after="120"/>
        <w:ind w:left="567" w:hanging="283"/>
        <w:rPr>
          <w:iCs/>
        </w:rPr>
      </w:pPr>
      <w:r w:rsidRPr="00480B49">
        <w:rPr>
          <w:iCs/>
        </w:rPr>
        <w:t>-</w:t>
      </w:r>
      <w:r w:rsidRPr="00480B49">
        <w:rPr>
          <w:iCs/>
        </w:rPr>
        <w:tab/>
        <w:t>spolupráce v rámci koridorů hlavní sítě TEN-T</w:t>
      </w:r>
    </w:p>
    <w:p w14:paraId="2C3CCE7B" w14:textId="77777777" w:rsidR="00D705D4" w:rsidRPr="00480B49" w:rsidRDefault="00D705D4" w:rsidP="00D705D4">
      <w:pPr>
        <w:keepNext/>
        <w:spacing w:before="120" w:after="120"/>
        <w:ind w:left="567" w:hanging="283"/>
        <w:rPr>
          <w:iCs/>
        </w:rPr>
      </w:pPr>
      <w:r w:rsidRPr="00480B49">
        <w:rPr>
          <w:iCs/>
        </w:rPr>
        <w:t>-</w:t>
      </w:r>
      <w:r w:rsidRPr="00480B49">
        <w:rPr>
          <w:iCs/>
        </w:rPr>
        <w:tab/>
        <w:t>spolupráce v rámci koridorů nákladní železniční dopravy</w:t>
      </w:r>
    </w:p>
    <w:p w14:paraId="33CA1708" w14:textId="77777777" w:rsidR="00D705D4" w:rsidRPr="00480B49" w:rsidRDefault="00D705D4" w:rsidP="00D705D4">
      <w:pPr>
        <w:keepNext/>
        <w:spacing w:before="120" w:after="120"/>
        <w:ind w:left="567" w:hanging="283"/>
        <w:rPr>
          <w:iCs/>
        </w:rPr>
      </w:pPr>
      <w:r w:rsidRPr="00480B49">
        <w:rPr>
          <w:iCs/>
        </w:rPr>
        <w:t>-</w:t>
      </w:r>
      <w:r w:rsidRPr="00480B49">
        <w:rPr>
          <w:iCs/>
        </w:rPr>
        <w:tab/>
        <w:t>aktualizace a reporting dat o síti TEN-T prostřednictvím informačního systému TENTec</w:t>
      </w:r>
    </w:p>
    <w:p w14:paraId="6AE25948" w14:textId="77777777" w:rsidR="00D705D4" w:rsidRPr="00480B49" w:rsidRDefault="00D705D4" w:rsidP="00D705D4">
      <w:pPr>
        <w:keepNext/>
        <w:spacing w:before="120" w:after="120"/>
        <w:ind w:left="567" w:hanging="283"/>
        <w:rPr>
          <w:iCs/>
        </w:rPr>
      </w:pPr>
      <w:r w:rsidRPr="00480B49">
        <w:rPr>
          <w:iCs/>
        </w:rPr>
        <w:t>-</w:t>
      </w:r>
      <w:r w:rsidRPr="00480B49">
        <w:rPr>
          <w:iCs/>
        </w:rPr>
        <w:tab/>
        <w:t>podpora TEN-T prostřednictvím národních správců železniční infrastruktury</w:t>
      </w:r>
    </w:p>
    <w:p w14:paraId="08881506" w14:textId="4C832B98" w:rsidR="00D705D4" w:rsidRPr="00480B49" w:rsidRDefault="00480B49" w:rsidP="00D705D4">
      <w:pPr>
        <w:pStyle w:val="Styl1"/>
      </w:pPr>
      <w:r w:rsidRPr="00480B49">
        <w:t>Projekt bude realizován v letech 2022–2024, aktivita č. 5 bude prodloužena do konce roku 2025</w:t>
      </w:r>
      <w:r w:rsidR="00D705D4" w:rsidRPr="00480B49">
        <w:t xml:space="preserve">. </w:t>
      </w:r>
    </w:p>
    <w:p w14:paraId="1BDA0875" w14:textId="39EACC96" w:rsidR="00F80959" w:rsidRPr="00CB5C48" w:rsidRDefault="00CA2F73" w:rsidP="00F80959">
      <w:pPr>
        <w:pStyle w:val="Titulek"/>
        <w:rPr>
          <w:noProof/>
        </w:rPr>
      </w:pPr>
      <w:r w:rsidRPr="00CB5C48">
        <w:t xml:space="preserve">Tabulka č. </w:t>
      </w:r>
      <w:r w:rsidRPr="00CB5C48">
        <w:rPr>
          <w:noProof/>
        </w:rPr>
        <w:fldChar w:fldCharType="begin"/>
      </w:r>
      <w:r w:rsidRPr="00CB5C48">
        <w:rPr>
          <w:noProof/>
        </w:rPr>
        <w:instrText xml:space="preserve"> SEQ Tabulka \* ARABIC </w:instrText>
      </w:r>
      <w:r w:rsidRPr="00CB5C48">
        <w:rPr>
          <w:noProof/>
        </w:rPr>
        <w:fldChar w:fldCharType="separate"/>
      </w:r>
      <w:r w:rsidR="005B73C0">
        <w:rPr>
          <w:noProof/>
        </w:rPr>
        <w:t>55</w:t>
      </w:r>
      <w:r w:rsidRPr="00CB5C48">
        <w:rPr>
          <w:noProof/>
        </w:rPr>
        <w:fldChar w:fldCharType="end"/>
      </w:r>
      <w:r w:rsidRPr="00CB5C48">
        <w:rPr>
          <w:noProof/>
        </w:rPr>
        <w:t xml:space="preserve"> </w:t>
      </w:r>
      <w:r w:rsidR="00D64F96" w:rsidRPr="00CB5C48">
        <w:rPr>
          <w:noProof/>
        </w:rPr>
        <w:t>Komunitární projekt CEF 2021+  Technická pomoc (ÚO MD)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5E7882" w:rsidRPr="00CB5C48" w14:paraId="6602D08F" w14:textId="77777777" w:rsidTr="00CB5C48">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8E0F1F" w14:textId="77777777" w:rsidR="005E7882" w:rsidRPr="00CB5C48" w:rsidRDefault="005E7882" w:rsidP="0029449F">
            <w:pPr>
              <w:spacing w:before="27" w:after="27"/>
              <w:rPr>
                <w:rFonts w:eastAsia="Times New Roman" w:cs="Times New Roman"/>
                <w:b/>
                <w:lang w:eastAsia="cs-CZ"/>
              </w:rPr>
            </w:pPr>
            <w:r w:rsidRPr="00CB5C48">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E6D867" w14:textId="77777777" w:rsidR="005E7882" w:rsidRPr="00CB5C48" w:rsidRDefault="005E7882" w:rsidP="0029449F">
            <w:pPr>
              <w:spacing w:before="27" w:after="27"/>
              <w:ind w:firstLine="366"/>
              <w:rPr>
                <w:rFonts w:eastAsia="Times New Roman" w:cs="Times New Roman"/>
                <w:b/>
                <w:lang w:eastAsia="cs-CZ"/>
              </w:rPr>
            </w:pPr>
            <w:r w:rsidRPr="00CB5C48">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908AD7A" w14:textId="77777777" w:rsidR="005E7882" w:rsidRPr="00CB5C48" w:rsidRDefault="005E7882" w:rsidP="0029449F">
            <w:pPr>
              <w:spacing w:before="27" w:after="27"/>
              <w:ind w:firstLine="366"/>
              <w:rPr>
                <w:rFonts w:eastAsia="Times New Roman" w:cs="Times New Roman"/>
                <w:b/>
                <w:lang w:eastAsia="cs-CZ"/>
              </w:rPr>
            </w:pPr>
            <w:r w:rsidRPr="00CB5C48">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CF3F4CA" w14:textId="77777777" w:rsidR="005E7882" w:rsidRPr="00CB5C48" w:rsidRDefault="005E7882" w:rsidP="0029449F">
            <w:pPr>
              <w:spacing w:before="27" w:after="27"/>
              <w:jc w:val="center"/>
              <w:rPr>
                <w:rFonts w:eastAsia="Times New Roman" w:cs="Times New Roman"/>
                <w:b/>
                <w:lang w:eastAsia="cs-CZ"/>
              </w:rPr>
            </w:pPr>
            <w:r w:rsidRPr="00CB5C48">
              <w:rPr>
                <w:rFonts w:eastAsia="Times New Roman" w:cs="Times New Roman"/>
                <w:b/>
                <w:lang w:eastAsia="cs-CZ"/>
              </w:rPr>
              <w:t>Celkem</w:t>
            </w:r>
          </w:p>
        </w:tc>
      </w:tr>
      <w:tr w:rsidR="00CB5C48" w:rsidRPr="00CB5C48" w14:paraId="5CC1E97D" w14:textId="77777777" w:rsidTr="00CB5C48">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1507DC70" w14:textId="60A07684" w:rsidR="00CB5C48" w:rsidRPr="00CB5C48" w:rsidRDefault="00CB5C48" w:rsidP="00CB5C48">
            <w:pPr>
              <w:spacing w:before="27" w:after="27"/>
              <w:rPr>
                <w:rFonts w:eastAsia="Times New Roman" w:cs="Times New Roman"/>
                <w:lang w:eastAsia="cs-CZ"/>
              </w:rPr>
            </w:pPr>
            <w:r w:rsidRPr="00CB5C48">
              <w:rPr>
                <w:rFonts w:eastAsia="Times New Roman" w:cs="Times New Roman"/>
                <w:lang w:eastAsia="cs-CZ"/>
              </w:rPr>
              <w:lastRenderedPageBreak/>
              <w:t>CEF 2021+ Technická pomoc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9A06A09" w14:textId="7EDBD9CE" w:rsidR="00CB5C48" w:rsidRPr="00CB5C48" w:rsidRDefault="00CB5C48" w:rsidP="00CB5C48">
            <w:pPr>
              <w:spacing w:before="27" w:after="27"/>
              <w:jc w:val="right"/>
              <w:rPr>
                <w:rFonts w:eastAsia="Times New Roman" w:cs="Times New Roman"/>
                <w:lang w:eastAsia="cs-CZ"/>
              </w:rPr>
            </w:pPr>
            <w:r w:rsidRPr="00CB5C48">
              <w:rPr>
                <w:rFonts w:eastAsia="Times New Roman" w:cs="Times New Roman"/>
                <w:lang w:eastAsia="cs-CZ"/>
              </w:rPr>
              <w:t xml:space="preserve">7 594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A10C1B2" w14:textId="4FA56176" w:rsidR="00CB5C48" w:rsidRPr="00CB5C48" w:rsidRDefault="00CB5C48" w:rsidP="00CB5C48">
            <w:pPr>
              <w:spacing w:before="27" w:after="27"/>
              <w:jc w:val="right"/>
              <w:rPr>
                <w:rFonts w:eastAsia="Times New Roman" w:cs="Times New Roman"/>
                <w:lang w:eastAsia="cs-CZ"/>
              </w:rPr>
            </w:pPr>
            <w:r w:rsidRPr="00CB5C48">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7FE3AF1D" w14:textId="018038EB" w:rsidR="00CB5C48" w:rsidRPr="00CB5C48" w:rsidRDefault="00CB5C48" w:rsidP="00CB5C48">
            <w:pPr>
              <w:spacing w:before="27" w:after="27"/>
              <w:jc w:val="right"/>
              <w:rPr>
                <w:rFonts w:eastAsia="Times New Roman" w:cs="Times New Roman"/>
                <w:b/>
                <w:lang w:eastAsia="cs-CZ"/>
              </w:rPr>
            </w:pPr>
            <w:r w:rsidRPr="00CB5C48">
              <w:rPr>
                <w:rFonts w:eastAsia="Times New Roman" w:cs="Times New Roman"/>
                <w:b/>
                <w:lang w:eastAsia="cs-CZ"/>
              </w:rPr>
              <w:t>7 594</w:t>
            </w:r>
          </w:p>
        </w:tc>
      </w:tr>
    </w:tbl>
    <w:p w14:paraId="108892E4" w14:textId="7B80A744" w:rsidR="00FA598C" w:rsidRPr="00CB5C48" w:rsidRDefault="00FA598C"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CB5C48">
        <w:rPr>
          <w:rFonts w:eastAsia="Times New Roman" w:cs="Times New Roman"/>
          <w:b/>
          <w:szCs w:val="20"/>
          <w:u w:val="single"/>
          <w:lang w:eastAsia="cs-CZ"/>
        </w:rPr>
        <w:t xml:space="preserve">CEF – </w:t>
      </w:r>
      <w:r w:rsidR="00CB5C48" w:rsidRPr="00CB5C48">
        <w:rPr>
          <w:rFonts w:eastAsia="Times New Roman" w:cs="Times New Roman"/>
          <w:b/>
          <w:szCs w:val="20"/>
          <w:u w:val="single"/>
          <w:lang w:eastAsia="cs-CZ"/>
        </w:rPr>
        <w:t>C-Roads Extended</w:t>
      </w:r>
      <w:r w:rsidRPr="00CB5C48">
        <w:rPr>
          <w:rFonts w:eastAsia="Times New Roman" w:cs="Times New Roman"/>
          <w:b/>
          <w:szCs w:val="20"/>
          <w:u w:val="single"/>
          <w:lang w:eastAsia="cs-CZ"/>
        </w:rPr>
        <w:t xml:space="preserve"> (ÚO MD)</w:t>
      </w:r>
    </w:p>
    <w:p w14:paraId="5C3DD6DA" w14:textId="119DC2F5" w:rsidR="00B640C4" w:rsidRPr="00D070B8" w:rsidRDefault="00CB5C48" w:rsidP="00B640C4">
      <w:pPr>
        <w:pStyle w:val="Styl1"/>
        <w:rPr>
          <w:highlight w:val="yellow"/>
        </w:rPr>
      </w:pPr>
      <w:r w:rsidRPr="00CF5B75">
        <w:t>C-ROADS Extended je projekt, který zajišťuje pokračování platformy C-Roads, což je společná celoevropská koordinační platforma pro zavádění C-ITS systémů na provozní úrovni, která slouží ke sdílení zkušeností a znalostí v této oblasti, koordinaci spolupráce a vývoje společných technických specifikací, které budou sloužit jako metodický základ pro všechny pilotní nasazení kooperativních systémů v rámci C-Roads. V projektu C-Roads Extended se osmnáct členských států Evropské unie a také Spojené království, Norsko a další přidružení partneři, zavázali diskutovat, odsouhlasit a definovat harmonizované a interoperabilní služby C-ITS pro společné nasazení v Evropě ve spolupráci s automobilovým průmyslem</w:t>
      </w:r>
      <w:r>
        <w:t>.</w:t>
      </w:r>
      <w:r w:rsidR="00B640C4" w:rsidRPr="00D070B8">
        <w:rPr>
          <w:bCs/>
          <w:highlight w:val="yellow"/>
        </w:rPr>
        <w:t xml:space="preserve"> </w:t>
      </w:r>
    </w:p>
    <w:p w14:paraId="4B685970" w14:textId="286AF2B6" w:rsidR="00B640C4" w:rsidRPr="00D070B8" w:rsidRDefault="00CB5C48" w:rsidP="00B640C4">
      <w:pPr>
        <w:pStyle w:val="Styl1"/>
        <w:rPr>
          <w:bCs/>
          <w:highlight w:val="yellow"/>
        </w:rPr>
      </w:pPr>
      <w:r w:rsidRPr="00CF5B75">
        <w:t>Hlavním zaměřením C-Roads Extended je pokračující vývoj C-Roads servisních specifikací C-ITS pro prostředí dálnic, hromadné dopravy, měst a také pro podporu vozidel integrovaného záchranného systému. Přestože C-Roads Extended je návrh platformy, který přímo nezahrnuje zavádění C-ITS, tvoří technický základ pro harmonizované zavádění služeb C-ITS, a je spojen s projekty zavádění C-ITS v mnoha členských státech EU a lze jej považovat za projekt společného zájmu ve smyslu Nové politiky transevropské dopravní sítě (TEN-T)</w:t>
      </w:r>
      <w:r>
        <w:t>.</w:t>
      </w:r>
    </w:p>
    <w:p w14:paraId="7D3BFB45" w14:textId="15B56603" w:rsidR="00B640C4" w:rsidRPr="00443AB6" w:rsidRDefault="00CB5C48" w:rsidP="00B640C4">
      <w:pPr>
        <w:keepNext/>
        <w:tabs>
          <w:tab w:val="left" w:pos="170"/>
        </w:tabs>
        <w:spacing w:before="240" w:after="200" w:line="276" w:lineRule="auto"/>
        <w:outlineLvl w:val="3"/>
      </w:pPr>
      <w:r w:rsidRPr="002B33C1">
        <w:t>Začátek projektu je stanoven na 01.09.2024 s trváním 36 měsíců. Alokaci financí tvoří z 50% příspěvek EU a z 50% spoluúčast příjemců. Rozpočet projektu byl navržen na 701 595 EUR a byl schválen v plné výši.</w:t>
      </w:r>
    </w:p>
    <w:p w14:paraId="362678BD" w14:textId="45A89DAA" w:rsidR="008D574B" w:rsidRPr="00443AB6" w:rsidRDefault="00C33531" w:rsidP="008D574B">
      <w:pPr>
        <w:pStyle w:val="Titulek"/>
        <w:rPr>
          <w:noProof/>
        </w:rPr>
      </w:pPr>
      <w:r w:rsidRPr="00443AB6">
        <w:t>Tabulka č.</w:t>
      </w:r>
      <w:r w:rsidR="001F0CDB" w:rsidRPr="00443AB6">
        <w:t xml:space="preserve"> </w:t>
      </w:r>
      <w:r w:rsidR="001F0CDB" w:rsidRPr="00443AB6">
        <w:rPr>
          <w:noProof/>
        </w:rPr>
        <w:fldChar w:fldCharType="begin"/>
      </w:r>
      <w:r w:rsidR="001F0CDB" w:rsidRPr="00443AB6">
        <w:rPr>
          <w:noProof/>
        </w:rPr>
        <w:instrText xml:space="preserve"> SEQ Tabulka \* ARABIC </w:instrText>
      </w:r>
      <w:r w:rsidR="001F0CDB" w:rsidRPr="00443AB6">
        <w:rPr>
          <w:noProof/>
        </w:rPr>
        <w:fldChar w:fldCharType="separate"/>
      </w:r>
      <w:r w:rsidR="005B73C0">
        <w:rPr>
          <w:noProof/>
        </w:rPr>
        <w:t>56</w:t>
      </w:r>
      <w:r w:rsidR="001F0CDB" w:rsidRPr="00443AB6">
        <w:rPr>
          <w:noProof/>
        </w:rPr>
        <w:fldChar w:fldCharType="end"/>
      </w:r>
      <w:r w:rsidRPr="00443AB6">
        <w:t xml:space="preserve"> </w:t>
      </w:r>
      <w:r w:rsidRPr="00443AB6">
        <w:rPr>
          <w:noProof/>
        </w:rPr>
        <w:t xml:space="preserve"> </w:t>
      </w:r>
      <w:r w:rsidR="00B37849" w:rsidRPr="00443AB6">
        <w:rPr>
          <w:noProof/>
        </w:rPr>
        <w:t xml:space="preserve">Komunitární program CEF 2021+  </w:t>
      </w:r>
      <w:r w:rsidR="007C7663" w:rsidRPr="00443AB6">
        <w:rPr>
          <w:noProof/>
        </w:rPr>
        <w:t>C-Roads Extended</w:t>
      </w:r>
      <w:r w:rsidR="00B37849" w:rsidRPr="00443AB6">
        <w:rPr>
          <w:noProof/>
        </w:rPr>
        <w:t xml:space="preserv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3C4683" w:rsidRPr="00443AB6" w14:paraId="3A2230A4" w14:textId="77777777" w:rsidTr="00443AB6">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A5B7291" w14:textId="77777777" w:rsidR="003C4683" w:rsidRPr="00443AB6" w:rsidRDefault="003C4683" w:rsidP="0029449F">
            <w:pPr>
              <w:spacing w:before="27" w:after="27"/>
              <w:rPr>
                <w:rFonts w:eastAsia="Times New Roman" w:cs="Times New Roman"/>
                <w:b/>
                <w:lang w:eastAsia="cs-CZ"/>
              </w:rPr>
            </w:pPr>
            <w:r w:rsidRPr="00443AB6">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14720AE" w14:textId="77777777" w:rsidR="003C4683" w:rsidRPr="00443AB6" w:rsidRDefault="003C4683" w:rsidP="0029449F">
            <w:pPr>
              <w:spacing w:before="27" w:after="27"/>
              <w:ind w:firstLine="366"/>
              <w:rPr>
                <w:rFonts w:eastAsia="Times New Roman" w:cs="Times New Roman"/>
                <w:b/>
                <w:lang w:eastAsia="cs-CZ"/>
              </w:rPr>
            </w:pPr>
            <w:r w:rsidRPr="00443AB6">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0BDA4A7" w14:textId="77777777" w:rsidR="003C4683" w:rsidRPr="00443AB6" w:rsidRDefault="003C4683" w:rsidP="0029449F">
            <w:pPr>
              <w:spacing w:before="27" w:after="27"/>
              <w:ind w:firstLine="366"/>
              <w:rPr>
                <w:rFonts w:eastAsia="Times New Roman" w:cs="Times New Roman"/>
                <w:b/>
                <w:lang w:eastAsia="cs-CZ"/>
              </w:rPr>
            </w:pPr>
            <w:r w:rsidRPr="00443AB6">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66274A7" w14:textId="77777777" w:rsidR="003C4683" w:rsidRPr="00443AB6" w:rsidRDefault="003C4683" w:rsidP="0029449F">
            <w:pPr>
              <w:spacing w:before="27" w:after="27"/>
              <w:jc w:val="center"/>
              <w:rPr>
                <w:rFonts w:eastAsia="Times New Roman" w:cs="Times New Roman"/>
                <w:b/>
                <w:lang w:eastAsia="cs-CZ"/>
              </w:rPr>
            </w:pPr>
            <w:r w:rsidRPr="00443AB6">
              <w:rPr>
                <w:rFonts w:eastAsia="Times New Roman" w:cs="Times New Roman"/>
                <w:b/>
                <w:lang w:eastAsia="cs-CZ"/>
              </w:rPr>
              <w:t>Celkem</w:t>
            </w:r>
          </w:p>
        </w:tc>
      </w:tr>
      <w:tr w:rsidR="00443AB6" w:rsidRPr="00443AB6" w14:paraId="4FCD8940" w14:textId="77777777" w:rsidTr="00443AB6">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CB0D4BA" w14:textId="7930E0BC" w:rsidR="00443AB6" w:rsidRPr="00443AB6" w:rsidRDefault="00443AB6" w:rsidP="00443AB6">
            <w:pPr>
              <w:spacing w:before="27" w:after="27"/>
              <w:rPr>
                <w:rFonts w:eastAsia="Times New Roman" w:cs="Times New Roman"/>
                <w:color w:val="FF0000"/>
                <w:lang w:eastAsia="cs-CZ"/>
              </w:rPr>
            </w:pPr>
            <w:r w:rsidRPr="00443AB6">
              <w:rPr>
                <w:rFonts w:eastAsia="Times New Roman" w:cs="Times New Roman"/>
                <w:lang w:eastAsia="cs-CZ"/>
              </w:rPr>
              <w:t>C-Roads Extended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6DDB28C" w14:textId="50DDE62F" w:rsidR="00443AB6" w:rsidRPr="00443AB6" w:rsidRDefault="00443AB6" w:rsidP="00443AB6">
            <w:pPr>
              <w:spacing w:before="27" w:after="27"/>
              <w:jc w:val="right"/>
              <w:rPr>
                <w:rFonts w:eastAsia="Times New Roman" w:cs="Times New Roman"/>
                <w:color w:val="FF0000"/>
                <w:sz w:val="40"/>
                <w:szCs w:val="40"/>
                <w:lang w:eastAsia="cs-CZ"/>
              </w:rPr>
            </w:pPr>
            <w:r w:rsidRPr="00443AB6">
              <w:rPr>
                <w:rFonts w:eastAsia="Times New Roman" w:cs="Times New Roman"/>
                <w:lang w:eastAsia="cs-CZ"/>
              </w:rPr>
              <w:t>2 925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2176991" w14:textId="4FAE13AA" w:rsidR="00443AB6" w:rsidRPr="00443AB6" w:rsidRDefault="00443AB6" w:rsidP="00443AB6">
            <w:pPr>
              <w:spacing w:before="27" w:after="27"/>
              <w:jc w:val="right"/>
              <w:rPr>
                <w:rFonts w:eastAsia="Times New Roman" w:cs="Times New Roman"/>
                <w:color w:val="FF0000"/>
                <w:lang w:eastAsia="cs-CZ"/>
              </w:rPr>
            </w:pPr>
            <w:r w:rsidRPr="00443AB6">
              <w:rPr>
                <w:rFonts w:eastAsia="Times New Roman" w:cs="Times New Roman"/>
                <w:lang w:eastAsia="cs-CZ"/>
              </w:rPr>
              <w:t>2 925</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0739CF2C" w14:textId="67DF5F38" w:rsidR="00443AB6" w:rsidRPr="00443AB6" w:rsidRDefault="00443AB6" w:rsidP="00443AB6">
            <w:pPr>
              <w:spacing w:before="27" w:after="27"/>
              <w:jc w:val="right"/>
              <w:rPr>
                <w:rFonts w:eastAsia="Times New Roman" w:cs="Times New Roman"/>
                <w:b/>
                <w:color w:val="FF0000"/>
                <w:lang w:eastAsia="cs-CZ"/>
              </w:rPr>
            </w:pPr>
            <w:r w:rsidRPr="00443AB6">
              <w:rPr>
                <w:rFonts w:eastAsia="Times New Roman" w:cs="Times New Roman"/>
                <w:b/>
                <w:lang w:eastAsia="cs-CZ"/>
              </w:rPr>
              <w:t>5 850</w:t>
            </w:r>
          </w:p>
        </w:tc>
      </w:tr>
    </w:tbl>
    <w:p w14:paraId="19F21EF8" w14:textId="77777777" w:rsidR="006C4E3C" w:rsidRPr="008705C2" w:rsidRDefault="006C4E3C"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8705C2">
        <w:rPr>
          <w:rFonts w:eastAsia="Times New Roman" w:cs="Times New Roman"/>
          <w:b/>
          <w:szCs w:val="20"/>
          <w:u w:val="single"/>
          <w:lang w:eastAsia="cs-CZ"/>
        </w:rPr>
        <w:t>CEF – RIS COMEX II</w:t>
      </w:r>
    </w:p>
    <w:p w14:paraId="01177999" w14:textId="77777777" w:rsidR="00B56D21" w:rsidRPr="00B56D21" w:rsidRDefault="00B56D21" w:rsidP="00B56D21">
      <w:pPr>
        <w:pStyle w:val="Styl1"/>
        <w:rPr>
          <w:bCs/>
        </w:rPr>
      </w:pPr>
      <w:r w:rsidRPr="00B56D21">
        <w:rPr>
          <w:bCs/>
        </w:rPr>
        <w:t>V roce 2023 byla schválena k financování společná žádost 13 evropských států o podporu v rámci nástroje Connecting Europe Facility (CEF) na mezinárodní projekt RIS COMEX II. Součástí uvedeného projektu je i ČR, kde bude příjemcem podpory Ministerstvo dopravy a organizacemi zodpovědnými za realizaci projektových prací Ředitelství vodních cest a Státní plavební správa. Projekt byl zahájen na podzim 2023 a jeho trvání je nastaveno do března 2028.</w:t>
      </w:r>
    </w:p>
    <w:p w14:paraId="371415D9" w14:textId="1D887FB6" w:rsidR="00B56D21" w:rsidRPr="00B56D21" w:rsidRDefault="00B56D21" w:rsidP="00B56D21">
      <w:pPr>
        <w:pStyle w:val="Styl1"/>
        <w:rPr>
          <w:bCs/>
        </w:rPr>
      </w:pPr>
      <w:r w:rsidRPr="00B56D21">
        <w:rPr>
          <w:bCs/>
        </w:rPr>
        <w:t>Náplní zmíněného projektu je pokračování ve vývoji koridorových služeb RIS zavedených již ukončeným projektem RIS COMEX v rámci 7 evropských koridorů vnitrozemských vodních cest. Konkrétně se jedná o rozšíření množství a kvality souvisejících služeb a poskytovaných dat, rozšíření geografického rozsahu těchto služeb na další vodní cesty a zaměření na propojení a integraci stávajících systémů a služeb pro dosažení optimálních výhod pro všechny zúčastněné strany související s vnitrozemskou plavbou a celkově větší uplatnění digitalizace.</w:t>
      </w:r>
    </w:p>
    <w:p w14:paraId="6040FC45" w14:textId="00F98A22" w:rsidR="00B56D21" w:rsidRPr="00621EFD" w:rsidRDefault="00621EFD" w:rsidP="00B56D21">
      <w:pPr>
        <w:pStyle w:val="Styl1"/>
        <w:rPr>
          <w:bCs/>
        </w:rPr>
      </w:pPr>
      <w:r w:rsidRPr="00621EFD">
        <w:rPr>
          <w:bCs/>
        </w:rPr>
        <w:t>Spolufinancování z nástroje CEF je nastaveno jako 50</w:t>
      </w:r>
      <w:r w:rsidR="00710E34">
        <w:rPr>
          <w:bCs/>
        </w:rPr>
        <w:t xml:space="preserve"> </w:t>
      </w:r>
      <w:r w:rsidRPr="00621EFD">
        <w:rPr>
          <w:bCs/>
        </w:rPr>
        <w:t>% celkových uznatelných nákladů</w:t>
      </w:r>
      <w:r>
        <w:rPr>
          <w:bCs/>
        </w:rPr>
        <w:t>.</w:t>
      </w:r>
    </w:p>
    <w:p w14:paraId="7C67BB09" w14:textId="79F59E0D" w:rsidR="007325F9" w:rsidRPr="008705C2" w:rsidRDefault="00CA2F73" w:rsidP="007325F9">
      <w:pPr>
        <w:pStyle w:val="Titulek"/>
        <w:rPr>
          <w:noProof/>
        </w:rPr>
      </w:pPr>
      <w:r w:rsidRPr="008705C2">
        <w:lastRenderedPageBreak/>
        <w:t xml:space="preserve">Tabulka č. </w:t>
      </w:r>
      <w:r w:rsidR="001F0CDB" w:rsidRPr="008705C2">
        <w:rPr>
          <w:noProof/>
        </w:rPr>
        <w:fldChar w:fldCharType="begin"/>
      </w:r>
      <w:r w:rsidR="001F0CDB" w:rsidRPr="008705C2">
        <w:rPr>
          <w:noProof/>
        </w:rPr>
        <w:instrText xml:space="preserve"> SEQ Tabulka \* ARABIC </w:instrText>
      </w:r>
      <w:r w:rsidR="001F0CDB" w:rsidRPr="008705C2">
        <w:rPr>
          <w:noProof/>
        </w:rPr>
        <w:fldChar w:fldCharType="separate"/>
      </w:r>
      <w:r w:rsidR="005B73C0">
        <w:rPr>
          <w:noProof/>
        </w:rPr>
        <w:t>57</w:t>
      </w:r>
      <w:r w:rsidR="001F0CDB" w:rsidRPr="008705C2">
        <w:rPr>
          <w:noProof/>
        </w:rPr>
        <w:fldChar w:fldCharType="end"/>
      </w:r>
      <w:r w:rsidRPr="008705C2">
        <w:rPr>
          <w:noProof/>
        </w:rPr>
        <w:t xml:space="preserve"> </w:t>
      </w:r>
      <w:r w:rsidR="00074F76" w:rsidRPr="008705C2">
        <w:rPr>
          <w:noProof/>
        </w:rPr>
        <w:t>Komunitární program CEF 2021+  RIS COMEX II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604B9B" w:rsidRPr="008705C2" w14:paraId="0F83A912"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6C81DE5" w14:textId="77777777" w:rsidR="00604B9B" w:rsidRPr="008705C2" w:rsidRDefault="00604B9B" w:rsidP="0029449F">
            <w:pPr>
              <w:spacing w:before="27" w:after="27"/>
              <w:rPr>
                <w:rFonts w:eastAsia="Times New Roman" w:cs="Times New Roman"/>
                <w:b/>
                <w:lang w:eastAsia="cs-CZ"/>
              </w:rPr>
            </w:pPr>
            <w:r w:rsidRPr="008705C2">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62FB190" w14:textId="77777777" w:rsidR="00604B9B" w:rsidRPr="008705C2" w:rsidRDefault="00604B9B" w:rsidP="0029449F">
            <w:pPr>
              <w:spacing w:before="27" w:after="27"/>
              <w:ind w:firstLine="366"/>
              <w:rPr>
                <w:rFonts w:eastAsia="Times New Roman" w:cs="Times New Roman"/>
                <w:b/>
                <w:lang w:eastAsia="cs-CZ"/>
              </w:rPr>
            </w:pPr>
            <w:r w:rsidRPr="008705C2">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EBB8CD8" w14:textId="77777777" w:rsidR="00604B9B" w:rsidRPr="008705C2" w:rsidRDefault="00604B9B" w:rsidP="0029449F">
            <w:pPr>
              <w:spacing w:before="27" w:after="27"/>
              <w:ind w:firstLine="366"/>
              <w:rPr>
                <w:rFonts w:eastAsia="Times New Roman" w:cs="Times New Roman"/>
                <w:b/>
                <w:lang w:eastAsia="cs-CZ"/>
              </w:rPr>
            </w:pPr>
            <w:r w:rsidRPr="008705C2">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C1728C4" w14:textId="77777777" w:rsidR="00604B9B" w:rsidRPr="008705C2" w:rsidRDefault="00604B9B" w:rsidP="0029449F">
            <w:pPr>
              <w:spacing w:before="27" w:after="27"/>
              <w:jc w:val="center"/>
              <w:rPr>
                <w:rFonts w:eastAsia="Times New Roman" w:cs="Times New Roman"/>
                <w:b/>
                <w:lang w:eastAsia="cs-CZ"/>
              </w:rPr>
            </w:pPr>
            <w:r w:rsidRPr="008705C2">
              <w:rPr>
                <w:rFonts w:eastAsia="Times New Roman" w:cs="Times New Roman"/>
                <w:b/>
                <w:lang w:eastAsia="cs-CZ"/>
              </w:rPr>
              <w:t>Celkem</w:t>
            </w:r>
          </w:p>
        </w:tc>
      </w:tr>
      <w:tr w:rsidR="008705C2" w:rsidRPr="008705C2" w14:paraId="7CC01E20"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8F9BE0D" w14:textId="77777777" w:rsidR="008705C2" w:rsidRPr="008705C2" w:rsidRDefault="008705C2" w:rsidP="008705C2">
            <w:pPr>
              <w:spacing w:before="27" w:after="27"/>
              <w:rPr>
                <w:rFonts w:eastAsia="Times New Roman" w:cs="Times New Roman"/>
                <w:lang w:eastAsia="cs-CZ"/>
              </w:rPr>
            </w:pPr>
            <w:r w:rsidRPr="008705C2">
              <w:rPr>
                <w:rFonts w:eastAsia="Times New Roman" w:cs="Times New Roman"/>
                <w:lang w:eastAsia="cs-CZ"/>
              </w:rPr>
              <w:t>RIS COMEX II v tom:</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FFCE080" w14:textId="172154B1" w:rsidR="008705C2" w:rsidRPr="008705C2" w:rsidRDefault="008705C2" w:rsidP="008705C2">
            <w:pPr>
              <w:spacing w:before="27" w:after="27"/>
              <w:jc w:val="right"/>
              <w:rPr>
                <w:rFonts w:eastAsia="Times New Roman" w:cs="Times New Roman"/>
                <w:b/>
                <w:bCs/>
                <w:lang w:eastAsia="cs-CZ"/>
              </w:rPr>
            </w:pPr>
            <w:r w:rsidRPr="008705C2">
              <w:rPr>
                <w:rFonts w:eastAsia="Times New Roman" w:cs="Times New Roman"/>
                <w:b/>
                <w:bCs/>
                <w:lang w:eastAsia="cs-CZ"/>
              </w:rPr>
              <w:t>10 251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33D57EF" w14:textId="39D8DAEF" w:rsidR="008705C2" w:rsidRPr="008705C2" w:rsidRDefault="008705C2" w:rsidP="008705C2">
            <w:pPr>
              <w:spacing w:before="27" w:after="27"/>
              <w:jc w:val="right"/>
              <w:rPr>
                <w:rFonts w:eastAsia="Times New Roman" w:cs="Times New Roman"/>
                <w:b/>
                <w:bCs/>
                <w:lang w:eastAsia="cs-CZ"/>
              </w:rPr>
            </w:pPr>
            <w:r w:rsidRPr="008705C2">
              <w:rPr>
                <w:rFonts w:eastAsia="Times New Roman" w:cs="Times New Roman"/>
                <w:b/>
                <w:bCs/>
                <w:lang w:eastAsia="cs-CZ"/>
              </w:rPr>
              <w:t>528</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33631F9A" w14:textId="5CEF5254" w:rsidR="008705C2" w:rsidRPr="008705C2" w:rsidRDefault="008705C2" w:rsidP="008705C2">
            <w:pPr>
              <w:spacing w:before="27" w:after="27"/>
              <w:jc w:val="right"/>
              <w:rPr>
                <w:rFonts w:eastAsia="Times New Roman" w:cs="Times New Roman"/>
                <w:b/>
                <w:lang w:eastAsia="cs-CZ"/>
              </w:rPr>
            </w:pPr>
            <w:r w:rsidRPr="008705C2">
              <w:rPr>
                <w:rFonts w:eastAsia="Times New Roman" w:cs="Times New Roman"/>
                <w:b/>
                <w:lang w:eastAsia="cs-CZ"/>
              </w:rPr>
              <w:t>10 779</w:t>
            </w:r>
          </w:p>
        </w:tc>
      </w:tr>
      <w:tr w:rsidR="008705C2" w:rsidRPr="008705C2" w14:paraId="36D6617A"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7150A0E4" w14:textId="77777777" w:rsidR="008705C2" w:rsidRPr="008705C2" w:rsidRDefault="008705C2" w:rsidP="008705C2">
            <w:pPr>
              <w:spacing w:before="27" w:after="27"/>
              <w:rPr>
                <w:rFonts w:eastAsia="Times New Roman" w:cs="Times New Roman"/>
                <w:i/>
                <w:iCs/>
                <w:lang w:eastAsia="cs-CZ"/>
              </w:rPr>
            </w:pPr>
            <w:r w:rsidRPr="008705C2">
              <w:rPr>
                <w:rFonts w:eastAsia="Times New Roman" w:cs="Times New Roman"/>
                <w:i/>
                <w:iCs/>
                <w:lang w:eastAsia="cs-CZ"/>
              </w:rPr>
              <w:t>Státní fond dopravní infrastruktury</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D3940FE" w14:textId="115230C0" w:rsidR="008705C2" w:rsidRPr="008705C2" w:rsidRDefault="008705C2" w:rsidP="008705C2">
            <w:pPr>
              <w:spacing w:before="27" w:after="27"/>
              <w:jc w:val="right"/>
              <w:rPr>
                <w:rFonts w:eastAsia="Times New Roman" w:cs="Times New Roman"/>
                <w:i/>
                <w:iCs/>
                <w:lang w:eastAsia="cs-CZ"/>
              </w:rPr>
            </w:pPr>
            <w:r w:rsidRPr="008705C2">
              <w:rPr>
                <w:rFonts w:eastAsia="Times New Roman" w:cs="Times New Roman"/>
                <w:i/>
                <w:iCs/>
                <w:lang w:eastAsia="cs-CZ"/>
              </w:rPr>
              <w:t>9 723</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587F14FB" w14:textId="44DF9F90" w:rsidR="008705C2" w:rsidRPr="008705C2" w:rsidRDefault="000B533E" w:rsidP="008705C2">
            <w:pPr>
              <w:spacing w:before="27" w:after="27"/>
              <w:jc w:val="right"/>
              <w:rPr>
                <w:rFonts w:eastAsia="Times New Roman" w:cs="Times New Roman"/>
                <w:i/>
                <w:iCs/>
                <w:lang w:eastAsia="cs-CZ"/>
              </w:rPr>
            </w:pPr>
            <w:r>
              <w:rPr>
                <w:rFonts w:eastAsia="Times New Roman" w:cs="Times New Roman"/>
                <w:i/>
                <w:i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1E54D0AE" w14:textId="3681B9D9" w:rsidR="008705C2" w:rsidRPr="008705C2" w:rsidRDefault="008705C2" w:rsidP="008705C2">
            <w:pPr>
              <w:spacing w:before="27" w:after="27"/>
              <w:jc w:val="right"/>
              <w:rPr>
                <w:rFonts w:eastAsia="Times New Roman" w:cs="Times New Roman"/>
                <w:b/>
                <w:i/>
                <w:iCs/>
                <w:lang w:eastAsia="cs-CZ"/>
              </w:rPr>
            </w:pPr>
            <w:r w:rsidRPr="008705C2">
              <w:rPr>
                <w:rFonts w:eastAsia="Times New Roman" w:cs="Times New Roman"/>
                <w:b/>
                <w:i/>
                <w:iCs/>
                <w:lang w:eastAsia="cs-CZ"/>
              </w:rPr>
              <w:t>9 723</w:t>
            </w:r>
          </w:p>
        </w:tc>
      </w:tr>
      <w:tr w:rsidR="008705C2" w:rsidRPr="008705C2" w14:paraId="5E991878"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59665CFC" w14:textId="77777777" w:rsidR="008705C2" w:rsidRPr="008705C2" w:rsidRDefault="008705C2" w:rsidP="008705C2">
            <w:pPr>
              <w:spacing w:before="27" w:after="27"/>
              <w:rPr>
                <w:rFonts w:eastAsia="Times New Roman" w:cs="Times New Roman"/>
                <w:i/>
                <w:iCs/>
                <w:lang w:eastAsia="cs-CZ"/>
              </w:rPr>
            </w:pPr>
            <w:r w:rsidRPr="008705C2">
              <w:rPr>
                <w:rFonts w:eastAsia="Times New Roman" w:cs="Times New Roman"/>
                <w:i/>
                <w:iCs/>
                <w:lang w:eastAsia="cs-CZ"/>
              </w:rPr>
              <w:t>Státní plavební správa</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70A1D51" w14:textId="4F2D3D58" w:rsidR="008705C2" w:rsidRPr="008705C2" w:rsidRDefault="008705C2" w:rsidP="008705C2">
            <w:pPr>
              <w:spacing w:before="27" w:after="27"/>
              <w:jc w:val="right"/>
              <w:rPr>
                <w:rFonts w:eastAsia="Times New Roman" w:cs="Times New Roman"/>
                <w:i/>
                <w:iCs/>
                <w:lang w:eastAsia="cs-CZ"/>
              </w:rPr>
            </w:pPr>
            <w:r w:rsidRPr="008705C2">
              <w:rPr>
                <w:rFonts w:eastAsia="Times New Roman" w:cs="Times New Roman"/>
                <w:i/>
                <w:iCs/>
                <w:lang w:eastAsia="cs-CZ"/>
              </w:rPr>
              <w:t>528</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A138A3C" w14:textId="674DE0CC" w:rsidR="008705C2" w:rsidRPr="008705C2" w:rsidRDefault="008705C2" w:rsidP="008705C2">
            <w:pPr>
              <w:spacing w:before="27" w:after="27"/>
              <w:jc w:val="right"/>
              <w:rPr>
                <w:rFonts w:eastAsia="Times New Roman" w:cs="Times New Roman"/>
                <w:i/>
                <w:iCs/>
                <w:lang w:eastAsia="cs-CZ"/>
              </w:rPr>
            </w:pPr>
            <w:r w:rsidRPr="008705C2">
              <w:rPr>
                <w:rFonts w:eastAsia="Times New Roman" w:cs="Times New Roman"/>
                <w:i/>
                <w:iCs/>
                <w:lang w:eastAsia="cs-CZ"/>
              </w:rPr>
              <w:t>528</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0AAB0986" w14:textId="285DA3EE" w:rsidR="008705C2" w:rsidRPr="008705C2" w:rsidRDefault="008705C2" w:rsidP="008705C2">
            <w:pPr>
              <w:spacing w:before="27" w:after="27"/>
              <w:jc w:val="right"/>
              <w:rPr>
                <w:rFonts w:eastAsia="Times New Roman" w:cs="Times New Roman"/>
                <w:b/>
                <w:i/>
                <w:iCs/>
                <w:lang w:eastAsia="cs-CZ"/>
              </w:rPr>
            </w:pPr>
            <w:r w:rsidRPr="008705C2">
              <w:rPr>
                <w:rFonts w:eastAsia="Times New Roman" w:cs="Times New Roman"/>
                <w:b/>
                <w:i/>
                <w:iCs/>
                <w:lang w:eastAsia="cs-CZ"/>
              </w:rPr>
              <w:t>1 056</w:t>
            </w:r>
          </w:p>
        </w:tc>
      </w:tr>
    </w:tbl>
    <w:p w14:paraId="261D2063" w14:textId="77777777" w:rsidR="003E4F82" w:rsidRPr="00900021" w:rsidRDefault="003E4F82"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bookmarkStart w:id="282" w:name="_Hlk178846048"/>
      <w:r w:rsidRPr="00900021">
        <w:rPr>
          <w:rFonts w:eastAsia="Times New Roman" w:cs="Times New Roman"/>
          <w:b/>
          <w:szCs w:val="20"/>
          <w:u w:val="single"/>
          <w:lang w:eastAsia="cs-CZ"/>
        </w:rPr>
        <w:t>Horizon Europe – FAME</w:t>
      </w:r>
    </w:p>
    <w:p w14:paraId="4E8620C2" w14:textId="77777777" w:rsidR="00E210B4" w:rsidRPr="00900021" w:rsidRDefault="00E210B4" w:rsidP="00E210B4">
      <w:pPr>
        <w:pStyle w:val="Styl1"/>
      </w:pPr>
      <w:r w:rsidRPr="00900021">
        <w:t>Rámcový program EU pro výzkum a inovace Horizon Europe představuje pro období 2021-2027 hlavní komunitární nástroj pro podporu výzkumu, vývoje a inovací. Cílem projektu s celkovým rozpočtem 6 milionů EUR je připravit analýzu use caseů a harmonizovaného přístupu pro implementaci demonstračních aktivit v oblasti CCAM, evaluační metodologii navazující na výsledky prací platformy CCAM, které se MD také účastnilo, vytvořit rámec pro výměnu dobré praxe v oblasti testování datové výměny a obecně podmínek pro testování v otevřeném prostředí a vytvořit znalostní databázi včetně zapojení dalších stakeholderů. Cílem je zlepšit koordinaci celého tématu v rámci EU, a to především v oblasti testování a společného přístupu k němu a také posílení vzájemné informovanosti a znalostní základny.</w:t>
      </w:r>
    </w:p>
    <w:p w14:paraId="0AA3A27F" w14:textId="642B97C1" w:rsidR="00E210B4" w:rsidRPr="00900021" w:rsidRDefault="00E210B4" w:rsidP="00E210B4">
      <w:pPr>
        <w:pStyle w:val="Styl1"/>
      </w:pPr>
      <w:r w:rsidRPr="00900021">
        <w:t xml:space="preserve">Jako člen ERTICO – ITS EUROPE neplatilo MD žádný poplatek za připojení se ke konsorciu. U tohoto typu akcí je maximální možná míra financování stanovena na </w:t>
      </w:r>
      <w:r w:rsidR="006436A1" w:rsidRPr="00900021">
        <w:t>100 %</w:t>
      </w:r>
      <w:r w:rsidRPr="00900021">
        <w:t xml:space="preserve">. Délka projektu je 36 měsíců. Celková částka, kterou MD obdrží na financování aktivit (tj. na osobní náklady </w:t>
      </w:r>
      <w:r w:rsidR="00314C07" w:rsidRPr="00900021">
        <w:br/>
      </w:r>
      <w:r w:rsidRPr="00900021">
        <w:t>a cestovné) je 58 125 EUR. MD se prostřednictvím zapojení do pracovních balíčků bude podílet na expertních vstupech především v oblasti regulace a etiky, přípravě a rozšíření znalostní základny pro tyto oblasti, zapojení do plánovaných akcí a aktivit (sympozia, konference) a dílčí šíření výsledků. MD zapojením do projektu přispěje rovněž k synergiím s realizací partnerství CCAM a naplnění jeho Strategické a inovační agendy, což je i cílem politiky MD v oblasti autonomní mobility.</w:t>
      </w:r>
    </w:p>
    <w:p w14:paraId="30E986D3" w14:textId="15321BF7" w:rsidR="00294A36" w:rsidRPr="00900021" w:rsidRDefault="00CA2F73" w:rsidP="00294A36">
      <w:pPr>
        <w:pStyle w:val="Titulek"/>
        <w:rPr>
          <w:noProof/>
        </w:rPr>
      </w:pPr>
      <w:r w:rsidRPr="00900021">
        <w:t xml:space="preserve">Tabulka č. </w:t>
      </w:r>
      <w:r w:rsidR="001F0CDB" w:rsidRPr="00900021">
        <w:rPr>
          <w:noProof/>
        </w:rPr>
        <w:fldChar w:fldCharType="begin"/>
      </w:r>
      <w:r w:rsidR="001F0CDB" w:rsidRPr="00900021">
        <w:rPr>
          <w:noProof/>
        </w:rPr>
        <w:instrText xml:space="preserve"> SEQ Tabulka \* ARABIC </w:instrText>
      </w:r>
      <w:r w:rsidR="001F0CDB" w:rsidRPr="00900021">
        <w:rPr>
          <w:noProof/>
        </w:rPr>
        <w:fldChar w:fldCharType="separate"/>
      </w:r>
      <w:r w:rsidR="005B73C0">
        <w:rPr>
          <w:noProof/>
        </w:rPr>
        <w:t>58</w:t>
      </w:r>
      <w:r w:rsidR="001F0CDB" w:rsidRPr="00900021">
        <w:rPr>
          <w:noProof/>
        </w:rPr>
        <w:fldChar w:fldCharType="end"/>
      </w:r>
      <w:r w:rsidR="001F0CDB" w:rsidRPr="00900021">
        <w:rPr>
          <w:noProof/>
        </w:rPr>
        <w:t xml:space="preserve"> </w:t>
      </w:r>
      <w:r w:rsidR="00CB12FD" w:rsidRPr="00900021">
        <w:rPr>
          <w:noProof/>
        </w:rPr>
        <w:t>Komunitární program Horizon Europe – FAME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696D3F" w:rsidRPr="00900021" w14:paraId="42F47B80" w14:textId="77777777" w:rsidTr="0015317B">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483B74" w14:textId="77777777" w:rsidR="00696D3F" w:rsidRPr="00900021" w:rsidRDefault="00696D3F" w:rsidP="0029449F">
            <w:pPr>
              <w:spacing w:before="27" w:after="27"/>
              <w:rPr>
                <w:rFonts w:eastAsia="Times New Roman" w:cs="Times New Roman"/>
                <w:b/>
                <w:lang w:eastAsia="cs-CZ"/>
              </w:rPr>
            </w:pPr>
            <w:r w:rsidRPr="00900021">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41D8DC3" w14:textId="77777777" w:rsidR="00696D3F" w:rsidRPr="00900021" w:rsidRDefault="00696D3F" w:rsidP="0029449F">
            <w:pPr>
              <w:spacing w:before="27" w:after="27"/>
              <w:ind w:firstLine="366"/>
              <w:rPr>
                <w:rFonts w:eastAsia="Times New Roman" w:cs="Times New Roman"/>
                <w:b/>
                <w:lang w:eastAsia="cs-CZ"/>
              </w:rPr>
            </w:pPr>
            <w:r w:rsidRPr="00900021">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D4234A" w14:textId="77777777" w:rsidR="00696D3F" w:rsidRPr="00900021" w:rsidRDefault="00696D3F" w:rsidP="0029449F">
            <w:pPr>
              <w:spacing w:before="27" w:after="27"/>
              <w:ind w:firstLine="366"/>
              <w:rPr>
                <w:rFonts w:eastAsia="Times New Roman" w:cs="Times New Roman"/>
                <w:b/>
                <w:lang w:eastAsia="cs-CZ"/>
              </w:rPr>
            </w:pPr>
            <w:r w:rsidRPr="00900021">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15AC996" w14:textId="77777777" w:rsidR="00696D3F" w:rsidRPr="00900021" w:rsidRDefault="00696D3F" w:rsidP="0029449F">
            <w:pPr>
              <w:spacing w:before="27" w:after="27"/>
              <w:jc w:val="center"/>
              <w:rPr>
                <w:rFonts w:eastAsia="Times New Roman" w:cs="Times New Roman"/>
                <w:b/>
                <w:lang w:eastAsia="cs-CZ"/>
              </w:rPr>
            </w:pPr>
            <w:r w:rsidRPr="00900021">
              <w:rPr>
                <w:rFonts w:eastAsia="Times New Roman" w:cs="Times New Roman"/>
                <w:b/>
                <w:lang w:eastAsia="cs-CZ"/>
              </w:rPr>
              <w:t>Celkem</w:t>
            </w:r>
          </w:p>
        </w:tc>
      </w:tr>
      <w:tr w:rsidR="00696D3F" w:rsidRPr="00900021" w14:paraId="14BB1968" w14:textId="77777777" w:rsidTr="0015317B">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3832A8A7" w14:textId="507793F4" w:rsidR="00696D3F" w:rsidRPr="00900021" w:rsidRDefault="00696D3F" w:rsidP="0029449F">
            <w:pPr>
              <w:spacing w:before="27" w:after="27"/>
              <w:rPr>
                <w:rFonts w:eastAsia="Times New Roman" w:cs="Times New Roman"/>
                <w:lang w:eastAsia="cs-CZ"/>
              </w:rPr>
            </w:pPr>
            <w:r w:rsidRPr="00900021">
              <w:rPr>
                <w:rFonts w:eastAsia="Times New Roman" w:cs="Times New Roman"/>
                <w:lang w:eastAsia="cs-CZ"/>
              </w:rPr>
              <w:t xml:space="preserve">Horizon </w:t>
            </w:r>
            <w:r w:rsidR="00720B18" w:rsidRPr="00900021">
              <w:rPr>
                <w:rFonts w:eastAsia="Times New Roman" w:cs="Times New Roman"/>
                <w:lang w:eastAsia="cs-CZ"/>
              </w:rPr>
              <w:t>Europe – FAME</w:t>
            </w:r>
            <w:r w:rsidRPr="00900021">
              <w:rPr>
                <w:rFonts w:eastAsia="Times New Roman" w:cs="Times New Roman"/>
                <w:lang w:eastAsia="cs-CZ"/>
              </w:rPr>
              <w:t xml:space="preserve">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A7CEFA1" w14:textId="6E411163" w:rsidR="00696D3F" w:rsidRPr="00900021" w:rsidRDefault="00900021" w:rsidP="0029449F">
            <w:pPr>
              <w:spacing w:before="27" w:after="27"/>
              <w:jc w:val="right"/>
              <w:rPr>
                <w:rFonts w:eastAsia="Times New Roman" w:cs="Times New Roman"/>
                <w:color w:val="FF0000"/>
                <w:lang w:eastAsia="cs-CZ"/>
              </w:rPr>
            </w:pPr>
            <w:r w:rsidRPr="00900021">
              <w:rPr>
                <w:rFonts w:eastAsia="Times New Roman" w:cs="Times New Roman"/>
                <w:lang w:eastAsia="cs-CZ"/>
              </w:rPr>
              <w:t>277</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601A89C" w14:textId="77777777" w:rsidR="00696D3F" w:rsidRPr="00900021" w:rsidRDefault="00696D3F" w:rsidP="0029449F">
            <w:pPr>
              <w:spacing w:before="27" w:after="27"/>
              <w:jc w:val="right"/>
              <w:rPr>
                <w:rFonts w:eastAsia="Times New Roman" w:cs="Times New Roman"/>
                <w:lang w:eastAsia="cs-CZ"/>
              </w:rPr>
            </w:pPr>
            <w:r w:rsidRPr="00900021">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38AE608F" w14:textId="4B5060FD" w:rsidR="00696D3F" w:rsidRPr="00900021" w:rsidRDefault="00900021" w:rsidP="0029449F">
            <w:pPr>
              <w:spacing w:before="27" w:after="27"/>
              <w:jc w:val="right"/>
              <w:rPr>
                <w:rFonts w:eastAsia="Times New Roman" w:cs="Times New Roman"/>
                <w:b/>
                <w:lang w:eastAsia="cs-CZ"/>
              </w:rPr>
            </w:pPr>
            <w:r w:rsidRPr="00900021">
              <w:rPr>
                <w:rFonts w:eastAsia="Times New Roman" w:cs="Times New Roman"/>
                <w:b/>
                <w:lang w:eastAsia="cs-CZ"/>
              </w:rPr>
              <w:t>277</w:t>
            </w:r>
          </w:p>
        </w:tc>
      </w:tr>
    </w:tbl>
    <w:p w14:paraId="226B5836" w14:textId="77777777" w:rsidR="0015317B" w:rsidRPr="00384ECA" w:rsidRDefault="0015317B"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bookmarkStart w:id="283" w:name="_Hlk178846443"/>
      <w:bookmarkEnd w:id="282"/>
      <w:r w:rsidRPr="00384ECA">
        <w:rPr>
          <w:rFonts w:eastAsia="Times New Roman" w:cs="Times New Roman"/>
          <w:b/>
          <w:szCs w:val="20"/>
          <w:u w:val="single"/>
          <w:lang w:eastAsia="cs-CZ"/>
        </w:rPr>
        <w:t>Horizon Europe – EU SST Partnership</w:t>
      </w:r>
    </w:p>
    <w:p w14:paraId="1444259B" w14:textId="77777777" w:rsidR="00E13881" w:rsidRPr="00B56D21" w:rsidRDefault="00E13881" w:rsidP="00E13881">
      <w:pPr>
        <w:pStyle w:val="Styl1"/>
      </w:pPr>
      <w:r w:rsidRPr="00B56D21">
        <w:t>Součástí výše uvedené aktivity (12) Zajištění zapojení ČR do EU SST Partnership) je i dílčí činnost realizovaná v rámci programu Horizon Europe. Ta, v rámci grantového okruhu HE TOP 4, cílí na modernizaci sensoru SHOT a jako taková je nedílnou součástí celého grantového balíčku.</w:t>
      </w:r>
    </w:p>
    <w:p w14:paraId="156359EB" w14:textId="0A1A8562" w:rsidR="00E13881" w:rsidRPr="00D070B8" w:rsidRDefault="00392A46" w:rsidP="00E13881">
      <w:pPr>
        <w:pStyle w:val="Styl1"/>
        <w:rPr>
          <w:highlight w:val="yellow"/>
        </w:rPr>
      </w:pPr>
      <w:r>
        <w:t>Finanční prostředky</w:t>
      </w:r>
      <w:r w:rsidRPr="00470FD3">
        <w:t xml:space="preserve"> budou využity jako finanční motivace pro zaměstnance</w:t>
      </w:r>
      <w:r>
        <w:t xml:space="preserve"> po celou dobu trvání projektu. Tento výdaj je plně hrazen ze strany EU.</w:t>
      </w:r>
    </w:p>
    <w:p w14:paraId="495DE4B8" w14:textId="41E1CD3C" w:rsidR="00965066" w:rsidRPr="00392A46" w:rsidRDefault="00965066" w:rsidP="00965066">
      <w:pPr>
        <w:pStyle w:val="Titulek"/>
        <w:rPr>
          <w:noProof/>
        </w:rPr>
      </w:pPr>
      <w:r w:rsidRPr="00392A46">
        <w:lastRenderedPageBreak/>
        <w:t xml:space="preserve">Tabulka č. </w:t>
      </w:r>
      <w:r w:rsidR="001F0CDB" w:rsidRPr="00392A46">
        <w:rPr>
          <w:noProof/>
        </w:rPr>
        <w:fldChar w:fldCharType="begin"/>
      </w:r>
      <w:r w:rsidR="001F0CDB" w:rsidRPr="00392A46">
        <w:rPr>
          <w:noProof/>
        </w:rPr>
        <w:instrText xml:space="preserve"> SEQ Tabulka \* ARABIC </w:instrText>
      </w:r>
      <w:r w:rsidR="001F0CDB" w:rsidRPr="00392A46">
        <w:rPr>
          <w:noProof/>
        </w:rPr>
        <w:fldChar w:fldCharType="separate"/>
      </w:r>
      <w:r w:rsidR="005B73C0">
        <w:rPr>
          <w:noProof/>
        </w:rPr>
        <w:t>59</w:t>
      </w:r>
      <w:r w:rsidR="001F0CDB" w:rsidRPr="00392A46">
        <w:rPr>
          <w:noProof/>
        </w:rPr>
        <w:fldChar w:fldCharType="end"/>
      </w:r>
      <w:r w:rsidRPr="00392A46">
        <w:rPr>
          <w:noProof/>
        </w:rPr>
        <w:t xml:space="preserve"> </w:t>
      </w:r>
      <w:r w:rsidR="00C1241D" w:rsidRPr="00392A46">
        <w:rPr>
          <w:noProof/>
        </w:rPr>
        <w:t>Komunitární program Horizon Europe – EU SST Partnership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6486" w:rsidRPr="00392A46" w14:paraId="3B94C898"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25769C" w14:textId="77777777" w:rsidR="00CA6486" w:rsidRPr="00392A46" w:rsidRDefault="00CA6486" w:rsidP="0029449F">
            <w:pPr>
              <w:spacing w:before="27" w:after="27"/>
              <w:rPr>
                <w:rFonts w:eastAsia="Times New Roman" w:cs="Times New Roman"/>
                <w:b/>
                <w:lang w:eastAsia="cs-CZ"/>
              </w:rPr>
            </w:pPr>
            <w:r w:rsidRPr="00392A46">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24439EE" w14:textId="77777777" w:rsidR="00CA6486" w:rsidRPr="00392A46" w:rsidRDefault="00CA6486" w:rsidP="0029449F">
            <w:pPr>
              <w:spacing w:before="27" w:after="27"/>
              <w:ind w:firstLine="366"/>
              <w:rPr>
                <w:rFonts w:eastAsia="Times New Roman" w:cs="Times New Roman"/>
                <w:b/>
                <w:lang w:eastAsia="cs-CZ"/>
              </w:rPr>
            </w:pPr>
            <w:r w:rsidRPr="00392A46">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E6F3196" w14:textId="77777777" w:rsidR="00CA6486" w:rsidRPr="00392A46" w:rsidRDefault="00CA6486" w:rsidP="0029449F">
            <w:pPr>
              <w:spacing w:before="27" w:after="27"/>
              <w:ind w:firstLine="366"/>
              <w:rPr>
                <w:rFonts w:eastAsia="Times New Roman" w:cs="Times New Roman"/>
                <w:b/>
                <w:lang w:eastAsia="cs-CZ"/>
              </w:rPr>
            </w:pPr>
            <w:r w:rsidRPr="00392A46">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ACDFDF7" w14:textId="77777777" w:rsidR="00CA6486" w:rsidRPr="00392A46" w:rsidRDefault="00CA6486" w:rsidP="0029449F">
            <w:pPr>
              <w:spacing w:before="27" w:after="27"/>
              <w:jc w:val="center"/>
              <w:rPr>
                <w:rFonts w:eastAsia="Times New Roman" w:cs="Times New Roman"/>
                <w:b/>
                <w:lang w:eastAsia="cs-CZ"/>
              </w:rPr>
            </w:pPr>
            <w:r w:rsidRPr="00392A46">
              <w:rPr>
                <w:rFonts w:eastAsia="Times New Roman" w:cs="Times New Roman"/>
                <w:b/>
                <w:lang w:eastAsia="cs-CZ"/>
              </w:rPr>
              <w:t>Celkem</w:t>
            </w:r>
          </w:p>
        </w:tc>
      </w:tr>
      <w:tr w:rsidR="00CA6486" w:rsidRPr="00392A46" w14:paraId="73F010A4"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55E03D38" w14:textId="0230E232" w:rsidR="00CA6486" w:rsidRPr="00392A46" w:rsidRDefault="00CA6486" w:rsidP="0029449F">
            <w:pPr>
              <w:spacing w:before="27" w:after="27"/>
              <w:rPr>
                <w:rFonts w:eastAsia="Times New Roman" w:cs="Times New Roman"/>
                <w:lang w:eastAsia="cs-CZ"/>
              </w:rPr>
            </w:pPr>
            <w:r w:rsidRPr="00392A46">
              <w:rPr>
                <w:rFonts w:eastAsia="Times New Roman" w:cs="Times New Roman"/>
                <w:lang w:eastAsia="cs-CZ"/>
              </w:rPr>
              <w:t xml:space="preserve">Horizon </w:t>
            </w:r>
            <w:r w:rsidR="00720B18" w:rsidRPr="00392A46">
              <w:rPr>
                <w:rFonts w:eastAsia="Times New Roman" w:cs="Times New Roman"/>
                <w:lang w:eastAsia="cs-CZ"/>
              </w:rPr>
              <w:t>Europe – EU</w:t>
            </w:r>
            <w:r w:rsidRPr="00392A46">
              <w:rPr>
                <w:rFonts w:eastAsia="Times New Roman" w:cs="Times New Roman"/>
                <w:lang w:eastAsia="cs-CZ"/>
              </w:rPr>
              <w:t xml:space="preserve"> SST Partnership </w:t>
            </w:r>
            <w:r w:rsidR="00392A46" w:rsidRPr="00392A46">
              <w:rPr>
                <w:rFonts w:eastAsia="Times New Roman" w:cs="Times New Roman"/>
                <w:lang w:eastAsia="cs-CZ"/>
              </w:rPr>
              <w:t>(MD)</w:t>
            </w:r>
            <w:r w:rsidRPr="00392A46">
              <w:rPr>
                <w:rFonts w:eastAsia="Times New Roman" w:cs="Times New Roman"/>
                <w:lang w:eastAsia="cs-CZ"/>
              </w:rPr>
              <w:t xml:space="preserve">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6996A8F" w14:textId="19527E9F" w:rsidR="00CA6486" w:rsidRPr="00392A46" w:rsidRDefault="00392A46" w:rsidP="0029449F">
            <w:pPr>
              <w:spacing w:before="27" w:after="27"/>
              <w:jc w:val="right"/>
              <w:rPr>
                <w:rFonts w:eastAsia="Times New Roman" w:cs="Times New Roman"/>
                <w:b/>
                <w:bCs/>
                <w:lang w:eastAsia="cs-CZ"/>
              </w:rPr>
            </w:pPr>
            <w:r w:rsidRPr="00392A46">
              <w:rPr>
                <w:rFonts w:eastAsia="Times New Roman" w:cs="Times New Roman"/>
                <w:b/>
                <w:bCs/>
                <w:lang w:eastAsia="cs-CZ"/>
              </w:rPr>
              <w:t>50</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699A1EE" w14:textId="4D6B5336" w:rsidR="00CA6486" w:rsidRPr="00392A46" w:rsidRDefault="00392A46" w:rsidP="0029449F">
            <w:pPr>
              <w:spacing w:before="27" w:after="27"/>
              <w:jc w:val="right"/>
              <w:rPr>
                <w:rFonts w:eastAsia="Times New Roman" w:cs="Times New Roman"/>
                <w:b/>
                <w:bCs/>
                <w:lang w:eastAsia="cs-CZ"/>
              </w:rPr>
            </w:pPr>
            <w:r w:rsidRPr="00392A46">
              <w:rPr>
                <w:rFonts w:eastAsia="Times New Roman" w:cs="Times New Roman"/>
                <w:b/>
                <w:b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1EE5E0DC" w14:textId="2C1F64E5" w:rsidR="00CA6486" w:rsidRPr="00392A46" w:rsidRDefault="00392A46" w:rsidP="0029449F">
            <w:pPr>
              <w:spacing w:before="27" w:after="27"/>
              <w:jc w:val="right"/>
              <w:rPr>
                <w:rFonts w:eastAsia="Times New Roman" w:cs="Times New Roman"/>
                <w:b/>
                <w:lang w:eastAsia="cs-CZ"/>
              </w:rPr>
            </w:pPr>
            <w:r w:rsidRPr="00392A46">
              <w:rPr>
                <w:rFonts w:eastAsia="Times New Roman" w:cs="Times New Roman"/>
                <w:b/>
                <w:lang w:eastAsia="cs-CZ"/>
              </w:rPr>
              <w:t>50</w:t>
            </w:r>
          </w:p>
        </w:tc>
      </w:tr>
    </w:tbl>
    <w:bookmarkEnd w:id="283"/>
    <w:p w14:paraId="06DA5E0E" w14:textId="6B23A35E" w:rsidR="00A01F8F" w:rsidRPr="00242E47" w:rsidRDefault="00A01F8F" w:rsidP="00092134">
      <w:pPr>
        <w:keepNext/>
        <w:numPr>
          <w:ilvl w:val="0"/>
          <w:numId w:val="37"/>
        </w:numPr>
        <w:tabs>
          <w:tab w:val="left" w:pos="170"/>
        </w:tabs>
        <w:spacing w:before="240" w:after="200" w:line="276" w:lineRule="auto"/>
        <w:outlineLvl w:val="3"/>
        <w:rPr>
          <w:rFonts w:eastAsia="Times New Roman" w:cs="Times New Roman"/>
          <w:b/>
          <w:szCs w:val="20"/>
          <w:u w:val="single"/>
          <w:lang w:eastAsia="cs-CZ"/>
        </w:rPr>
      </w:pPr>
      <w:r w:rsidRPr="00242E47">
        <w:rPr>
          <w:rFonts w:eastAsia="Times New Roman" w:cs="Times New Roman"/>
          <w:b/>
          <w:szCs w:val="20"/>
          <w:u w:val="single"/>
          <w:lang w:eastAsia="cs-CZ"/>
        </w:rPr>
        <w:t xml:space="preserve">Kosmický program </w:t>
      </w:r>
      <w:r w:rsidR="00720B18" w:rsidRPr="00242E47">
        <w:rPr>
          <w:rFonts w:eastAsia="Times New Roman" w:cs="Times New Roman"/>
          <w:b/>
          <w:szCs w:val="20"/>
          <w:u w:val="single"/>
          <w:lang w:eastAsia="cs-CZ"/>
        </w:rPr>
        <w:t>EU – EU</w:t>
      </w:r>
      <w:r w:rsidRPr="00242E47">
        <w:rPr>
          <w:rFonts w:eastAsia="Times New Roman" w:cs="Times New Roman"/>
          <w:b/>
          <w:szCs w:val="20"/>
          <w:u w:val="single"/>
          <w:lang w:eastAsia="cs-CZ"/>
        </w:rPr>
        <w:t xml:space="preserve"> SST </w:t>
      </w:r>
      <w:r w:rsidRPr="00242E47">
        <w:rPr>
          <w:rFonts w:eastAsia="Times New Roman" w:cs="Times New Roman"/>
          <w:b/>
          <w:szCs w:val="24"/>
          <w:u w:val="single"/>
          <w:lang w:eastAsia="cs-CZ"/>
        </w:rPr>
        <w:t>Partnership</w:t>
      </w:r>
    </w:p>
    <w:p w14:paraId="11B08A83" w14:textId="77777777" w:rsidR="007F4CE2" w:rsidRPr="00242E47" w:rsidRDefault="007F4CE2" w:rsidP="007F4CE2">
      <w:pPr>
        <w:keepLines/>
        <w:spacing w:before="240" w:after="240" w:line="276" w:lineRule="auto"/>
        <w:rPr>
          <w:iCs/>
        </w:rPr>
      </w:pPr>
      <w:r w:rsidRPr="00242E47">
        <w:rPr>
          <w:iCs/>
        </w:rPr>
        <w:t>Zapojení ČR do EU SST Partnership představuje implementaci doporučení č. 44 Národního kosmického plánu 2020-2025, schváleného Vládou ČR dne 14.10 2019. EU SST Partnership je integrální součástí nového Kosmického programu EU, schváleného Evropským Parlamentem a Radou v dubnu 2021 a řízeného agenturou EUSPA sídlící v Praze.</w:t>
      </w:r>
    </w:p>
    <w:p w14:paraId="3CBE82FB" w14:textId="77777777" w:rsidR="007F4CE2" w:rsidRDefault="007F4CE2" w:rsidP="007F4CE2">
      <w:pPr>
        <w:pStyle w:val="Styl1"/>
      </w:pPr>
      <w:r w:rsidRPr="00242E47">
        <w:t xml:space="preserve">Obecným cílem EU SST Partnership je zajištění dlouhodobého zabezpečení evropských a národních kosmických infrastruktur (tj. i budoucích českých družic) před kosmickou tříští s přesahem ke zvýšení bezpečnosti provozu na oběžných drahách skrze poskytování služby včasného varování před možným vzájemným střetem aktivních družic či jejich ohrožení kosmickou tříští, analýzy rozpadu neaktivních družic při vstupu do zemské atmosféry </w:t>
      </w:r>
      <w:r w:rsidRPr="00242E47">
        <w:br/>
        <w:t xml:space="preserve">či analýzy fragmentace v případě orbitální srážky. </w:t>
      </w:r>
    </w:p>
    <w:p w14:paraId="4DB25AD6" w14:textId="127FC727" w:rsidR="007F4CE2" w:rsidRDefault="00242E47" w:rsidP="007F4CE2">
      <w:pPr>
        <w:pStyle w:val="Styl1"/>
        <w:rPr>
          <w:highlight w:val="yellow"/>
        </w:rPr>
      </w:pPr>
      <w:r w:rsidRPr="00242E47">
        <w:t xml:space="preserve">Grantová dohoda (EU Space Regulation) je uzavřena na periodu 3 let. Hodnota účasti české strany na EU SST Partnership bude za celé souhrnné období rovna částce </w:t>
      </w:r>
      <w:r w:rsidRPr="00242E47">
        <w:br/>
        <w:t xml:space="preserve">cca 518 000 EUR a bude celá hrazena z Kosmického programu EU - vyjma národního podílu na spolufinancování modernizace zapojeného českého optického sensoru ve výši </w:t>
      </w:r>
      <w:r w:rsidRPr="00242E47">
        <w:br/>
        <w:t xml:space="preserve">42 000 EUR v rámci HE TOP4, </w:t>
      </w:r>
      <w:r w:rsidRPr="00242E47">
        <w:rPr>
          <w:color w:val="000000" w:themeColor="text1"/>
        </w:rPr>
        <w:t>Horizon Europe (16600) – EU SST Partnership</w:t>
      </w:r>
      <w:r w:rsidRPr="00242E47">
        <w:t>.</w:t>
      </w:r>
      <w:r w:rsidR="007F4CE2" w:rsidRPr="00242E47">
        <w:rPr>
          <w:highlight w:val="yellow"/>
        </w:rPr>
        <w:t xml:space="preserve"> </w:t>
      </w:r>
    </w:p>
    <w:p w14:paraId="36542788" w14:textId="04EA31FD" w:rsidR="00560577" w:rsidRPr="00560577" w:rsidRDefault="00560577" w:rsidP="007F4CE2">
      <w:pPr>
        <w:pStyle w:val="Styl1"/>
      </w:pPr>
      <w:r w:rsidRPr="00560577">
        <w:t>Prostředky budou použity zejména na mzdové výdaje, cestovné a pohoštění. Dále bude poskytnuta prostřednictvím Ústeckého kraje dotace Hvězdárně a planetáriu Teplice, která je příspěvkovou organizací Ústeckého kraje. Prostředky budou využity na poskytování služeb v rámci projektu EU SST Partnership.</w:t>
      </w:r>
    </w:p>
    <w:p w14:paraId="7F3F2407" w14:textId="425711BC" w:rsidR="00965066" w:rsidRPr="00242E47" w:rsidRDefault="00965066" w:rsidP="00965066">
      <w:pPr>
        <w:pStyle w:val="Titulek"/>
        <w:rPr>
          <w:noProof/>
        </w:rPr>
      </w:pPr>
      <w:r w:rsidRPr="00242E47">
        <w:t xml:space="preserve">Tabulka č. </w:t>
      </w:r>
      <w:r w:rsidR="001F0CDB" w:rsidRPr="00242E47">
        <w:rPr>
          <w:noProof/>
        </w:rPr>
        <w:fldChar w:fldCharType="begin"/>
      </w:r>
      <w:r w:rsidR="001F0CDB" w:rsidRPr="00242E47">
        <w:rPr>
          <w:noProof/>
        </w:rPr>
        <w:instrText xml:space="preserve"> SEQ Tabulka \* ARABIC </w:instrText>
      </w:r>
      <w:r w:rsidR="001F0CDB" w:rsidRPr="00242E47">
        <w:rPr>
          <w:noProof/>
        </w:rPr>
        <w:fldChar w:fldCharType="separate"/>
      </w:r>
      <w:r w:rsidR="005B73C0">
        <w:rPr>
          <w:noProof/>
        </w:rPr>
        <w:t>60</w:t>
      </w:r>
      <w:r w:rsidR="001F0CDB" w:rsidRPr="00242E47">
        <w:rPr>
          <w:noProof/>
        </w:rPr>
        <w:fldChar w:fldCharType="end"/>
      </w:r>
      <w:r w:rsidRPr="00242E47">
        <w:rPr>
          <w:noProof/>
        </w:rPr>
        <w:t xml:space="preserve"> </w:t>
      </w:r>
      <w:r w:rsidR="00167F7D" w:rsidRPr="00242E47">
        <w:rPr>
          <w:noProof/>
        </w:rPr>
        <w:t>Kosmický program unie_EU SST Partnership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940A9F" w:rsidRPr="00242E47" w14:paraId="6F387C94" w14:textId="77777777" w:rsidTr="0029449F">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C2AB53" w14:textId="77777777" w:rsidR="00940A9F" w:rsidRPr="00242E47" w:rsidRDefault="00940A9F" w:rsidP="0029449F">
            <w:pPr>
              <w:spacing w:before="27" w:after="27"/>
              <w:rPr>
                <w:rFonts w:eastAsia="Times New Roman" w:cs="Times New Roman"/>
                <w:b/>
                <w:lang w:eastAsia="cs-CZ"/>
              </w:rPr>
            </w:pPr>
            <w:r w:rsidRPr="00242E47">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E3346F9" w14:textId="77777777" w:rsidR="00940A9F" w:rsidRPr="00242E47" w:rsidRDefault="00940A9F" w:rsidP="0029449F">
            <w:pPr>
              <w:spacing w:before="27" w:after="27"/>
              <w:ind w:firstLine="366"/>
              <w:rPr>
                <w:rFonts w:eastAsia="Times New Roman" w:cs="Times New Roman"/>
                <w:b/>
                <w:lang w:eastAsia="cs-CZ"/>
              </w:rPr>
            </w:pPr>
            <w:r w:rsidRPr="00242E47">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36A4A8" w14:textId="77777777" w:rsidR="00940A9F" w:rsidRPr="00242E47" w:rsidRDefault="00940A9F" w:rsidP="0029449F">
            <w:pPr>
              <w:spacing w:before="27" w:after="27"/>
              <w:ind w:firstLine="366"/>
              <w:rPr>
                <w:rFonts w:eastAsia="Times New Roman" w:cs="Times New Roman"/>
                <w:b/>
                <w:lang w:eastAsia="cs-CZ"/>
              </w:rPr>
            </w:pPr>
            <w:r w:rsidRPr="00242E47">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B57B7F0" w14:textId="77777777" w:rsidR="00940A9F" w:rsidRPr="00242E47" w:rsidRDefault="00940A9F" w:rsidP="0029449F">
            <w:pPr>
              <w:spacing w:before="27" w:after="27"/>
              <w:jc w:val="center"/>
              <w:rPr>
                <w:rFonts w:eastAsia="Times New Roman" w:cs="Times New Roman"/>
                <w:b/>
                <w:lang w:eastAsia="cs-CZ"/>
              </w:rPr>
            </w:pPr>
            <w:r w:rsidRPr="00242E47">
              <w:rPr>
                <w:rFonts w:eastAsia="Times New Roman" w:cs="Times New Roman"/>
                <w:b/>
                <w:lang w:eastAsia="cs-CZ"/>
              </w:rPr>
              <w:t>Celkem</w:t>
            </w:r>
          </w:p>
        </w:tc>
      </w:tr>
      <w:tr w:rsidR="00940A9F" w:rsidRPr="00242E47" w14:paraId="6CD7FE6E"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6510267C" w14:textId="77777777" w:rsidR="00940A9F" w:rsidRPr="00242E47" w:rsidRDefault="00940A9F" w:rsidP="0029449F">
            <w:pPr>
              <w:spacing w:before="27" w:after="27"/>
              <w:rPr>
                <w:rFonts w:eastAsia="Times New Roman" w:cs="Times New Roman"/>
                <w:lang w:eastAsia="cs-CZ"/>
              </w:rPr>
            </w:pPr>
            <w:r w:rsidRPr="00242E47">
              <w:rPr>
                <w:rFonts w:eastAsia="Times New Roman" w:cs="Times New Roman"/>
                <w:lang w:eastAsia="cs-CZ"/>
              </w:rPr>
              <w:t>Kosmický program unie_EU SST Partnership v tom:</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7A15277" w14:textId="59E67A9E" w:rsidR="00940A9F" w:rsidRPr="00242E47" w:rsidRDefault="00940A9F" w:rsidP="0029449F">
            <w:pPr>
              <w:spacing w:before="27" w:after="27"/>
              <w:jc w:val="right"/>
              <w:rPr>
                <w:rFonts w:eastAsia="Times New Roman" w:cs="Times New Roman"/>
                <w:b/>
                <w:bCs/>
                <w:lang w:eastAsia="cs-CZ"/>
              </w:rPr>
            </w:pPr>
            <w:r w:rsidRPr="00242E47">
              <w:rPr>
                <w:rFonts w:eastAsia="Times New Roman" w:cs="Times New Roman"/>
                <w:b/>
                <w:bCs/>
                <w:lang w:eastAsia="cs-CZ"/>
              </w:rPr>
              <w:t>3 4</w:t>
            </w:r>
            <w:r w:rsidR="00242E47" w:rsidRPr="00242E47">
              <w:rPr>
                <w:rFonts w:eastAsia="Times New Roman" w:cs="Times New Roman"/>
                <w:b/>
                <w:bCs/>
                <w:lang w:eastAsia="cs-CZ"/>
              </w:rPr>
              <w:t>8</w:t>
            </w:r>
            <w:r w:rsidRPr="00242E47">
              <w:rPr>
                <w:rFonts w:eastAsia="Times New Roman" w:cs="Times New Roman"/>
                <w:b/>
                <w:bCs/>
                <w:lang w:eastAsia="cs-CZ"/>
              </w:rPr>
              <w:t>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2E57CE4" w14:textId="77777777" w:rsidR="00940A9F" w:rsidRPr="00242E47" w:rsidRDefault="00940A9F" w:rsidP="0029449F">
            <w:pPr>
              <w:spacing w:before="27" w:after="27"/>
              <w:jc w:val="right"/>
              <w:rPr>
                <w:rFonts w:eastAsia="Times New Roman" w:cs="Times New Roman"/>
                <w:b/>
                <w:bCs/>
                <w:lang w:eastAsia="cs-CZ"/>
              </w:rPr>
            </w:pPr>
            <w:r w:rsidRPr="00242E47">
              <w:rPr>
                <w:rFonts w:eastAsia="Times New Roman" w:cs="Times New Roman"/>
                <w:b/>
                <w:b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78F5129D" w14:textId="28725F11" w:rsidR="00940A9F" w:rsidRPr="00242E47" w:rsidRDefault="00940A9F" w:rsidP="0029449F">
            <w:pPr>
              <w:spacing w:before="27" w:after="27"/>
              <w:jc w:val="right"/>
              <w:rPr>
                <w:rFonts w:eastAsia="Times New Roman" w:cs="Times New Roman"/>
                <w:b/>
                <w:lang w:eastAsia="cs-CZ"/>
              </w:rPr>
            </w:pPr>
            <w:r w:rsidRPr="00242E47">
              <w:rPr>
                <w:rFonts w:eastAsia="Times New Roman" w:cs="Times New Roman"/>
                <w:b/>
                <w:lang w:eastAsia="cs-CZ"/>
              </w:rPr>
              <w:t>3 4</w:t>
            </w:r>
            <w:r w:rsidR="00242E47" w:rsidRPr="00242E47">
              <w:rPr>
                <w:rFonts w:eastAsia="Times New Roman" w:cs="Times New Roman"/>
                <w:b/>
                <w:lang w:eastAsia="cs-CZ"/>
              </w:rPr>
              <w:t>8</w:t>
            </w:r>
            <w:r w:rsidRPr="00242E47">
              <w:rPr>
                <w:rFonts w:eastAsia="Times New Roman" w:cs="Times New Roman"/>
                <w:b/>
                <w:lang w:eastAsia="cs-CZ"/>
              </w:rPr>
              <w:t>5</w:t>
            </w:r>
          </w:p>
        </w:tc>
      </w:tr>
      <w:tr w:rsidR="00940A9F" w:rsidRPr="00242E47" w14:paraId="098B6D2B"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3548A34B" w14:textId="77777777" w:rsidR="00940A9F" w:rsidRPr="00242E47" w:rsidRDefault="00940A9F" w:rsidP="0029449F">
            <w:pPr>
              <w:spacing w:before="27" w:after="27"/>
              <w:rPr>
                <w:rFonts w:eastAsia="Times New Roman" w:cs="Times New Roman"/>
                <w:lang w:eastAsia="cs-CZ"/>
              </w:rPr>
            </w:pPr>
            <w:r w:rsidRPr="00242E47">
              <w:rPr>
                <w:rFonts w:eastAsia="Times New Roman" w:cs="Times New Roman"/>
                <w:i/>
                <w:iCs/>
                <w:lang w:eastAsia="cs-CZ"/>
              </w:rPr>
              <w:t>Ústřední orgán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EAD4C4A" w14:textId="7446948D" w:rsidR="00940A9F" w:rsidRPr="00242E47" w:rsidRDefault="00940A9F" w:rsidP="0029449F">
            <w:pPr>
              <w:spacing w:before="27" w:after="27"/>
              <w:jc w:val="right"/>
              <w:rPr>
                <w:rFonts w:eastAsia="Times New Roman" w:cs="Times New Roman"/>
                <w:i/>
                <w:iCs/>
                <w:lang w:eastAsia="cs-CZ"/>
              </w:rPr>
            </w:pPr>
            <w:r w:rsidRPr="00242E47">
              <w:rPr>
                <w:rFonts w:eastAsia="Times New Roman" w:cs="Times New Roman"/>
                <w:i/>
                <w:iCs/>
                <w:lang w:eastAsia="cs-CZ"/>
              </w:rPr>
              <w:t xml:space="preserve">1 </w:t>
            </w:r>
            <w:r w:rsidR="00242E47" w:rsidRPr="00242E47">
              <w:rPr>
                <w:rFonts w:eastAsia="Times New Roman" w:cs="Times New Roman"/>
                <w:i/>
                <w:iCs/>
                <w:lang w:eastAsia="cs-CZ"/>
              </w:rPr>
              <w:t>865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95476C5" w14:textId="77777777" w:rsidR="00940A9F" w:rsidRPr="00242E47" w:rsidRDefault="00940A9F" w:rsidP="0029449F">
            <w:pPr>
              <w:spacing w:before="27" w:after="27"/>
              <w:jc w:val="right"/>
              <w:rPr>
                <w:rFonts w:eastAsia="Times New Roman" w:cs="Times New Roman"/>
                <w:i/>
                <w:iCs/>
                <w:lang w:eastAsia="cs-CZ"/>
              </w:rPr>
            </w:pPr>
            <w:r w:rsidRPr="00242E47">
              <w:rPr>
                <w:rFonts w:eastAsia="Times New Roman" w:cs="Times New Roman"/>
                <w:i/>
                <w:i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585D2CC5" w14:textId="663BF72A" w:rsidR="00940A9F" w:rsidRPr="00242E47" w:rsidRDefault="00940A9F" w:rsidP="0029449F">
            <w:pPr>
              <w:spacing w:before="27" w:after="27"/>
              <w:jc w:val="right"/>
              <w:rPr>
                <w:rFonts w:eastAsia="Times New Roman" w:cs="Times New Roman"/>
                <w:b/>
                <w:i/>
                <w:iCs/>
                <w:lang w:eastAsia="cs-CZ"/>
              </w:rPr>
            </w:pPr>
            <w:r w:rsidRPr="00242E47">
              <w:rPr>
                <w:rFonts w:eastAsia="Times New Roman" w:cs="Times New Roman"/>
                <w:b/>
                <w:i/>
                <w:iCs/>
                <w:lang w:eastAsia="cs-CZ"/>
              </w:rPr>
              <w:t xml:space="preserve">1 </w:t>
            </w:r>
            <w:r w:rsidR="00242E47" w:rsidRPr="00242E47">
              <w:rPr>
                <w:rFonts w:eastAsia="Times New Roman" w:cs="Times New Roman"/>
                <w:b/>
                <w:i/>
                <w:iCs/>
                <w:lang w:eastAsia="cs-CZ"/>
              </w:rPr>
              <w:t>865</w:t>
            </w:r>
          </w:p>
        </w:tc>
      </w:tr>
      <w:tr w:rsidR="00940A9F" w:rsidRPr="00242E47" w14:paraId="19DBE51D" w14:textId="77777777" w:rsidTr="0029449F">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4E7B7CE" w14:textId="58CAFE65" w:rsidR="00940A9F" w:rsidRPr="00242E47" w:rsidRDefault="00242E47" w:rsidP="0029449F">
            <w:pPr>
              <w:spacing w:before="27" w:after="27"/>
              <w:rPr>
                <w:rFonts w:eastAsia="Times New Roman" w:cs="Times New Roman"/>
                <w:lang w:eastAsia="cs-CZ"/>
              </w:rPr>
            </w:pPr>
            <w:r w:rsidRPr="00242E47">
              <w:rPr>
                <w:rFonts w:eastAsia="Times New Roman" w:cs="Times New Roman"/>
                <w:i/>
                <w:iCs/>
                <w:lang w:eastAsia="cs-CZ"/>
              </w:rPr>
              <w:t>Ústecký kraj</w:t>
            </w:r>
            <w:r w:rsidR="005D5DCA" w:rsidRPr="00242E47">
              <w:rPr>
                <w:rFonts w:eastAsia="Times New Roman" w:cs="Times New Roman"/>
                <w:i/>
                <w:iCs/>
                <w:lang w:eastAsia="cs-CZ"/>
              </w:rPr>
              <w:t xml:space="preserve">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883219F" w14:textId="1A5FC090" w:rsidR="00940A9F" w:rsidRPr="00242E47" w:rsidRDefault="00940A9F" w:rsidP="0029449F">
            <w:pPr>
              <w:spacing w:before="27" w:after="27"/>
              <w:jc w:val="right"/>
              <w:rPr>
                <w:rFonts w:eastAsia="Times New Roman" w:cs="Times New Roman"/>
                <w:i/>
                <w:iCs/>
                <w:lang w:eastAsia="cs-CZ"/>
              </w:rPr>
            </w:pPr>
            <w:r w:rsidRPr="00242E47">
              <w:rPr>
                <w:rFonts w:eastAsia="Times New Roman" w:cs="Times New Roman"/>
                <w:i/>
                <w:iCs/>
                <w:lang w:eastAsia="cs-CZ"/>
              </w:rPr>
              <w:t xml:space="preserve">1 </w:t>
            </w:r>
            <w:r w:rsidR="00242E47" w:rsidRPr="00242E47">
              <w:rPr>
                <w:rFonts w:eastAsia="Times New Roman" w:cs="Times New Roman"/>
                <w:i/>
                <w:iCs/>
                <w:lang w:eastAsia="cs-CZ"/>
              </w:rPr>
              <w:t>620</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9AD84B0" w14:textId="77777777" w:rsidR="00940A9F" w:rsidRPr="00242E47" w:rsidRDefault="00940A9F" w:rsidP="0029449F">
            <w:pPr>
              <w:spacing w:before="27" w:after="27"/>
              <w:jc w:val="right"/>
              <w:rPr>
                <w:rFonts w:eastAsia="Times New Roman" w:cs="Times New Roman"/>
                <w:i/>
                <w:iCs/>
                <w:lang w:eastAsia="cs-CZ"/>
              </w:rPr>
            </w:pPr>
            <w:r w:rsidRPr="00242E47">
              <w:rPr>
                <w:rFonts w:eastAsia="Times New Roman" w:cs="Times New Roman"/>
                <w:i/>
                <w:iCs/>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00C8290F" w14:textId="231CEA54" w:rsidR="00940A9F" w:rsidRPr="00242E47" w:rsidRDefault="00242E47" w:rsidP="0029449F">
            <w:pPr>
              <w:spacing w:before="27" w:after="27"/>
              <w:jc w:val="right"/>
              <w:rPr>
                <w:rFonts w:eastAsia="Times New Roman" w:cs="Times New Roman"/>
                <w:b/>
                <w:i/>
                <w:iCs/>
                <w:lang w:eastAsia="cs-CZ"/>
              </w:rPr>
            </w:pPr>
            <w:r w:rsidRPr="00242E47">
              <w:rPr>
                <w:rFonts w:eastAsia="Times New Roman" w:cs="Times New Roman"/>
                <w:b/>
                <w:i/>
                <w:iCs/>
                <w:lang w:eastAsia="cs-CZ"/>
              </w:rPr>
              <w:t>1 620</w:t>
            </w:r>
          </w:p>
        </w:tc>
      </w:tr>
    </w:tbl>
    <w:p w14:paraId="0D10555A" w14:textId="77777777" w:rsidR="00B30FEB" w:rsidRPr="006A1C8D" w:rsidRDefault="00B30FEB" w:rsidP="00F9005B">
      <w:pPr>
        <w:pStyle w:val="Nadpis3"/>
        <w:spacing w:before="200"/>
      </w:pPr>
      <w:bookmarkStart w:id="284" w:name="_Toc115788002"/>
      <w:bookmarkStart w:id="285" w:name="_Toc179964115"/>
      <w:r w:rsidRPr="006A1C8D">
        <w:t>Nástroj pro oživení a odolnost (Recovery and Resilience Facility – RRF)</w:t>
      </w:r>
      <w:bookmarkEnd w:id="284"/>
      <w:bookmarkEnd w:id="285"/>
    </w:p>
    <w:p w14:paraId="50C99B6E" w14:textId="091B2D95" w:rsidR="00C600F0" w:rsidRPr="00D070B8" w:rsidRDefault="006A1C8D" w:rsidP="00F9005B">
      <w:pPr>
        <w:pStyle w:val="Styl1"/>
        <w:spacing w:before="200" w:after="200"/>
        <w:rPr>
          <w:highlight w:val="yellow"/>
        </w:rPr>
      </w:pPr>
      <w:r w:rsidRPr="002F256B">
        <w:t>Nástroj pro oživení a odolnost je nástroj EU, který vznikl v návaznosti na koronavirovou krizi v roce 2020. Jedná se o klíčový nástroj obnovy, která zahrnuje prostředky na obnovu ekonomiky a na zelenou a digitální transformaci. Národní plán obnovy (dále jen „NPO“) byl schválen usnesením vlády ČR č. 467 dne 17. 5. 2021 a následně 19. 7. také Evropskou komisí.</w:t>
      </w:r>
      <w:r>
        <w:t xml:space="preserve"> </w:t>
      </w:r>
      <w:r w:rsidRPr="002F256B">
        <w:t xml:space="preserve">Cílem </w:t>
      </w:r>
      <w:r>
        <w:t>NPO</w:t>
      </w:r>
      <w:r w:rsidRPr="002F256B">
        <w:t xml:space="preserve"> v rámci Next Generation EU je zmírnění dopadů krize v nejvíce zasažených regionech a odvětvích, přičemž tyto prostředky budou poskytovány formou grantů a půjček</w:t>
      </w:r>
      <w:r>
        <w:t>.</w:t>
      </w:r>
      <w:r w:rsidR="00C600F0" w:rsidRPr="00D070B8">
        <w:rPr>
          <w:highlight w:val="yellow"/>
        </w:rPr>
        <w:t xml:space="preserve"> </w:t>
      </w:r>
    </w:p>
    <w:p w14:paraId="615CA194" w14:textId="1B4F5615" w:rsidR="00C600F0" w:rsidRPr="006A1C8D" w:rsidRDefault="00C600F0" w:rsidP="00F9005B">
      <w:pPr>
        <w:pStyle w:val="Styl1"/>
        <w:spacing w:before="200" w:after="200"/>
      </w:pPr>
      <w:r w:rsidRPr="006A1C8D">
        <w:lastRenderedPageBreak/>
        <w:t>Komponenta 4.1 je sou</w:t>
      </w:r>
      <w:r w:rsidRPr="006A1C8D">
        <w:rPr>
          <w:rFonts w:hint="eastAsia"/>
        </w:rPr>
        <w:t>čá</w:t>
      </w:r>
      <w:r w:rsidRPr="006A1C8D">
        <w:t>st</w:t>
      </w:r>
      <w:r w:rsidRPr="006A1C8D">
        <w:rPr>
          <w:rFonts w:hint="eastAsia"/>
        </w:rPr>
        <w:t>í</w:t>
      </w:r>
      <w:r w:rsidRPr="006A1C8D">
        <w:t xml:space="preserve"> 4. pil</w:t>
      </w:r>
      <w:r w:rsidRPr="006A1C8D">
        <w:rPr>
          <w:rFonts w:hint="eastAsia"/>
        </w:rPr>
        <w:t>íř</w:t>
      </w:r>
      <w:r w:rsidRPr="006A1C8D">
        <w:t>e N</w:t>
      </w:r>
      <w:r w:rsidRPr="006A1C8D">
        <w:rPr>
          <w:rFonts w:hint="eastAsia"/>
        </w:rPr>
        <w:t>á</w:t>
      </w:r>
      <w:r w:rsidRPr="006A1C8D">
        <w:t>rodn</w:t>
      </w:r>
      <w:r w:rsidRPr="006A1C8D">
        <w:rPr>
          <w:rFonts w:hint="eastAsia"/>
        </w:rPr>
        <w:t>í</w:t>
      </w:r>
      <w:r w:rsidRPr="006A1C8D">
        <w:t>ho pl</w:t>
      </w:r>
      <w:r w:rsidRPr="006A1C8D">
        <w:rPr>
          <w:rFonts w:hint="eastAsia"/>
        </w:rPr>
        <w:t>á</w:t>
      </w:r>
      <w:r w:rsidRPr="006A1C8D">
        <w:t xml:space="preserve">nu </w:t>
      </w:r>
      <w:r w:rsidR="00720B18" w:rsidRPr="006A1C8D">
        <w:t>obnovy – Instituce</w:t>
      </w:r>
      <w:r w:rsidRPr="006A1C8D">
        <w:t>, regulace a podpora podnikání v reakci na Covid. C</w:t>
      </w:r>
      <w:r w:rsidRPr="006A1C8D">
        <w:rPr>
          <w:rFonts w:hint="eastAsia"/>
        </w:rPr>
        <w:t>í</w:t>
      </w:r>
      <w:r w:rsidRPr="006A1C8D">
        <w:t xml:space="preserve">lem komponenty je pomocí cíleného upskillingu a koordinace propojovat subjekty, které mohou v rámci investování spolupracovat, monitorovat dobrou a špatnou praxi v rámci investování, na </w:t>
      </w:r>
      <w:r w:rsidR="00720B18" w:rsidRPr="006A1C8D">
        <w:t>základě,</w:t>
      </w:r>
      <w:r w:rsidRPr="006A1C8D">
        <w:t> které pak mohou novým investorům dávat tipy a doporučení. Zároveň bude možné určit prioritní projekty a projekty reagující na výzvy Evropské unie. Dojde tedy k vyšší a kvalitnější připravenosti projektů, jejich lepšímu zacílení a zajištění metodické koordinace.</w:t>
      </w:r>
    </w:p>
    <w:p w14:paraId="741CA551" w14:textId="4B0E91A0" w:rsidR="00113DCA" w:rsidRPr="006A1C8D" w:rsidRDefault="00113DCA" w:rsidP="00113DCA">
      <w:pPr>
        <w:pStyle w:val="Titulek"/>
        <w:rPr>
          <w:noProof/>
        </w:rPr>
      </w:pPr>
      <w:r w:rsidRPr="006A1C8D">
        <w:t xml:space="preserve">Tabulka č. </w:t>
      </w:r>
      <w:r w:rsidR="001F0CDB" w:rsidRPr="006A1C8D">
        <w:rPr>
          <w:noProof/>
        </w:rPr>
        <w:fldChar w:fldCharType="begin"/>
      </w:r>
      <w:r w:rsidR="001F0CDB" w:rsidRPr="006A1C8D">
        <w:rPr>
          <w:noProof/>
        </w:rPr>
        <w:instrText xml:space="preserve"> SEQ Tabulka \* ARABIC </w:instrText>
      </w:r>
      <w:r w:rsidR="001F0CDB" w:rsidRPr="006A1C8D">
        <w:rPr>
          <w:noProof/>
        </w:rPr>
        <w:fldChar w:fldCharType="separate"/>
      </w:r>
      <w:r w:rsidR="005B73C0">
        <w:rPr>
          <w:noProof/>
        </w:rPr>
        <w:t>61</w:t>
      </w:r>
      <w:r w:rsidR="001F0CDB" w:rsidRPr="006A1C8D">
        <w:rPr>
          <w:noProof/>
        </w:rPr>
        <w:fldChar w:fldCharType="end"/>
      </w:r>
      <w:r w:rsidRPr="006A1C8D">
        <w:t xml:space="preserve"> </w:t>
      </w:r>
      <w:r w:rsidR="00AC3FCF" w:rsidRPr="006A1C8D">
        <w:rPr>
          <w:noProof/>
        </w:rPr>
        <w:t>Facilita na podporu oživení a odolnosti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2444B3" w:rsidRPr="006A1C8D" w14:paraId="42D54B25" w14:textId="77777777" w:rsidTr="0029449F">
        <w:trPr>
          <w:trHeight w:val="494"/>
          <w:tblHeader/>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58365FB" w14:textId="77777777" w:rsidR="002444B3" w:rsidRPr="006A1C8D" w:rsidRDefault="002444B3" w:rsidP="0029449F">
            <w:pPr>
              <w:spacing w:before="27" w:after="27"/>
              <w:rPr>
                <w:rFonts w:eastAsia="Times New Roman" w:cs="Times New Roman"/>
                <w:b/>
                <w:lang w:eastAsia="cs-CZ"/>
              </w:rPr>
            </w:pPr>
            <w:r w:rsidRPr="006A1C8D">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CEC131F" w14:textId="77777777" w:rsidR="002444B3" w:rsidRPr="006A1C8D" w:rsidRDefault="002444B3" w:rsidP="0029449F">
            <w:pPr>
              <w:spacing w:before="27" w:after="27"/>
              <w:ind w:firstLine="366"/>
              <w:rPr>
                <w:rFonts w:eastAsia="Times New Roman" w:cs="Times New Roman"/>
                <w:b/>
                <w:lang w:eastAsia="cs-CZ"/>
              </w:rPr>
            </w:pPr>
            <w:r w:rsidRPr="006A1C8D">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A643EF" w14:textId="77777777" w:rsidR="002444B3" w:rsidRPr="006A1C8D" w:rsidRDefault="002444B3" w:rsidP="0029449F">
            <w:pPr>
              <w:spacing w:before="27" w:after="27"/>
              <w:ind w:firstLine="366"/>
              <w:rPr>
                <w:rFonts w:eastAsia="Times New Roman" w:cs="Times New Roman"/>
                <w:b/>
                <w:lang w:eastAsia="cs-CZ"/>
              </w:rPr>
            </w:pPr>
            <w:r w:rsidRPr="006A1C8D">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0890018" w14:textId="77777777" w:rsidR="002444B3" w:rsidRPr="006A1C8D" w:rsidRDefault="002444B3" w:rsidP="0029449F">
            <w:pPr>
              <w:spacing w:before="27" w:after="27"/>
              <w:jc w:val="center"/>
              <w:rPr>
                <w:rFonts w:eastAsia="Times New Roman" w:cs="Times New Roman"/>
                <w:b/>
                <w:lang w:eastAsia="cs-CZ"/>
              </w:rPr>
            </w:pPr>
            <w:r w:rsidRPr="006A1C8D">
              <w:rPr>
                <w:rFonts w:eastAsia="Times New Roman" w:cs="Times New Roman"/>
                <w:b/>
                <w:lang w:eastAsia="cs-CZ"/>
              </w:rPr>
              <w:t>Celkem</w:t>
            </w:r>
          </w:p>
        </w:tc>
      </w:tr>
      <w:tr w:rsidR="002444B3" w:rsidRPr="006A1C8D" w14:paraId="672C8E9A" w14:textId="77777777" w:rsidTr="0029449F">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14:paraId="0BB0ADA6" w14:textId="77777777" w:rsidR="002444B3" w:rsidRPr="006A1C8D" w:rsidRDefault="002444B3" w:rsidP="0029449F">
            <w:pPr>
              <w:spacing w:before="27" w:after="27"/>
              <w:rPr>
                <w:rFonts w:eastAsia="Times New Roman" w:cs="Times New Roman"/>
                <w:color w:val="FF0000"/>
                <w:lang w:eastAsia="cs-CZ"/>
              </w:rPr>
            </w:pPr>
            <w:r w:rsidRPr="006A1C8D">
              <w:rPr>
                <w:rFonts w:eastAsia="Times New Roman" w:cs="Times New Roman"/>
                <w:lang w:eastAsia="cs-CZ"/>
              </w:rPr>
              <w:t>Facilita na podporu oživení a odolnosti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4027FAA" w14:textId="72F70C4B" w:rsidR="002444B3" w:rsidRPr="006A1C8D" w:rsidRDefault="002444B3" w:rsidP="0029449F">
            <w:pPr>
              <w:spacing w:before="27" w:after="27"/>
              <w:jc w:val="right"/>
              <w:rPr>
                <w:rFonts w:eastAsia="Times New Roman" w:cs="Times New Roman"/>
                <w:lang w:eastAsia="cs-CZ"/>
              </w:rPr>
            </w:pPr>
            <w:r w:rsidRPr="006A1C8D">
              <w:rPr>
                <w:rFonts w:eastAsia="Times New Roman" w:cs="Times New Roman"/>
                <w:lang w:eastAsia="cs-CZ"/>
              </w:rPr>
              <w:t xml:space="preserve">7 </w:t>
            </w:r>
            <w:r w:rsidR="006A1C8D" w:rsidRPr="006A1C8D">
              <w:rPr>
                <w:rFonts w:eastAsia="Times New Roman" w:cs="Times New Roman"/>
                <w:lang w:eastAsia="cs-CZ"/>
              </w:rPr>
              <w:t>71</w:t>
            </w:r>
            <w:r w:rsidRPr="006A1C8D">
              <w:rPr>
                <w:rFonts w:eastAsia="Times New Roman" w:cs="Times New Roman"/>
                <w:lang w:eastAsia="cs-CZ"/>
              </w:rPr>
              <w:t>7</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EE865BD" w14:textId="77777777" w:rsidR="002444B3" w:rsidRPr="006A1C8D" w:rsidRDefault="002444B3" w:rsidP="0029449F">
            <w:pPr>
              <w:spacing w:before="27" w:after="27"/>
              <w:jc w:val="right"/>
              <w:rPr>
                <w:rFonts w:eastAsia="Times New Roman" w:cs="Times New Roman"/>
                <w:lang w:eastAsia="cs-CZ"/>
              </w:rPr>
            </w:pPr>
            <w:r w:rsidRPr="006A1C8D">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7493DA59" w14:textId="163B14E8" w:rsidR="002444B3" w:rsidRPr="006A1C8D" w:rsidRDefault="002444B3" w:rsidP="0029449F">
            <w:pPr>
              <w:spacing w:before="27" w:after="27"/>
              <w:jc w:val="right"/>
              <w:rPr>
                <w:rFonts w:eastAsia="Times New Roman" w:cs="Times New Roman"/>
                <w:b/>
                <w:lang w:eastAsia="cs-CZ"/>
              </w:rPr>
            </w:pPr>
            <w:r w:rsidRPr="006A1C8D">
              <w:rPr>
                <w:rFonts w:eastAsia="Times New Roman" w:cs="Times New Roman"/>
                <w:b/>
                <w:lang w:eastAsia="cs-CZ"/>
              </w:rPr>
              <w:t xml:space="preserve">7 </w:t>
            </w:r>
            <w:r w:rsidR="006A1C8D" w:rsidRPr="006A1C8D">
              <w:rPr>
                <w:rFonts w:eastAsia="Times New Roman" w:cs="Times New Roman"/>
                <w:b/>
                <w:lang w:eastAsia="cs-CZ"/>
              </w:rPr>
              <w:t>71</w:t>
            </w:r>
            <w:r w:rsidRPr="006A1C8D">
              <w:rPr>
                <w:rFonts w:eastAsia="Times New Roman" w:cs="Times New Roman"/>
                <w:b/>
                <w:lang w:eastAsia="cs-CZ"/>
              </w:rPr>
              <w:t>7</w:t>
            </w:r>
          </w:p>
        </w:tc>
      </w:tr>
    </w:tbl>
    <w:p w14:paraId="4AC9B54D" w14:textId="7EFEB08A" w:rsidR="00DE33A9" w:rsidRPr="00AD301D" w:rsidRDefault="00DE33A9" w:rsidP="00F9005B">
      <w:pPr>
        <w:pStyle w:val="Nadpis3"/>
        <w:spacing w:before="200"/>
      </w:pPr>
      <w:bookmarkStart w:id="286" w:name="_Toc115787414"/>
      <w:bookmarkStart w:id="287" w:name="_Toc115788004"/>
      <w:bookmarkStart w:id="288" w:name="_Toc115787415"/>
      <w:bookmarkStart w:id="289" w:name="_Toc115788005"/>
      <w:bookmarkStart w:id="290" w:name="_Toc115788006"/>
      <w:bookmarkStart w:id="291" w:name="_Toc21609498"/>
      <w:bookmarkStart w:id="292" w:name="_Toc179964116"/>
      <w:bookmarkEnd w:id="286"/>
      <w:bookmarkEnd w:id="287"/>
      <w:bookmarkEnd w:id="288"/>
      <w:bookmarkEnd w:id="289"/>
      <w:r w:rsidRPr="00AD301D">
        <w:t>Rozdělení prostředků EU a podílu SR dle jednotlivých programů na rok 202</w:t>
      </w:r>
      <w:bookmarkEnd w:id="290"/>
      <w:r w:rsidR="000474B6" w:rsidRPr="00AD301D">
        <w:t>5</w:t>
      </w:r>
      <w:bookmarkEnd w:id="292"/>
    </w:p>
    <w:p w14:paraId="29698689" w14:textId="54D14BBA" w:rsidR="008B1B5D" w:rsidRPr="00AD301D" w:rsidRDefault="00FE19C7" w:rsidP="00F9005B">
      <w:pPr>
        <w:pStyle w:val="Styl1"/>
        <w:spacing w:before="200" w:after="200"/>
        <w:rPr>
          <w:color w:val="FF0000"/>
        </w:rPr>
      </w:pPr>
      <w:r w:rsidRPr="00AD301D">
        <w:t>V následující tabulce je uvedena výše prostředků podle jednotlivých zdrojů EU navrhovaných pro rok 202</w:t>
      </w:r>
      <w:r w:rsidR="00AD301D" w:rsidRPr="00AD301D">
        <w:t>5</w:t>
      </w:r>
      <w:r w:rsidRPr="00AD301D">
        <w:t xml:space="preserve"> a výše prostředků určená na spolufinancování prostřednictvím kapitoly 327 MD.</w:t>
      </w:r>
    </w:p>
    <w:p w14:paraId="505B10A8" w14:textId="55A20B0A" w:rsidR="008B1B5D" w:rsidRPr="00AD301D" w:rsidRDefault="008B1B5D" w:rsidP="008B1B5D">
      <w:pPr>
        <w:pStyle w:val="Titulek"/>
        <w:rPr>
          <w:noProof/>
          <w:color w:val="FF0000"/>
        </w:rPr>
      </w:pPr>
      <w:r w:rsidRPr="00AD301D">
        <w:t xml:space="preserve">Tabulka č. </w:t>
      </w:r>
      <w:r w:rsidR="001F0CDB" w:rsidRPr="00AD301D">
        <w:rPr>
          <w:noProof/>
        </w:rPr>
        <w:fldChar w:fldCharType="begin"/>
      </w:r>
      <w:r w:rsidR="001F0CDB" w:rsidRPr="00AD301D">
        <w:rPr>
          <w:noProof/>
        </w:rPr>
        <w:instrText xml:space="preserve"> SEQ Tabulka \* ARABIC </w:instrText>
      </w:r>
      <w:r w:rsidR="001F0CDB" w:rsidRPr="00AD301D">
        <w:rPr>
          <w:noProof/>
        </w:rPr>
        <w:fldChar w:fldCharType="separate"/>
      </w:r>
      <w:r w:rsidR="005B73C0">
        <w:rPr>
          <w:noProof/>
        </w:rPr>
        <w:t>62</w:t>
      </w:r>
      <w:r w:rsidR="001F0CDB" w:rsidRPr="00AD301D">
        <w:rPr>
          <w:noProof/>
        </w:rPr>
        <w:fldChar w:fldCharType="end"/>
      </w:r>
      <w:r w:rsidR="001F0CDB" w:rsidRPr="00AD301D">
        <w:rPr>
          <w:noProof/>
        </w:rPr>
        <w:t xml:space="preserve"> </w:t>
      </w:r>
      <w:r w:rsidR="006F1C38" w:rsidRPr="00AD301D">
        <w:rPr>
          <w:noProof/>
        </w:rPr>
        <w:t>Přehled celkových prostředků fondů EU (v tis. Kč)</w:t>
      </w:r>
    </w:p>
    <w:tbl>
      <w:tblPr>
        <w:tblStyle w:val="Prosttabulka2"/>
        <w:tblW w:w="8500"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957"/>
        <w:gridCol w:w="1984"/>
        <w:gridCol w:w="1559"/>
      </w:tblGrid>
      <w:tr w:rsidR="00B12A55" w:rsidRPr="00D070B8" w14:paraId="4DF8722B" w14:textId="77777777" w:rsidTr="0029449F">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957" w:type="dxa"/>
            <w:shd w:val="thinReverseDiagStripe" w:color="D9D9D9" w:themeColor="background1" w:themeShade="D9" w:fill="auto"/>
            <w:vAlign w:val="center"/>
          </w:tcPr>
          <w:p w14:paraId="3A4259A2" w14:textId="77777777" w:rsidR="00B12A55" w:rsidRPr="00AD301D" w:rsidRDefault="00B12A55" w:rsidP="0029449F">
            <w:pPr>
              <w:spacing w:before="81"/>
              <w:jc w:val="center"/>
              <w:rPr>
                <w:b/>
                <w:bCs/>
              </w:rPr>
            </w:pPr>
            <w:r w:rsidRPr="00AD301D">
              <w:rPr>
                <w:b/>
                <w:bCs/>
              </w:rPr>
              <w:t>Titul</w:t>
            </w:r>
          </w:p>
        </w:tc>
        <w:tc>
          <w:tcPr>
            <w:cnfStyle w:val="000001000000" w:firstRow="0" w:lastRow="0" w:firstColumn="0" w:lastColumn="0" w:oddVBand="0" w:evenVBand="1" w:oddHBand="0" w:evenHBand="0" w:firstRowFirstColumn="0" w:firstRowLastColumn="0" w:lastRowFirstColumn="0" w:lastRowLastColumn="0"/>
            <w:tcW w:w="1984" w:type="dxa"/>
            <w:shd w:val="thinReverseDiagStripe" w:color="D9D9D9" w:themeColor="background1" w:themeShade="D9" w:fill="auto"/>
            <w:vAlign w:val="center"/>
          </w:tcPr>
          <w:p w14:paraId="1E756BE1" w14:textId="77777777" w:rsidR="00B12A55" w:rsidRPr="00AD301D" w:rsidRDefault="00B12A55" w:rsidP="0029449F">
            <w:pPr>
              <w:spacing w:before="81"/>
              <w:jc w:val="center"/>
              <w:rPr>
                <w:b/>
                <w:bCs/>
              </w:rPr>
            </w:pPr>
            <w:r w:rsidRPr="00AD301D">
              <w:rPr>
                <w:b/>
                <w:bCs/>
              </w:rPr>
              <w:t>EU</w:t>
            </w:r>
          </w:p>
        </w:tc>
        <w:tc>
          <w:tcPr>
            <w:cnfStyle w:val="000010000000" w:firstRow="0" w:lastRow="0" w:firstColumn="0" w:lastColumn="0" w:oddVBand="1" w:evenVBand="0" w:oddHBand="0" w:evenHBand="0" w:firstRowFirstColumn="0" w:firstRowLastColumn="0" w:lastRowFirstColumn="0" w:lastRowLastColumn="0"/>
            <w:tcW w:w="1559" w:type="dxa"/>
            <w:shd w:val="thinReverseDiagStripe" w:color="D9D9D9" w:themeColor="background1" w:themeShade="D9" w:fill="auto"/>
          </w:tcPr>
          <w:p w14:paraId="19B849EB" w14:textId="77777777" w:rsidR="00B12A55" w:rsidRPr="00AD301D" w:rsidRDefault="00B12A55" w:rsidP="0029449F">
            <w:pPr>
              <w:spacing w:before="81"/>
              <w:jc w:val="center"/>
              <w:rPr>
                <w:b/>
                <w:bCs/>
              </w:rPr>
            </w:pPr>
            <w:r w:rsidRPr="00AD301D">
              <w:rPr>
                <w:b/>
                <w:bCs/>
              </w:rPr>
              <w:t>SR</w:t>
            </w:r>
          </w:p>
        </w:tc>
      </w:tr>
      <w:tr w:rsidR="00AD301D" w:rsidRPr="00D070B8" w14:paraId="4A42024D" w14:textId="77777777" w:rsidTr="0029449F">
        <w:trPr>
          <w:trHeight w:val="452"/>
        </w:trPr>
        <w:tc>
          <w:tcPr>
            <w:cnfStyle w:val="000010000000" w:firstRow="0" w:lastRow="0" w:firstColumn="0" w:lastColumn="0" w:oddVBand="1" w:evenVBand="0" w:oddHBand="0" w:evenHBand="0" w:firstRowFirstColumn="0" w:firstRowLastColumn="0" w:lastRowFirstColumn="0" w:lastRowLastColumn="0"/>
            <w:tcW w:w="4957" w:type="dxa"/>
          </w:tcPr>
          <w:p w14:paraId="4F40C57F" w14:textId="77777777" w:rsidR="00AD301D" w:rsidRPr="00AD301D" w:rsidRDefault="00AD301D" w:rsidP="00AD301D">
            <w:pPr>
              <w:spacing w:before="81"/>
              <w:rPr>
                <w:b/>
                <w:bCs/>
                <w:sz w:val="26"/>
                <w:szCs w:val="26"/>
              </w:rPr>
            </w:pPr>
            <w:r w:rsidRPr="00AD301D">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984" w:type="dxa"/>
          </w:tcPr>
          <w:p w14:paraId="02E565DE" w14:textId="330FC6DC" w:rsidR="00AD301D" w:rsidRPr="00D070B8" w:rsidRDefault="00AD301D" w:rsidP="00AD301D">
            <w:pPr>
              <w:tabs>
                <w:tab w:val="left" w:pos="0"/>
              </w:tabs>
              <w:spacing w:before="81"/>
              <w:jc w:val="right"/>
              <w:rPr>
                <w:b/>
                <w:bCs/>
                <w:sz w:val="26"/>
                <w:szCs w:val="26"/>
                <w:highlight w:val="yellow"/>
              </w:rPr>
            </w:pPr>
            <w:r>
              <w:rPr>
                <w:b/>
                <w:bCs/>
                <w:sz w:val="26"/>
                <w:szCs w:val="26"/>
              </w:rPr>
              <w:t>37 491 386</w:t>
            </w:r>
          </w:p>
        </w:tc>
        <w:tc>
          <w:tcPr>
            <w:cnfStyle w:val="000010000000" w:firstRow="0" w:lastRow="0" w:firstColumn="0" w:lastColumn="0" w:oddVBand="1" w:evenVBand="0" w:oddHBand="0" w:evenHBand="0" w:firstRowFirstColumn="0" w:firstRowLastColumn="0" w:lastRowFirstColumn="0" w:lastRowLastColumn="0"/>
            <w:tcW w:w="1559" w:type="dxa"/>
          </w:tcPr>
          <w:p w14:paraId="3581A920" w14:textId="6351CAF7" w:rsidR="00AD301D" w:rsidRPr="00D070B8" w:rsidRDefault="00AD301D" w:rsidP="00AD301D">
            <w:pPr>
              <w:tabs>
                <w:tab w:val="left" w:pos="0"/>
              </w:tabs>
              <w:spacing w:before="81"/>
              <w:jc w:val="right"/>
              <w:rPr>
                <w:b/>
                <w:bCs/>
                <w:sz w:val="26"/>
                <w:szCs w:val="26"/>
                <w:highlight w:val="yellow"/>
              </w:rPr>
            </w:pPr>
            <w:r>
              <w:rPr>
                <w:b/>
                <w:bCs/>
                <w:sz w:val="26"/>
                <w:szCs w:val="26"/>
              </w:rPr>
              <w:t>16 075</w:t>
            </w:r>
          </w:p>
        </w:tc>
      </w:tr>
      <w:tr w:rsidR="00AD301D" w:rsidRPr="00D070B8" w14:paraId="0AA47965" w14:textId="77777777" w:rsidTr="0029449F">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6B637443" w14:textId="1BB494E5" w:rsidR="00AD301D" w:rsidRPr="00AD301D" w:rsidRDefault="00AD301D" w:rsidP="00AD301D">
            <w:pPr>
              <w:rPr>
                <w:b/>
              </w:rPr>
            </w:pPr>
            <w:r w:rsidRPr="00AD301D">
              <w:rPr>
                <w:b/>
              </w:rPr>
              <w:t>Programové období 2021–2027 v tom:</w:t>
            </w:r>
          </w:p>
        </w:tc>
        <w:tc>
          <w:tcPr>
            <w:cnfStyle w:val="000001000000" w:firstRow="0" w:lastRow="0" w:firstColumn="0" w:lastColumn="0" w:oddVBand="0" w:evenVBand="1" w:oddHBand="0" w:evenHBand="0" w:firstRowFirstColumn="0" w:firstRowLastColumn="0" w:lastRowFirstColumn="0" w:lastRowLastColumn="0"/>
            <w:tcW w:w="1984" w:type="dxa"/>
          </w:tcPr>
          <w:p w14:paraId="61701DD5" w14:textId="60CD59E4" w:rsidR="00AD301D" w:rsidRPr="00D070B8" w:rsidRDefault="00AD301D" w:rsidP="00AD301D">
            <w:pPr>
              <w:jc w:val="right"/>
              <w:rPr>
                <w:b/>
                <w:highlight w:val="yellow"/>
              </w:rPr>
            </w:pPr>
            <w:r>
              <w:rPr>
                <w:b/>
              </w:rPr>
              <w:t>37 491 386</w:t>
            </w:r>
            <w:r w:rsidRPr="00D81B1E">
              <w:rPr>
                <w:b/>
              </w:rPr>
              <w:t xml:space="preserve"> </w:t>
            </w:r>
          </w:p>
        </w:tc>
        <w:tc>
          <w:tcPr>
            <w:cnfStyle w:val="000010000000" w:firstRow="0" w:lastRow="0" w:firstColumn="0" w:lastColumn="0" w:oddVBand="1" w:evenVBand="0" w:oddHBand="0" w:evenHBand="0" w:firstRowFirstColumn="0" w:firstRowLastColumn="0" w:lastRowFirstColumn="0" w:lastRowLastColumn="0"/>
            <w:tcW w:w="1559" w:type="dxa"/>
          </w:tcPr>
          <w:p w14:paraId="25355902" w14:textId="18363809" w:rsidR="00AD301D" w:rsidRPr="00D070B8" w:rsidRDefault="00AD301D" w:rsidP="00AD301D">
            <w:pPr>
              <w:jc w:val="right"/>
              <w:rPr>
                <w:b/>
                <w:highlight w:val="yellow"/>
              </w:rPr>
            </w:pPr>
            <w:r>
              <w:rPr>
                <w:b/>
              </w:rPr>
              <w:t>16 075</w:t>
            </w:r>
          </w:p>
        </w:tc>
      </w:tr>
      <w:tr w:rsidR="00AD301D" w:rsidRPr="00D070B8" w14:paraId="10BC2161" w14:textId="77777777" w:rsidTr="0029449F">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62D1DF19" w14:textId="77777777" w:rsidR="00AD301D" w:rsidRPr="00AD301D" w:rsidRDefault="00AD301D" w:rsidP="00AD301D">
            <w:r w:rsidRPr="00AD301D">
              <w:t>Program Doprava 2021 +v tom:</w:t>
            </w:r>
          </w:p>
        </w:tc>
        <w:tc>
          <w:tcPr>
            <w:cnfStyle w:val="000001000000" w:firstRow="0" w:lastRow="0" w:firstColumn="0" w:lastColumn="0" w:oddVBand="0" w:evenVBand="1" w:oddHBand="0" w:evenHBand="0" w:firstRowFirstColumn="0" w:firstRowLastColumn="0" w:lastRowFirstColumn="0" w:lastRowLastColumn="0"/>
            <w:tcW w:w="1984" w:type="dxa"/>
          </w:tcPr>
          <w:p w14:paraId="28689FE5" w14:textId="327332D6" w:rsidR="00AD301D" w:rsidRPr="00D070B8" w:rsidRDefault="00AD301D" w:rsidP="00AD301D">
            <w:pPr>
              <w:jc w:val="right"/>
              <w:rPr>
                <w:highlight w:val="yellow"/>
              </w:rPr>
            </w:pPr>
            <w:r>
              <w:t>30 360 113</w:t>
            </w:r>
            <w:r w:rsidRPr="00D81B1E">
              <w:t xml:space="preserve"> </w:t>
            </w:r>
          </w:p>
        </w:tc>
        <w:tc>
          <w:tcPr>
            <w:cnfStyle w:val="000010000000" w:firstRow="0" w:lastRow="0" w:firstColumn="0" w:lastColumn="0" w:oddVBand="1" w:evenVBand="0" w:oddHBand="0" w:evenHBand="0" w:firstRowFirstColumn="0" w:firstRowLastColumn="0" w:lastRowFirstColumn="0" w:lastRowLastColumn="0"/>
            <w:tcW w:w="1559" w:type="dxa"/>
          </w:tcPr>
          <w:p w14:paraId="50CAD78D" w14:textId="1AE6AFFC" w:rsidR="00AD301D" w:rsidRPr="00D070B8" w:rsidRDefault="00AD301D" w:rsidP="00AD301D">
            <w:pPr>
              <w:jc w:val="right"/>
              <w:rPr>
                <w:highlight w:val="yellow"/>
              </w:rPr>
            </w:pPr>
            <w:r w:rsidRPr="00D81B1E">
              <w:t>1</w:t>
            </w:r>
            <w:r>
              <w:t>2 622</w:t>
            </w:r>
          </w:p>
        </w:tc>
      </w:tr>
      <w:tr w:rsidR="00AD301D" w:rsidRPr="00D070B8" w14:paraId="29A1CA7B" w14:textId="77777777" w:rsidTr="0029449F">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1C5941F5" w14:textId="77777777" w:rsidR="00AD301D" w:rsidRPr="00AD301D" w:rsidRDefault="00AD301D" w:rsidP="00AD301D">
            <w:r w:rsidRPr="00AD301D">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984" w:type="dxa"/>
          </w:tcPr>
          <w:p w14:paraId="274424EE" w14:textId="7CE8D11C" w:rsidR="00AD301D" w:rsidRPr="00D070B8" w:rsidRDefault="00AD301D" w:rsidP="00AD301D">
            <w:pPr>
              <w:jc w:val="right"/>
              <w:rPr>
                <w:i/>
                <w:highlight w:val="yellow"/>
              </w:rPr>
            </w:pPr>
            <w:r>
              <w:rPr>
                <w:i/>
              </w:rPr>
              <w:t>27 713 403</w:t>
            </w:r>
          </w:p>
        </w:tc>
        <w:tc>
          <w:tcPr>
            <w:cnfStyle w:val="000010000000" w:firstRow="0" w:lastRow="0" w:firstColumn="0" w:lastColumn="0" w:oddVBand="1" w:evenVBand="0" w:oddHBand="0" w:evenHBand="0" w:firstRowFirstColumn="0" w:firstRowLastColumn="0" w:lastRowFirstColumn="0" w:lastRowLastColumn="0"/>
            <w:tcW w:w="1559" w:type="dxa"/>
          </w:tcPr>
          <w:p w14:paraId="7C497887" w14:textId="62BCCD96" w:rsidR="00AD301D" w:rsidRPr="00D070B8" w:rsidRDefault="00AD301D" w:rsidP="00AD301D">
            <w:pPr>
              <w:jc w:val="right"/>
              <w:rPr>
                <w:i/>
                <w:highlight w:val="yellow"/>
              </w:rPr>
            </w:pPr>
            <w:r>
              <w:rPr>
                <w:i/>
              </w:rPr>
              <w:t>12 622</w:t>
            </w:r>
          </w:p>
        </w:tc>
      </w:tr>
      <w:tr w:rsidR="00AD301D" w:rsidRPr="00D070B8" w14:paraId="27E65071" w14:textId="77777777" w:rsidTr="0029449F">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3EE198D7" w14:textId="77777777" w:rsidR="00AD301D" w:rsidRPr="00AD301D" w:rsidRDefault="00AD301D" w:rsidP="00AD301D">
            <w:r w:rsidRPr="00AD301D">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984" w:type="dxa"/>
          </w:tcPr>
          <w:p w14:paraId="6FB146DF" w14:textId="161BF817" w:rsidR="00AD301D" w:rsidRPr="00D070B8" w:rsidRDefault="00AD301D" w:rsidP="00AD301D">
            <w:pPr>
              <w:jc w:val="right"/>
              <w:rPr>
                <w:i/>
                <w:highlight w:val="yellow"/>
              </w:rPr>
            </w:pPr>
            <w:r w:rsidRPr="00D81B1E">
              <w:rPr>
                <w:i/>
              </w:rPr>
              <w:t>2</w:t>
            </w:r>
            <w:r>
              <w:rPr>
                <w:i/>
              </w:rPr>
              <w:t> 646 710</w:t>
            </w:r>
          </w:p>
        </w:tc>
        <w:tc>
          <w:tcPr>
            <w:cnfStyle w:val="000010000000" w:firstRow="0" w:lastRow="0" w:firstColumn="0" w:lastColumn="0" w:oddVBand="1" w:evenVBand="0" w:oddHBand="0" w:evenHBand="0" w:firstRowFirstColumn="0" w:firstRowLastColumn="0" w:lastRowFirstColumn="0" w:lastRowLastColumn="0"/>
            <w:tcW w:w="1559" w:type="dxa"/>
          </w:tcPr>
          <w:p w14:paraId="7EF8BFE2" w14:textId="62D4AF0B" w:rsidR="00AD301D" w:rsidRPr="00D070B8" w:rsidRDefault="00AD301D" w:rsidP="00AD301D">
            <w:pPr>
              <w:jc w:val="right"/>
              <w:rPr>
                <w:i/>
                <w:highlight w:val="yellow"/>
              </w:rPr>
            </w:pPr>
            <w:r w:rsidRPr="00D81B1E">
              <w:rPr>
                <w:i/>
              </w:rPr>
              <w:t>0</w:t>
            </w:r>
          </w:p>
        </w:tc>
      </w:tr>
      <w:tr w:rsidR="00AD301D" w:rsidRPr="00D070B8" w14:paraId="368C421E" w14:textId="77777777" w:rsidTr="0029449F">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49A8C4F5" w14:textId="77777777" w:rsidR="00AD301D" w:rsidRPr="00AD301D" w:rsidRDefault="00AD301D" w:rsidP="00AD301D">
            <w:r w:rsidRPr="00AD301D">
              <w:t>Komunitární programy</w:t>
            </w:r>
          </w:p>
        </w:tc>
        <w:tc>
          <w:tcPr>
            <w:cnfStyle w:val="000001000000" w:firstRow="0" w:lastRow="0" w:firstColumn="0" w:lastColumn="0" w:oddVBand="0" w:evenVBand="1" w:oddHBand="0" w:evenHBand="0" w:firstRowFirstColumn="0" w:firstRowLastColumn="0" w:lastRowFirstColumn="0" w:lastRowLastColumn="0"/>
            <w:tcW w:w="1984" w:type="dxa"/>
          </w:tcPr>
          <w:p w14:paraId="6A98D6E6" w14:textId="459DEBDD" w:rsidR="00AD301D" w:rsidRPr="00D070B8" w:rsidRDefault="00AD301D" w:rsidP="00AD301D">
            <w:pPr>
              <w:jc w:val="right"/>
              <w:rPr>
                <w:color w:val="FF0000"/>
                <w:highlight w:val="yellow"/>
              </w:rPr>
            </w:pPr>
            <w:r w:rsidRPr="00D81B1E">
              <w:t>7</w:t>
            </w:r>
            <w:r>
              <w:t> 123 556</w:t>
            </w:r>
          </w:p>
        </w:tc>
        <w:tc>
          <w:tcPr>
            <w:cnfStyle w:val="000010000000" w:firstRow="0" w:lastRow="0" w:firstColumn="0" w:lastColumn="0" w:oddVBand="1" w:evenVBand="0" w:oddHBand="0" w:evenHBand="0" w:firstRowFirstColumn="0" w:firstRowLastColumn="0" w:lastRowFirstColumn="0" w:lastRowLastColumn="0"/>
            <w:tcW w:w="1559" w:type="dxa"/>
          </w:tcPr>
          <w:p w14:paraId="047924FA" w14:textId="60568C36" w:rsidR="00AD301D" w:rsidRPr="00D070B8" w:rsidRDefault="00AD301D" w:rsidP="00AD301D">
            <w:pPr>
              <w:jc w:val="right"/>
              <w:rPr>
                <w:highlight w:val="yellow"/>
              </w:rPr>
            </w:pPr>
            <w:r>
              <w:t>3 453</w:t>
            </w:r>
          </w:p>
        </w:tc>
      </w:tr>
      <w:tr w:rsidR="00AD301D" w:rsidRPr="00D070B8" w14:paraId="776EA68F" w14:textId="77777777" w:rsidTr="0029449F">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3DD154B0" w14:textId="77777777" w:rsidR="00AD301D" w:rsidRPr="00AD301D" w:rsidRDefault="00AD301D" w:rsidP="00AD301D">
            <w:r w:rsidRPr="00AD301D">
              <w:t>Národní plán obnovy</w:t>
            </w:r>
          </w:p>
        </w:tc>
        <w:tc>
          <w:tcPr>
            <w:cnfStyle w:val="000001000000" w:firstRow="0" w:lastRow="0" w:firstColumn="0" w:lastColumn="0" w:oddVBand="0" w:evenVBand="1" w:oddHBand="0" w:evenHBand="0" w:firstRowFirstColumn="0" w:firstRowLastColumn="0" w:lastRowFirstColumn="0" w:lastRowLastColumn="0"/>
            <w:tcW w:w="1984" w:type="dxa"/>
          </w:tcPr>
          <w:p w14:paraId="22AAAAF9" w14:textId="0DDDB001" w:rsidR="00AD301D" w:rsidRPr="00D070B8" w:rsidRDefault="00AD301D" w:rsidP="00AD301D">
            <w:pPr>
              <w:jc w:val="right"/>
              <w:rPr>
                <w:highlight w:val="yellow"/>
              </w:rPr>
            </w:pPr>
            <w:r w:rsidRPr="002012F0">
              <w:t xml:space="preserve">7 </w:t>
            </w:r>
            <w:r>
              <w:t>71</w:t>
            </w:r>
            <w:r w:rsidRPr="002012F0">
              <w:t xml:space="preserve">7 </w:t>
            </w:r>
          </w:p>
        </w:tc>
        <w:tc>
          <w:tcPr>
            <w:cnfStyle w:val="000010000000" w:firstRow="0" w:lastRow="0" w:firstColumn="0" w:lastColumn="0" w:oddVBand="1" w:evenVBand="0" w:oddHBand="0" w:evenHBand="0" w:firstRowFirstColumn="0" w:firstRowLastColumn="0" w:lastRowFirstColumn="0" w:lastRowLastColumn="0"/>
            <w:tcW w:w="1559" w:type="dxa"/>
          </w:tcPr>
          <w:p w14:paraId="086DCD6E" w14:textId="33BF9DC8" w:rsidR="00AD301D" w:rsidRPr="00D070B8" w:rsidRDefault="00AD301D" w:rsidP="00AD301D">
            <w:pPr>
              <w:jc w:val="right"/>
              <w:rPr>
                <w:highlight w:val="yellow"/>
              </w:rPr>
            </w:pPr>
            <w:r w:rsidRPr="002012F0">
              <w:t>0</w:t>
            </w:r>
          </w:p>
        </w:tc>
      </w:tr>
    </w:tbl>
    <w:p w14:paraId="1B2AB2BE" w14:textId="77777777" w:rsidR="00552C2C" w:rsidRDefault="00552C2C" w:rsidP="0088307E">
      <w:pPr>
        <w:pStyle w:val="Titulek"/>
        <w:spacing w:before="0"/>
      </w:pPr>
      <w:bookmarkStart w:id="293" w:name="_Toc179888385"/>
    </w:p>
    <w:p w14:paraId="6D2BEB61" w14:textId="56C33DE7" w:rsidR="00316A6C" w:rsidRPr="006A5A62" w:rsidRDefault="00316A6C" w:rsidP="0088307E">
      <w:pPr>
        <w:pStyle w:val="Titulek"/>
        <w:spacing w:before="0"/>
        <w:rPr>
          <w:color w:val="FF0000"/>
        </w:rPr>
      </w:pPr>
      <w:r w:rsidRPr="00851A8D">
        <w:t xml:space="preserve">Graf č. </w:t>
      </w:r>
      <w:r w:rsidR="00696CFC" w:rsidRPr="00851A8D">
        <w:fldChar w:fldCharType="begin"/>
      </w:r>
      <w:r w:rsidR="00696CFC" w:rsidRPr="00851A8D">
        <w:instrText xml:space="preserve"> SEQ Graf_č. \* ARABIC </w:instrText>
      </w:r>
      <w:r w:rsidR="00696CFC" w:rsidRPr="00851A8D">
        <w:fldChar w:fldCharType="separate"/>
      </w:r>
      <w:r w:rsidR="003B0B01" w:rsidRPr="00851A8D">
        <w:rPr>
          <w:noProof/>
        </w:rPr>
        <w:t>9</w:t>
      </w:r>
      <w:r w:rsidR="00696CFC" w:rsidRPr="00851A8D">
        <w:rPr>
          <w:noProof/>
        </w:rPr>
        <w:fldChar w:fldCharType="end"/>
      </w:r>
      <w:r w:rsidRPr="00851A8D">
        <w:t xml:space="preserve"> Rozdělení prostředků z rozpočtu EU dle programů</w:t>
      </w:r>
      <w:bookmarkEnd w:id="291"/>
      <w:bookmarkEnd w:id="293"/>
    </w:p>
    <w:p w14:paraId="48F1EA9D" w14:textId="77777777" w:rsidR="00316A6C" w:rsidRPr="00AA1D3E" w:rsidRDefault="00316A6C" w:rsidP="00316A6C">
      <w:pPr>
        <w:keepNext/>
        <w:spacing w:before="240" w:after="120"/>
        <w:rPr>
          <w:rFonts w:eastAsia="Times New Roman" w:cs="Times New Roman"/>
          <w:b/>
          <w:bCs/>
          <w:color w:val="FF0000"/>
          <w:sz w:val="20"/>
          <w:szCs w:val="20"/>
          <w:lang w:eastAsia="cs-CZ"/>
        </w:rPr>
      </w:pPr>
      <w:r w:rsidRPr="00AA1D3E">
        <w:rPr>
          <w:noProof/>
          <w:color w:val="FF0000"/>
          <w:lang w:eastAsia="cs-CZ"/>
        </w:rPr>
        <w:drawing>
          <wp:inline distT="0" distB="0" distL="0" distR="0" wp14:anchorId="0F994152" wp14:editId="3E205780">
            <wp:extent cx="5760720" cy="2699385"/>
            <wp:effectExtent l="0" t="0" r="11430" b="952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3C264FA" w14:textId="77777777" w:rsidR="00A36B40" w:rsidRPr="008E2B2E" w:rsidRDefault="00A36B40" w:rsidP="007F51ED">
      <w:pPr>
        <w:pStyle w:val="Nadpis2"/>
        <w:ind w:left="578" w:hanging="578"/>
        <w:rPr>
          <w:color w:val="000000" w:themeColor="text1"/>
        </w:rPr>
      </w:pPr>
      <w:bookmarkStart w:id="294" w:name="_Toc179964117"/>
      <w:r w:rsidRPr="008E2B2E">
        <w:rPr>
          <w:color w:val="000000" w:themeColor="text1"/>
        </w:rPr>
        <w:t>Výdaje na výzkum, vývoj a inovace</w:t>
      </w:r>
      <w:bookmarkEnd w:id="278"/>
      <w:bookmarkEnd w:id="294"/>
    </w:p>
    <w:p w14:paraId="53A8796D" w14:textId="2C46D46C" w:rsidR="005779DE" w:rsidRPr="008E2B2E" w:rsidRDefault="00F96529" w:rsidP="005779DE">
      <w:pPr>
        <w:pStyle w:val="Styl1"/>
        <w:rPr>
          <w:color w:val="000000" w:themeColor="text1"/>
        </w:rPr>
      </w:pPr>
      <w:bookmarkStart w:id="295" w:name="_Toc462314413"/>
      <w:r w:rsidRPr="008E2B2E">
        <w:t>Pro rok 202</w:t>
      </w:r>
      <w:r w:rsidR="008E2B2E" w:rsidRPr="008E2B2E">
        <w:t>5</w:t>
      </w:r>
      <w:r w:rsidRPr="008E2B2E">
        <w:t xml:space="preserve"> jsou navrhovány výdaje na výzkum, vývoj a inovace ve výši </w:t>
      </w:r>
      <w:r w:rsidR="008E2B2E" w:rsidRPr="008E2B2E">
        <w:t>91 412</w:t>
      </w:r>
      <w:r w:rsidRPr="008E2B2E">
        <w:t xml:space="preserve"> tis Kč (neinvestiční prostředky </w:t>
      </w:r>
      <w:r w:rsidR="008E2B2E" w:rsidRPr="008E2B2E">
        <w:t>81 412</w:t>
      </w:r>
      <w:r w:rsidRPr="008E2B2E">
        <w:t xml:space="preserve"> tis. Kč a investiční prostředky </w:t>
      </w:r>
      <w:r w:rsidR="008E2B2E" w:rsidRPr="008E2B2E">
        <w:t>10 000</w:t>
      </w:r>
      <w:r w:rsidRPr="008E2B2E">
        <w:t xml:space="preserve"> tis. Kč), v plné výši jde </w:t>
      </w:r>
      <w:r w:rsidRPr="008E2B2E">
        <w:br/>
      </w:r>
      <w:r w:rsidRPr="008E2B2E">
        <w:rPr>
          <w:color w:val="000000" w:themeColor="text1"/>
        </w:rPr>
        <w:t>o institucionální podporu. Tyto výdaje jsou určeny pro veřejnou výzkumnou instituci Centrum dopravního výzkumu, jejímž zřizovatelem je Ministerstvo dopravy. Navrhovaná částka pro 202</w:t>
      </w:r>
      <w:r w:rsidR="008E2B2E">
        <w:rPr>
          <w:color w:val="000000" w:themeColor="text1"/>
        </w:rPr>
        <w:t>5</w:t>
      </w:r>
      <w:r w:rsidRPr="008E2B2E">
        <w:rPr>
          <w:color w:val="000000" w:themeColor="text1"/>
        </w:rPr>
        <w:t xml:space="preserve"> je </w:t>
      </w:r>
      <w:r w:rsidR="008E2B2E" w:rsidRPr="008E2B2E">
        <w:rPr>
          <w:color w:val="000000" w:themeColor="text1"/>
        </w:rPr>
        <w:t>o 3 515 tis. Kč v</w:t>
      </w:r>
      <w:r w:rsidR="008E2B2E">
        <w:rPr>
          <w:color w:val="000000" w:themeColor="text1"/>
        </w:rPr>
        <w:t>yšší</w:t>
      </w:r>
      <w:r w:rsidR="008E2B2E" w:rsidRPr="008E2B2E">
        <w:rPr>
          <w:color w:val="000000" w:themeColor="text1"/>
        </w:rPr>
        <w:t xml:space="preserve"> než ve schváleném rozpočtu na rok 2024 a je rozdělena na neinvestiční a investiční část.</w:t>
      </w:r>
      <w:r w:rsidRPr="008E2B2E">
        <w:rPr>
          <w:color w:val="000000" w:themeColor="text1"/>
        </w:rPr>
        <w:t xml:space="preserve"> </w:t>
      </w:r>
      <w:r w:rsidR="005D77E4" w:rsidRPr="008E2B2E">
        <w:rPr>
          <w:color w:val="000000" w:themeColor="text1"/>
        </w:rPr>
        <w:t xml:space="preserve"> </w:t>
      </w:r>
    </w:p>
    <w:p w14:paraId="4672F443" w14:textId="55EDC15A" w:rsidR="00D85755" w:rsidRPr="00B56D21" w:rsidRDefault="00D85755" w:rsidP="00D85755">
      <w:pPr>
        <w:pStyle w:val="Nadpis2"/>
      </w:pPr>
      <w:bookmarkStart w:id="296" w:name="_Toc179964118"/>
      <w:r w:rsidRPr="00B56D21">
        <w:t>Výdaje na obranu</w:t>
      </w:r>
      <w:bookmarkEnd w:id="296"/>
    </w:p>
    <w:p w14:paraId="2B45CC3E" w14:textId="6BBF80A8" w:rsidR="00B56D21" w:rsidRDefault="00B56D21" w:rsidP="0071678D">
      <w:pPr>
        <w:rPr>
          <w:highlight w:val="yellow"/>
          <w:lang w:eastAsia="cs-CZ"/>
        </w:rPr>
      </w:pPr>
      <w:r w:rsidRPr="001B7969">
        <w:rPr>
          <w:lang w:eastAsia="cs-CZ"/>
        </w:rPr>
        <w:t>Pro rok 202</w:t>
      </w:r>
      <w:r>
        <w:rPr>
          <w:lang w:eastAsia="cs-CZ"/>
        </w:rPr>
        <w:t>5</w:t>
      </w:r>
      <w:r w:rsidRPr="001B7969">
        <w:rPr>
          <w:lang w:eastAsia="cs-CZ"/>
        </w:rPr>
        <w:t xml:space="preserve"> jsou navrhovány výdaje na obranu ve </w:t>
      </w:r>
      <w:r w:rsidRPr="007B28BF">
        <w:rPr>
          <w:lang w:eastAsia="cs-CZ"/>
        </w:rPr>
        <w:t xml:space="preserve">výši </w:t>
      </w:r>
      <w:r>
        <w:rPr>
          <w:lang w:eastAsia="cs-CZ"/>
        </w:rPr>
        <w:t>136 390</w:t>
      </w:r>
      <w:r w:rsidRPr="007B28BF">
        <w:rPr>
          <w:lang w:eastAsia="cs-CZ"/>
        </w:rPr>
        <w:t xml:space="preserve"> </w:t>
      </w:r>
      <w:r w:rsidRPr="004059DA">
        <w:rPr>
          <w:lang w:eastAsia="cs-CZ"/>
        </w:rPr>
        <w:t>tis. Kč</w:t>
      </w:r>
      <w:r>
        <w:rPr>
          <w:lang w:eastAsia="cs-CZ"/>
        </w:rPr>
        <w:t xml:space="preserve">, všechny výdaje jsou neinvestiční. Tyto výdaje jsou určeny na </w:t>
      </w:r>
      <w:r>
        <w:t xml:space="preserve">zajištění výcviku řídících letového provozu AČR </w:t>
      </w:r>
      <w:r>
        <w:br/>
        <w:t>45 000 tis. Kč a</w:t>
      </w:r>
      <w:r>
        <w:rPr>
          <w:lang w:eastAsia="cs-CZ"/>
        </w:rPr>
        <w:t xml:space="preserve"> </w:t>
      </w:r>
      <w:r w:rsidRPr="004D1AE4">
        <w:t xml:space="preserve">poskytování letových provozních služeb letům osvobozených od zpoplatnění ve vzdušném prostoru ČR (vojenské přelety NATO) </w:t>
      </w:r>
      <w:r>
        <w:t>91 390</w:t>
      </w:r>
      <w:r w:rsidRPr="004D1AE4">
        <w:t xml:space="preserve"> tis. Kč</w:t>
      </w:r>
      <w:r>
        <w:t>.</w:t>
      </w:r>
    </w:p>
    <w:p w14:paraId="014723B1" w14:textId="77777777" w:rsidR="00A36B40" w:rsidRPr="0092251A" w:rsidRDefault="00A36B40" w:rsidP="001C010B">
      <w:pPr>
        <w:pStyle w:val="Nadpis2"/>
      </w:pPr>
      <w:bookmarkStart w:id="297" w:name="_Toc179964119"/>
      <w:r w:rsidRPr="0092251A">
        <w:t>Výdaje na významné veřejné zakázky</w:t>
      </w:r>
      <w:bookmarkEnd w:id="295"/>
      <w:bookmarkEnd w:id="297"/>
    </w:p>
    <w:p w14:paraId="607111BB" w14:textId="77777777" w:rsidR="0092251A" w:rsidRPr="0092251A" w:rsidRDefault="0092251A" w:rsidP="0092251A">
      <w:pPr>
        <w:pStyle w:val="Styl1"/>
        <w:spacing w:after="120"/>
        <w:rPr>
          <w:b/>
        </w:rPr>
      </w:pPr>
      <w:r w:rsidRPr="0092251A">
        <w:t xml:space="preserve">Ministerstvo dopravy pro rok 2025 eviduje ve výdajích státního rozpočtu 6 veřejných zakázek </w:t>
      </w:r>
      <w:r w:rsidRPr="0092251A">
        <w:br/>
        <w:t xml:space="preserve">o předpokládané hodnotě nad 300 mil. Kč, všechny smlouvy jsou již podepsané. Konkrétně se jedná o: </w:t>
      </w:r>
      <w:r w:rsidRPr="0092251A">
        <w:tab/>
      </w:r>
    </w:p>
    <w:p w14:paraId="6CC2122A" w14:textId="77777777" w:rsidR="0092251A" w:rsidRPr="0092251A" w:rsidRDefault="0092251A" w:rsidP="0092251A">
      <w:pPr>
        <w:pStyle w:val="Odstavecseseznamem"/>
        <w:numPr>
          <w:ilvl w:val="0"/>
          <w:numId w:val="41"/>
        </w:numPr>
      </w:pPr>
      <w:r w:rsidRPr="0092251A">
        <w:t xml:space="preserve">Výrobu a dodání řidičských průkazů a průkazů profesní způsobilosti řidiče </w:t>
      </w:r>
      <w:r w:rsidRPr="0092251A">
        <w:br/>
        <w:t xml:space="preserve">(S-285-160/2018);  </w:t>
      </w:r>
    </w:p>
    <w:p w14:paraId="6C3FD04A" w14:textId="77777777" w:rsidR="0092251A" w:rsidRPr="0092251A" w:rsidRDefault="0092251A" w:rsidP="0092251A">
      <w:pPr>
        <w:pStyle w:val="Odstavecseseznamem"/>
        <w:numPr>
          <w:ilvl w:val="0"/>
          <w:numId w:val="41"/>
        </w:numPr>
      </w:pPr>
      <w:r w:rsidRPr="0092251A">
        <w:t>Dodávky tabulek registračních značek (S-303-150/2019);</w:t>
      </w:r>
    </w:p>
    <w:p w14:paraId="67268A9C" w14:textId="77777777" w:rsidR="0092251A" w:rsidRPr="0092251A" w:rsidRDefault="0092251A" w:rsidP="0092251A">
      <w:pPr>
        <w:pStyle w:val="Odstavecseseznamem"/>
        <w:numPr>
          <w:ilvl w:val="0"/>
          <w:numId w:val="41"/>
        </w:numPr>
      </w:pPr>
      <w:r w:rsidRPr="0092251A">
        <w:t>Poskytování služeb provozu infrastruktury pro informační systémy Ministerstva dopravy (S-8-330/2017);</w:t>
      </w:r>
    </w:p>
    <w:p w14:paraId="4CA079E2" w14:textId="77777777" w:rsidR="0092251A" w:rsidRPr="0092251A" w:rsidRDefault="0092251A" w:rsidP="0092251A">
      <w:pPr>
        <w:pStyle w:val="Odstavecseseznamem"/>
        <w:numPr>
          <w:ilvl w:val="0"/>
          <w:numId w:val="41"/>
        </w:numPr>
      </w:pPr>
      <w:r w:rsidRPr="0092251A">
        <w:t>Rámcovou smlouvu o poskytování odborných, poradenských a dalších služeb v resortu Ministerstva dopravy (S-288-330/2019);</w:t>
      </w:r>
    </w:p>
    <w:p w14:paraId="4370AC91" w14:textId="77777777" w:rsidR="0092251A" w:rsidRPr="0092251A" w:rsidRDefault="0092251A" w:rsidP="0092251A">
      <w:pPr>
        <w:pStyle w:val="Odstavecseseznamem"/>
        <w:numPr>
          <w:ilvl w:val="0"/>
          <w:numId w:val="41"/>
        </w:numPr>
      </w:pPr>
      <w:r w:rsidRPr="0092251A">
        <w:lastRenderedPageBreak/>
        <w:t>Poskytování služeb provozu infrastruktury pro informační systémy Ministerstva dopravy (S-43-330/2022);</w:t>
      </w:r>
    </w:p>
    <w:p w14:paraId="54990BDE" w14:textId="77777777" w:rsidR="0092251A" w:rsidRPr="0092251A" w:rsidRDefault="0092251A" w:rsidP="0092251A">
      <w:pPr>
        <w:pStyle w:val="Odstavecseseznamem"/>
        <w:numPr>
          <w:ilvl w:val="0"/>
          <w:numId w:val="41"/>
        </w:numPr>
      </w:pPr>
      <w:r w:rsidRPr="0092251A">
        <w:t>Rámcovou smlouvu o poskytování odborných poradenských a dalších služeb v resortu MD 2023+ (S-41-330/2023).</w:t>
      </w:r>
    </w:p>
    <w:p w14:paraId="3E8FF3F4" w14:textId="0E6931A6" w:rsidR="004171F3" w:rsidRPr="00893EB0" w:rsidRDefault="0092251A" w:rsidP="0092251A">
      <w:pPr>
        <w:pStyle w:val="Styl1"/>
      </w:pPr>
      <w:r w:rsidRPr="0092251A">
        <w:rPr>
          <w:color w:val="000000" w:themeColor="text1"/>
        </w:rPr>
        <w:t xml:space="preserve">Podrobné údaje k jednotlivým smlouvám s uvedením celkových předpokládaných výdajů, </w:t>
      </w:r>
      <w:r w:rsidRPr="0092251A">
        <w:rPr>
          <w:color w:val="000000" w:themeColor="text1"/>
        </w:rPr>
        <w:br/>
        <w:t xml:space="preserve">s přehledem čerpání do roku 2023, s predikcí čerpání pro roky 2024 a dále, jsou uvedené </w:t>
      </w:r>
      <w:r w:rsidRPr="0092251A">
        <w:rPr>
          <w:color w:val="000000" w:themeColor="text1"/>
        </w:rPr>
        <w:br/>
        <w:t>v Tabulce č. 10</w:t>
      </w:r>
      <w:r w:rsidR="004171F3" w:rsidRPr="0092251A">
        <w:t>.</w:t>
      </w:r>
    </w:p>
    <w:p w14:paraId="6A2661B5" w14:textId="0572C70C" w:rsidR="00BB0B4E" w:rsidRPr="00AA1D3E" w:rsidRDefault="00BB0B4E" w:rsidP="00115B57">
      <w:pPr>
        <w:pStyle w:val="Styl1"/>
        <w:rPr>
          <w:color w:val="FF0000"/>
        </w:rPr>
      </w:pPr>
    </w:p>
    <w:sectPr w:rsidR="00BB0B4E" w:rsidRPr="00AA1D3E" w:rsidSect="00B967C7">
      <w:pgSz w:w="11906" w:h="16838"/>
      <w:pgMar w:top="1417" w:right="141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FDAD5" w14:textId="77777777" w:rsidR="00D33470" w:rsidRDefault="00D33470" w:rsidP="000E081D">
      <w:pPr>
        <w:spacing w:line="240" w:lineRule="auto"/>
      </w:pPr>
      <w:r>
        <w:separator/>
      </w:r>
    </w:p>
  </w:endnote>
  <w:endnote w:type="continuationSeparator" w:id="0">
    <w:p w14:paraId="0B906A4B" w14:textId="77777777" w:rsidR="00D33470" w:rsidRDefault="00D33470" w:rsidP="000E081D">
      <w:pPr>
        <w:spacing w:line="240" w:lineRule="auto"/>
      </w:pPr>
      <w:r>
        <w:continuationSeparator/>
      </w:r>
    </w:p>
  </w:endnote>
  <w:endnote w:type="continuationNotice" w:id="1">
    <w:p w14:paraId="4B701A3D" w14:textId="77777777" w:rsidR="00D33470" w:rsidRDefault="00D334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 w:name="Times New Roman tučné">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32AFA" w14:textId="77777777" w:rsidR="001E02BC" w:rsidRDefault="001E02BC">
    <w:pPr>
      <w:pStyle w:val="Zpat"/>
      <w:jc w:val="center"/>
    </w:pPr>
  </w:p>
  <w:p w14:paraId="3104B0B5" w14:textId="77777777" w:rsidR="001E02BC" w:rsidRDefault="001E02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852056"/>
      <w:docPartObj>
        <w:docPartGallery w:val="Page Numbers (Bottom of Page)"/>
        <w:docPartUnique/>
      </w:docPartObj>
    </w:sdtPr>
    <w:sdtEndPr/>
    <w:sdtContent>
      <w:p w14:paraId="632F49C7" w14:textId="73EDCF3D" w:rsidR="001E02BC" w:rsidRDefault="001E02BC">
        <w:pPr>
          <w:pStyle w:val="Zpat"/>
          <w:jc w:val="center"/>
        </w:pPr>
        <w:r>
          <w:fldChar w:fldCharType="begin"/>
        </w:r>
        <w:r>
          <w:instrText>PAGE   \* MERGEFORMAT</w:instrText>
        </w:r>
        <w:r>
          <w:fldChar w:fldCharType="separate"/>
        </w:r>
        <w:r w:rsidR="006556F1">
          <w:rPr>
            <w:noProof/>
          </w:rPr>
          <w:t>18</w:t>
        </w:r>
        <w:r>
          <w:fldChar w:fldCharType="end"/>
        </w:r>
      </w:p>
    </w:sdtContent>
  </w:sdt>
  <w:p w14:paraId="282E4D9B" w14:textId="77777777" w:rsidR="001E02BC" w:rsidRDefault="001E02B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812810"/>
      <w:docPartObj>
        <w:docPartGallery w:val="Page Numbers (Bottom of Page)"/>
        <w:docPartUnique/>
      </w:docPartObj>
    </w:sdtPr>
    <w:sdtEndPr/>
    <w:sdtContent>
      <w:p w14:paraId="7F426905" w14:textId="39487007" w:rsidR="001E02BC" w:rsidRDefault="001E02BC">
        <w:pPr>
          <w:pStyle w:val="Zpat"/>
          <w:jc w:val="center"/>
        </w:pPr>
        <w:r>
          <w:fldChar w:fldCharType="begin"/>
        </w:r>
        <w:r>
          <w:instrText>PAGE   \* MERGEFORMAT</w:instrText>
        </w:r>
        <w:r>
          <w:fldChar w:fldCharType="separate"/>
        </w:r>
        <w:r w:rsidR="006556F1">
          <w:rPr>
            <w:noProof/>
          </w:rPr>
          <w:t>1</w:t>
        </w:r>
        <w:r>
          <w:fldChar w:fldCharType="end"/>
        </w:r>
      </w:p>
    </w:sdtContent>
  </w:sdt>
  <w:p w14:paraId="31C3CE51" w14:textId="77777777" w:rsidR="001E02BC" w:rsidRDefault="001E02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61A53" w14:textId="77777777" w:rsidR="00D33470" w:rsidRDefault="00D33470" w:rsidP="000E081D">
      <w:pPr>
        <w:spacing w:line="240" w:lineRule="auto"/>
      </w:pPr>
      <w:r>
        <w:separator/>
      </w:r>
    </w:p>
  </w:footnote>
  <w:footnote w:type="continuationSeparator" w:id="0">
    <w:p w14:paraId="2DC86D96" w14:textId="77777777" w:rsidR="00D33470" w:rsidRDefault="00D33470" w:rsidP="000E081D">
      <w:pPr>
        <w:spacing w:line="240" w:lineRule="auto"/>
      </w:pPr>
      <w:r>
        <w:continuationSeparator/>
      </w:r>
    </w:p>
  </w:footnote>
  <w:footnote w:type="continuationNotice" w:id="1">
    <w:p w14:paraId="71B99902" w14:textId="77777777" w:rsidR="00D33470" w:rsidRDefault="00D334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7D8C6" w14:textId="77777777" w:rsidR="001E02BC" w:rsidRDefault="001E02BC" w:rsidP="005E6B5D"/>
  <w:p w14:paraId="2C53EF16" w14:textId="77777777" w:rsidR="001E02BC" w:rsidRDefault="001E02BC" w:rsidP="005E6B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1F7D"/>
    <w:multiLevelType w:val="hybridMultilevel"/>
    <w:tmpl w:val="4D984552"/>
    <w:lvl w:ilvl="0" w:tplc="0405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A116107"/>
    <w:multiLevelType w:val="hybridMultilevel"/>
    <w:tmpl w:val="56E2A290"/>
    <w:lvl w:ilvl="0" w:tplc="D8BE71C2">
      <w:start w:val="1"/>
      <w:numFmt w:val="decimal"/>
      <w:lvlText w:val="%1."/>
      <w:lvlJc w:val="left"/>
      <w:pPr>
        <w:ind w:left="1287" w:hanging="360"/>
      </w:pPr>
      <w:rPr>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D9C492F"/>
    <w:multiLevelType w:val="hybridMultilevel"/>
    <w:tmpl w:val="F2E4A85A"/>
    <w:lvl w:ilvl="0" w:tplc="2CB0BFFE">
      <w:start w:val="1"/>
      <w:numFmt w:val="bullet"/>
      <w:lvlText w:val=""/>
      <w:lvlJc w:val="left"/>
      <w:pPr>
        <w:ind w:left="1145" w:hanging="360"/>
      </w:pPr>
      <w:rPr>
        <w:rFonts w:ascii="Wingdings" w:hAnsi="Wingdings"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356925"/>
    <w:multiLevelType w:val="hybridMultilevel"/>
    <w:tmpl w:val="D61C7E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A24794"/>
    <w:multiLevelType w:val="hybridMultilevel"/>
    <w:tmpl w:val="7FC66B38"/>
    <w:lvl w:ilvl="0" w:tplc="04050001">
      <w:start w:val="1"/>
      <w:numFmt w:val="bullet"/>
      <w:pStyle w:val="OPDnadpis4"/>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pStyle w:val="OPD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2254A"/>
    <w:multiLevelType w:val="hybridMultilevel"/>
    <w:tmpl w:val="82DE0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ED491F"/>
    <w:multiLevelType w:val="hybridMultilevel"/>
    <w:tmpl w:val="C34AA08E"/>
    <w:lvl w:ilvl="0" w:tplc="FCACFA2E">
      <w:start w:val="1"/>
      <w:numFmt w:val="bullet"/>
      <w:lvlText w:val=""/>
      <w:lvlJc w:val="left"/>
      <w:pPr>
        <w:ind w:left="780" w:hanging="360"/>
      </w:pPr>
      <w:rPr>
        <w:rFonts w:ascii="Wingdings" w:hAnsi="Wingdings" w:hint="default"/>
        <w:color w:val="auto"/>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26262E46"/>
    <w:multiLevelType w:val="hybridMultilevel"/>
    <w:tmpl w:val="18F84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4C37BC"/>
    <w:multiLevelType w:val="hybridMultilevel"/>
    <w:tmpl w:val="78EEAC74"/>
    <w:lvl w:ilvl="0" w:tplc="7D7222A0">
      <w:start w:val="1"/>
      <w:numFmt w:val="bullet"/>
      <w:lvlText w:val=""/>
      <w:lvlJc w:val="left"/>
      <w:pPr>
        <w:tabs>
          <w:tab w:val="num" w:pos="644"/>
        </w:tabs>
        <w:ind w:left="644" w:hanging="360"/>
      </w:pPr>
      <w:rPr>
        <w:rFonts w:ascii="Wingdings" w:hAnsi="Wingdings" w:hint="default"/>
        <w:color w:val="auto"/>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2CCC5793"/>
    <w:multiLevelType w:val="hybridMultilevel"/>
    <w:tmpl w:val="6280294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CF3290F"/>
    <w:multiLevelType w:val="hybridMultilevel"/>
    <w:tmpl w:val="E168F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151C7D"/>
    <w:multiLevelType w:val="hybridMultilevel"/>
    <w:tmpl w:val="1F52DDF2"/>
    <w:lvl w:ilvl="0" w:tplc="04050005">
      <w:start w:val="1"/>
      <w:numFmt w:val="bullet"/>
      <w:lvlText w:val=""/>
      <w:lvlJc w:val="left"/>
      <w:pPr>
        <w:tabs>
          <w:tab w:val="num" w:pos="720"/>
        </w:tabs>
        <w:ind w:left="720" w:hanging="360"/>
      </w:pPr>
      <w:rPr>
        <w:rFonts w:ascii="Wingdings" w:hAnsi="Wingdings"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E35736"/>
    <w:multiLevelType w:val="hybridMultilevel"/>
    <w:tmpl w:val="3498F354"/>
    <w:lvl w:ilvl="0" w:tplc="04050005">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6354032"/>
    <w:multiLevelType w:val="hybridMultilevel"/>
    <w:tmpl w:val="07327898"/>
    <w:lvl w:ilvl="0" w:tplc="3AC4FFA6">
      <w:numFmt w:val="bullet"/>
      <w:lvlText w:val="-"/>
      <w:lvlJc w:val="left"/>
      <w:pPr>
        <w:tabs>
          <w:tab w:val="num" w:pos="720"/>
        </w:tabs>
        <w:ind w:left="720" w:hanging="360"/>
      </w:pPr>
      <w:rPr>
        <w:rFonts w:ascii="Times New Roman" w:eastAsia="Times New Roman" w:hAnsi="Times New Roman" w:cs="Times New Roman" w:hint="default"/>
        <w:color w:val="auto"/>
      </w:rPr>
    </w:lvl>
    <w:lvl w:ilvl="1" w:tplc="FEDE0E38">
      <w:start w:val="1"/>
      <w:numFmt w:val="bullet"/>
      <w:lvlText w:val=""/>
      <w:lvlJc w:val="left"/>
      <w:pPr>
        <w:tabs>
          <w:tab w:val="num" w:pos="1440"/>
        </w:tabs>
        <w:ind w:left="1440" w:hanging="360"/>
      </w:pPr>
      <w:rPr>
        <w:rFonts w:ascii="Wingdings" w:hAnsi="Wingdings" w:hint="default"/>
        <w:color w:val="auto"/>
      </w:rPr>
    </w:lvl>
    <w:lvl w:ilvl="2" w:tplc="1A4299BC">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3F58A8"/>
    <w:multiLevelType w:val="hybridMultilevel"/>
    <w:tmpl w:val="D730D8EE"/>
    <w:lvl w:ilvl="0" w:tplc="24DA3A54">
      <w:start w:val="7"/>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708749C"/>
    <w:multiLevelType w:val="hybridMultilevel"/>
    <w:tmpl w:val="7BD62D26"/>
    <w:lvl w:ilvl="0" w:tplc="68AAAD8E">
      <w:start w:val="1"/>
      <w:numFmt w:val="bullet"/>
      <w:lvlText w:val=""/>
      <w:lvlJc w:val="left"/>
      <w:pPr>
        <w:tabs>
          <w:tab w:val="num" w:pos="1429"/>
        </w:tabs>
        <w:ind w:left="1429" w:hanging="360"/>
      </w:pPr>
      <w:rPr>
        <w:rFonts w:ascii="Wingdings" w:hAnsi="Wingdings"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9390239"/>
    <w:multiLevelType w:val="hybridMultilevel"/>
    <w:tmpl w:val="EA00AF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A3D0273"/>
    <w:multiLevelType w:val="hybridMultilevel"/>
    <w:tmpl w:val="683C44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3E2095"/>
    <w:multiLevelType w:val="hybridMultilevel"/>
    <w:tmpl w:val="6FD4B068"/>
    <w:lvl w:ilvl="0" w:tplc="68AAAD8E">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D77489F"/>
    <w:multiLevelType w:val="hybridMultilevel"/>
    <w:tmpl w:val="683C44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4F943B2"/>
    <w:multiLevelType w:val="hybridMultilevel"/>
    <w:tmpl w:val="1818BFF8"/>
    <w:lvl w:ilvl="0" w:tplc="44B2CE02">
      <w:start w:val="1"/>
      <w:numFmt w:val="bullet"/>
      <w:pStyle w:val="KOModrky"/>
      <w:lvlText w:val=""/>
      <w:lvlJc w:val="left"/>
      <w:pPr>
        <w:tabs>
          <w:tab w:val="num" w:pos="1088"/>
        </w:tabs>
        <w:ind w:left="1088" w:hanging="227"/>
      </w:pPr>
      <w:rPr>
        <w:rFonts w:ascii="Wingdings" w:hAnsi="Wingdings" w:hint="default"/>
        <w:color w:val="auto"/>
      </w:rPr>
    </w:lvl>
    <w:lvl w:ilvl="1" w:tplc="04050003" w:tentative="1">
      <w:start w:val="1"/>
      <w:numFmt w:val="bullet"/>
      <w:lvlText w:val="o"/>
      <w:lvlJc w:val="left"/>
      <w:pPr>
        <w:tabs>
          <w:tab w:val="num" w:pos="1734"/>
        </w:tabs>
        <w:ind w:left="1734" w:hanging="360"/>
      </w:pPr>
      <w:rPr>
        <w:rFonts w:ascii="Courier New" w:hAnsi="Courier New" w:cs="Courier New" w:hint="default"/>
      </w:rPr>
    </w:lvl>
    <w:lvl w:ilvl="2" w:tplc="04050005" w:tentative="1">
      <w:start w:val="1"/>
      <w:numFmt w:val="bullet"/>
      <w:lvlText w:val=""/>
      <w:lvlJc w:val="left"/>
      <w:pPr>
        <w:tabs>
          <w:tab w:val="num" w:pos="2454"/>
        </w:tabs>
        <w:ind w:left="2454" w:hanging="360"/>
      </w:pPr>
      <w:rPr>
        <w:rFonts w:ascii="Wingdings" w:hAnsi="Wingdings" w:hint="default"/>
      </w:rPr>
    </w:lvl>
    <w:lvl w:ilvl="3" w:tplc="04050001" w:tentative="1">
      <w:start w:val="1"/>
      <w:numFmt w:val="bullet"/>
      <w:lvlText w:val=""/>
      <w:lvlJc w:val="left"/>
      <w:pPr>
        <w:tabs>
          <w:tab w:val="num" w:pos="3174"/>
        </w:tabs>
        <w:ind w:left="3174" w:hanging="360"/>
      </w:pPr>
      <w:rPr>
        <w:rFonts w:ascii="Symbol" w:hAnsi="Symbol" w:hint="default"/>
      </w:rPr>
    </w:lvl>
    <w:lvl w:ilvl="4" w:tplc="04050003" w:tentative="1">
      <w:start w:val="1"/>
      <w:numFmt w:val="bullet"/>
      <w:lvlText w:val="o"/>
      <w:lvlJc w:val="left"/>
      <w:pPr>
        <w:tabs>
          <w:tab w:val="num" w:pos="3894"/>
        </w:tabs>
        <w:ind w:left="3894" w:hanging="360"/>
      </w:pPr>
      <w:rPr>
        <w:rFonts w:ascii="Courier New" w:hAnsi="Courier New" w:cs="Courier New" w:hint="default"/>
      </w:rPr>
    </w:lvl>
    <w:lvl w:ilvl="5" w:tplc="04050005" w:tentative="1">
      <w:start w:val="1"/>
      <w:numFmt w:val="bullet"/>
      <w:lvlText w:val=""/>
      <w:lvlJc w:val="left"/>
      <w:pPr>
        <w:tabs>
          <w:tab w:val="num" w:pos="4614"/>
        </w:tabs>
        <w:ind w:left="4614" w:hanging="360"/>
      </w:pPr>
      <w:rPr>
        <w:rFonts w:ascii="Wingdings" w:hAnsi="Wingdings" w:hint="default"/>
      </w:rPr>
    </w:lvl>
    <w:lvl w:ilvl="6" w:tplc="04050001" w:tentative="1">
      <w:start w:val="1"/>
      <w:numFmt w:val="bullet"/>
      <w:lvlText w:val=""/>
      <w:lvlJc w:val="left"/>
      <w:pPr>
        <w:tabs>
          <w:tab w:val="num" w:pos="5334"/>
        </w:tabs>
        <w:ind w:left="5334" w:hanging="360"/>
      </w:pPr>
      <w:rPr>
        <w:rFonts w:ascii="Symbol" w:hAnsi="Symbol" w:hint="default"/>
      </w:rPr>
    </w:lvl>
    <w:lvl w:ilvl="7" w:tplc="04050003" w:tentative="1">
      <w:start w:val="1"/>
      <w:numFmt w:val="bullet"/>
      <w:lvlText w:val="o"/>
      <w:lvlJc w:val="left"/>
      <w:pPr>
        <w:tabs>
          <w:tab w:val="num" w:pos="6054"/>
        </w:tabs>
        <w:ind w:left="6054" w:hanging="360"/>
      </w:pPr>
      <w:rPr>
        <w:rFonts w:ascii="Courier New" w:hAnsi="Courier New" w:cs="Courier New" w:hint="default"/>
      </w:rPr>
    </w:lvl>
    <w:lvl w:ilvl="8" w:tplc="04050005" w:tentative="1">
      <w:start w:val="1"/>
      <w:numFmt w:val="bullet"/>
      <w:lvlText w:val=""/>
      <w:lvlJc w:val="left"/>
      <w:pPr>
        <w:tabs>
          <w:tab w:val="num" w:pos="6774"/>
        </w:tabs>
        <w:ind w:left="6774" w:hanging="360"/>
      </w:pPr>
      <w:rPr>
        <w:rFonts w:ascii="Wingdings" w:hAnsi="Wingdings" w:hint="default"/>
      </w:rPr>
    </w:lvl>
  </w:abstractNum>
  <w:abstractNum w:abstractNumId="21" w15:restartNumberingAfterBreak="0">
    <w:nsid w:val="45273E93"/>
    <w:multiLevelType w:val="hybridMultilevel"/>
    <w:tmpl w:val="91AABDA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565035D"/>
    <w:multiLevelType w:val="hybridMultilevel"/>
    <w:tmpl w:val="E8708E76"/>
    <w:lvl w:ilvl="0" w:tplc="CF047120">
      <w:start w:val="1"/>
      <w:numFmt w:val="bullet"/>
      <w:lvlText w:val=""/>
      <w:lvlJc w:val="left"/>
      <w:pPr>
        <w:ind w:left="64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6614754"/>
    <w:multiLevelType w:val="hybridMultilevel"/>
    <w:tmpl w:val="CCC098D4"/>
    <w:lvl w:ilvl="0" w:tplc="85F8DACC">
      <w:start w:val="1"/>
      <w:numFmt w:val="bullet"/>
      <w:lvlText w:val=""/>
      <w:lvlJc w:val="left"/>
      <w:pPr>
        <w:ind w:left="1259" w:hanging="360"/>
      </w:pPr>
      <w:rPr>
        <w:rFonts w:ascii="Wingdings" w:hAnsi="Wingdings" w:hint="default"/>
        <w:color w:val="auto"/>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7A83093"/>
    <w:multiLevelType w:val="hybridMultilevel"/>
    <w:tmpl w:val="E7C87FE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4A950CD3"/>
    <w:multiLevelType w:val="hybridMultilevel"/>
    <w:tmpl w:val="496661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885D49"/>
    <w:multiLevelType w:val="multilevel"/>
    <w:tmpl w:val="CECAC2DA"/>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i w:val="0"/>
      </w:rPr>
    </w:lvl>
    <w:lvl w:ilvl="2">
      <w:start w:val="1"/>
      <w:numFmt w:val="decimal"/>
      <w:pStyle w:val="Nadpis3"/>
      <w:lvlText w:val="%1.%2.%3"/>
      <w:lvlJc w:val="left"/>
      <w:pPr>
        <w:tabs>
          <w:tab w:val="num" w:pos="720"/>
        </w:tabs>
        <w:ind w:left="720" w:hanging="720"/>
      </w:pPr>
      <w:rPr>
        <w:rFonts w:ascii="Times New Roman" w:hAnsi="Times New Roman" w:cs="Times New Roman" w:hint="default"/>
        <w:b/>
        <w:bCs w:val="0"/>
        <w:i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3924"/>
        </w:tabs>
        <w:ind w:left="3924" w:hanging="1584"/>
      </w:pPr>
      <w:rPr>
        <w:rFonts w:hint="default"/>
      </w:rPr>
    </w:lvl>
  </w:abstractNum>
  <w:abstractNum w:abstractNumId="27" w15:restartNumberingAfterBreak="0">
    <w:nsid w:val="4BF53BB6"/>
    <w:multiLevelType w:val="hybridMultilevel"/>
    <w:tmpl w:val="E7C87FEA"/>
    <w:lvl w:ilvl="0" w:tplc="3B103C3E">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8" w15:restartNumberingAfterBreak="0">
    <w:nsid w:val="5AB803DB"/>
    <w:multiLevelType w:val="hybridMultilevel"/>
    <w:tmpl w:val="683C44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7C527F"/>
    <w:multiLevelType w:val="hybridMultilevel"/>
    <w:tmpl w:val="4A8436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B83E98"/>
    <w:multiLevelType w:val="hybridMultilevel"/>
    <w:tmpl w:val="B4E41F2C"/>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1" w15:restartNumberingAfterBreak="0">
    <w:nsid w:val="6A755432"/>
    <w:multiLevelType w:val="hybridMultilevel"/>
    <w:tmpl w:val="CB40F260"/>
    <w:lvl w:ilvl="0" w:tplc="1488107E">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357"/>
        </w:tabs>
        <w:ind w:left="-425"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6B5618AD"/>
    <w:multiLevelType w:val="hybridMultilevel"/>
    <w:tmpl w:val="91282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9923E9"/>
    <w:multiLevelType w:val="hybridMultilevel"/>
    <w:tmpl w:val="9ACC1DD0"/>
    <w:lvl w:ilvl="0" w:tplc="24DA3A54">
      <w:start w:val="7"/>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78C7CED"/>
    <w:multiLevelType w:val="hybridMultilevel"/>
    <w:tmpl w:val="683C44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9626681"/>
    <w:multiLevelType w:val="hybridMultilevel"/>
    <w:tmpl w:val="7D0EE4D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6D2B8B"/>
    <w:multiLevelType w:val="hybridMultilevel"/>
    <w:tmpl w:val="3E7A216A"/>
    <w:lvl w:ilvl="0" w:tplc="04050005">
      <w:start w:val="1"/>
      <w:numFmt w:val="bullet"/>
      <w:lvlText w:val=""/>
      <w:lvlJc w:val="left"/>
      <w:pPr>
        <w:ind w:left="1543" w:hanging="360"/>
      </w:pPr>
      <w:rPr>
        <w:rFonts w:ascii="Wingdings" w:hAnsi="Wingdings" w:hint="default"/>
      </w:rPr>
    </w:lvl>
    <w:lvl w:ilvl="1" w:tplc="04050003" w:tentative="1">
      <w:start w:val="1"/>
      <w:numFmt w:val="bullet"/>
      <w:lvlText w:val="o"/>
      <w:lvlJc w:val="left"/>
      <w:pPr>
        <w:ind w:left="2263" w:hanging="360"/>
      </w:pPr>
      <w:rPr>
        <w:rFonts w:ascii="Courier New" w:hAnsi="Courier New" w:cs="Courier New" w:hint="default"/>
      </w:rPr>
    </w:lvl>
    <w:lvl w:ilvl="2" w:tplc="04050005" w:tentative="1">
      <w:start w:val="1"/>
      <w:numFmt w:val="bullet"/>
      <w:lvlText w:val=""/>
      <w:lvlJc w:val="left"/>
      <w:pPr>
        <w:ind w:left="2983" w:hanging="360"/>
      </w:pPr>
      <w:rPr>
        <w:rFonts w:ascii="Wingdings" w:hAnsi="Wingdings" w:hint="default"/>
      </w:rPr>
    </w:lvl>
    <w:lvl w:ilvl="3" w:tplc="04050001" w:tentative="1">
      <w:start w:val="1"/>
      <w:numFmt w:val="bullet"/>
      <w:lvlText w:val=""/>
      <w:lvlJc w:val="left"/>
      <w:pPr>
        <w:ind w:left="3703" w:hanging="360"/>
      </w:pPr>
      <w:rPr>
        <w:rFonts w:ascii="Symbol" w:hAnsi="Symbol" w:hint="default"/>
      </w:rPr>
    </w:lvl>
    <w:lvl w:ilvl="4" w:tplc="04050003" w:tentative="1">
      <w:start w:val="1"/>
      <w:numFmt w:val="bullet"/>
      <w:lvlText w:val="o"/>
      <w:lvlJc w:val="left"/>
      <w:pPr>
        <w:ind w:left="4423" w:hanging="360"/>
      </w:pPr>
      <w:rPr>
        <w:rFonts w:ascii="Courier New" w:hAnsi="Courier New" w:cs="Courier New" w:hint="default"/>
      </w:rPr>
    </w:lvl>
    <w:lvl w:ilvl="5" w:tplc="04050005" w:tentative="1">
      <w:start w:val="1"/>
      <w:numFmt w:val="bullet"/>
      <w:lvlText w:val=""/>
      <w:lvlJc w:val="left"/>
      <w:pPr>
        <w:ind w:left="5143" w:hanging="360"/>
      </w:pPr>
      <w:rPr>
        <w:rFonts w:ascii="Wingdings" w:hAnsi="Wingdings" w:hint="default"/>
      </w:rPr>
    </w:lvl>
    <w:lvl w:ilvl="6" w:tplc="04050001" w:tentative="1">
      <w:start w:val="1"/>
      <w:numFmt w:val="bullet"/>
      <w:lvlText w:val=""/>
      <w:lvlJc w:val="left"/>
      <w:pPr>
        <w:ind w:left="5863" w:hanging="360"/>
      </w:pPr>
      <w:rPr>
        <w:rFonts w:ascii="Symbol" w:hAnsi="Symbol" w:hint="default"/>
      </w:rPr>
    </w:lvl>
    <w:lvl w:ilvl="7" w:tplc="04050003" w:tentative="1">
      <w:start w:val="1"/>
      <w:numFmt w:val="bullet"/>
      <w:lvlText w:val="o"/>
      <w:lvlJc w:val="left"/>
      <w:pPr>
        <w:ind w:left="6583" w:hanging="360"/>
      </w:pPr>
      <w:rPr>
        <w:rFonts w:ascii="Courier New" w:hAnsi="Courier New" w:cs="Courier New" w:hint="default"/>
      </w:rPr>
    </w:lvl>
    <w:lvl w:ilvl="8" w:tplc="04050005" w:tentative="1">
      <w:start w:val="1"/>
      <w:numFmt w:val="bullet"/>
      <w:lvlText w:val=""/>
      <w:lvlJc w:val="left"/>
      <w:pPr>
        <w:ind w:left="7303" w:hanging="360"/>
      </w:pPr>
      <w:rPr>
        <w:rFonts w:ascii="Wingdings" w:hAnsi="Wingdings" w:hint="default"/>
      </w:rPr>
    </w:lvl>
  </w:abstractNum>
  <w:abstractNum w:abstractNumId="38" w15:restartNumberingAfterBreak="0">
    <w:nsid w:val="7A7B2085"/>
    <w:multiLevelType w:val="hybridMultilevel"/>
    <w:tmpl w:val="BAD2A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880189">
    <w:abstractNumId w:val="15"/>
  </w:num>
  <w:num w:numId="2" w16cid:durableId="1887403378">
    <w:abstractNumId w:val="26"/>
  </w:num>
  <w:num w:numId="3" w16cid:durableId="1112093234">
    <w:abstractNumId w:val="20"/>
  </w:num>
  <w:num w:numId="4" w16cid:durableId="556817476">
    <w:abstractNumId w:val="8"/>
  </w:num>
  <w:num w:numId="5" w16cid:durableId="1254322393">
    <w:abstractNumId w:val="13"/>
  </w:num>
  <w:num w:numId="6" w16cid:durableId="77702076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581199">
    <w:abstractNumId w:val="26"/>
    <w:lvlOverride w:ilvl="0">
      <w:startOverride w:val="2"/>
    </w:lvlOverride>
    <w:lvlOverride w:ilvl="1">
      <w:startOverride w:val="1"/>
    </w:lvlOverride>
  </w:num>
  <w:num w:numId="8" w16cid:durableId="1519736485">
    <w:abstractNumId w:val="4"/>
  </w:num>
  <w:num w:numId="9" w16cid:durableId="1609970211">
    <w:abstractNumId w:val="5"/>
  </w:num>
  <w:num w:numId="10" w16cid:durableId="1742170218">
    <w:abstractNumId w:val="3"/>
  </w:num>
  <w:num w:numId="11" w16cid:durableId="282158224">
    <w:abstractNumId w:val="9"/>
  </w:num>
  <w:num w:numId="12" w16cid:durableId="367995867">
    <w:abstractNumId w:val="31"/>
  </w:num>
  <w:num w:numId="13" w16cid:durableId="192689932">
    <w:abstractNumId w:val="16"/>
  </w:num>
  <w:num w:numId="14" w16cid:durableId="249854098">
    <w:abstractNumId w:val="21"/>
  </w:num>
  <w:num w:numId="15" w16cid:durableId="437533253">
    <w:abstractNumId w:val="38"/>
  </w:num>
  <w:num w:numId="16" w16cid:durableId="365981880">
    <w:abstractNumId w:val="25"/>
  </w:num>
  <w:num w:numId="17" w16cid:durableId="1645112688">
    <w:abstractNumId w:val="22"/>
  </w:num>
  <w:num w:numId="18" w16cid:durableId="708068609">
    <w:abstractNumId w:val="2"/>
  </w:num>
  <w:num w:numId="19" w16cid:durableId="582883715">
    <w:abstractNumId w:val="23"/>
  </w:num>
  <w:num w:numId="20" w16cid:durableId="1626812261">
    <w:abstractNumId w:val="37"/>
  </w:num>
  <w:num w:numId="21" w16cid:durableId="2820767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021094">
    <w:abstractNumId w:val="1"/>
  </w:num>
  <w:num w:numId="23" w16cid:durableId="1308586211">
    <w:abstractNumId w:val="12"/>
  </w:num>
  <w:num w:numId="24" w16cid:durableId="792789019">
    <w:abstractNumId w:val="10"/>
  </w:num>
  <w:num w:numId="25" w16cid:durableId="1128469414">
    <w:abstractNumId w:val="28"/>
  </w:num>
  <w:num w:numId="26" w16cid:durableId="1789425198">
    <w:abstractNumId w:val="18"/>
  </w:num>
  <w:num w:numId="27" w16cid:durableId="1426537494">
    <w:abstractNumId w:val="27"/>
  </w:num>
  <w:num w:numId="28" w16cid:durableId="385882271">
    <w:abstractNumId w:val="11"/>
  </w:num>
  <w:num w:numId="29" w16cid:durableId="1663659383">
    <w:abstractNumId w:val="29"/>
  </w:num>
  <w:num w:numId="30" w16cid:durableId="1736852591">
    <w:abstractNumId w:val="36"/>
  </w:num>
  <w:num w:numId="31" w16cid:durableId="539586303">
    <w:abstractNumId w:val="30"/>
  </w:num>
  <w:num w:numId="32" w16cid:durableId="881594456">
    <w:abstractNumId w:val="17"/>
  </w:num>
  <w:num w:numId="33" w16cid:durableId="1625886966">
    <w:abstractNumId w:val="6"/>
  </w:num>
  <w:num w:numId="34" w16cid:durableId="1572502309">
    <w:abstractNumId w:val="35"/>
  </w:num>
  <w:num w:numId="35" w16cid:durableId="902447939">
    <w:abstractNumId w:val="19"/>
  </w:num>
  <w:num w:numId="36" w16cid:durableId="796532296">
    <w:abstractNumId w:val="33"/>
  </w:num>
  <w:num w:numId="37" w16cid:durableId="936868578">
    <w:abstractNumId w:val="24"/>
  </w:num>
  <w:num w:numId="38" w16cid:durableId="1021324685">
    <w:abstractNumId w:val="14"/>
  </w:num>
  <w:num w:numId="39" w16cid:durableId="1238438595">
    <w:abstractNumId w:val="34"/>
  </w:num>
  <w:num w:numId="40" w16cid:durableId="984163377">
    <w:abstractNumId w:val="0"/>
  </w:num>
  <w:num w:numId="41" w16cid:durableId="357435090">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CC6"/>
    <w:rsid w:val="000010DC"/>
    <w:rsid w:val="0000288F"/>
    <w:rsid w:val="0000322C"/>
    <w:rsid w:val="000042F7"/>
    <w:rsid w:val="00005868"/>
    <w:rsid w:val="00006115"/>
    <w:rsid w:val="000062DC"/>
    <w:rsid w:val="00007DDE"/>
    <w:rsid w:val="00010495"/>
    <w:rsid w:val="00011501"/>
    <w:rsid w:val="00011EDF"/>
    <w:rsid w:val="000121F0"/>
    <w:rsid w:val="000130A4"/>
    <w:rsid w:val="0001421C"/>
    <w:rsid w:val="00014DBC"/>
    <w:rsid w:val="00017072"/>
    <w:rsid w:val="0001748A"/>
    <w:rsid w:val="000203BC"/>
    <w:rsid w:val="000222B2"/>
    <w:rsid w:val="00022587"/>
    <w:rsid w:val="00023857"/>
    <w:rsid w:val="00023E57"/>
    <w:rsid w:val="00024ED6"/>
    <w:rsid w:val="00025557"/>
    <w:rsid w:val="00026390"/>
    <w:rsid w:val="000263D6"/>
    <w:rsid w:val="0002683A"/>
    <w:rsid w:val="000269C1"/>
    <w:rsid w:val="0002708E"/>
    <w:rsid w:val="00027F64"/>
    <w:rsid w:val="00030D7E"/>
    <w:rsid w:val="00031BDE"/>
    <w:rsid w:val="00032087"/>
    <w:rsid w:val="000327DA"/>
    <w:rsid w:val="00032A97"/>
    <w:rsid w:val="00032D8C"/>
    <w:rsid w:val="0003357D"/>
    <w:rsid w:val="000339E1"/>
    <w:rsid w:val="00035CD3"/>
    <w:rsid w:val="00040043"/>
    <w:rsid w:val="00040A62"/>
    <w:rsid w:val="0004122C"/>
    <w:rsid w:val="00042342"/>
    <w:rsid w:val="0004338A"/>
    <w:rsid w:val="00044701"/>
    <w:rsid w:val="00044D40"/>
    <w:rsid w:val="00045020"/>
    <w:rsid w:val="00045611"/>
    <w:rsid w:val="00046048"/>
    <w:rsid w:val="000474B6"/>
    <w:rsid w:val="000506D1"/>
    <w:rsid w:val="00052AB8"/>
    <w:rsid w:val="000531BB"/>
    <w:rsid w:val="00053535"/>
    <w:rsid w:val="000553EF"/>
    <w:rsid w:val="00055DCD"/>
    <w:rsid w:val="00056392"/>
    <w:rsid w:val="000601E6"/>
    <w:rsid w:val="00061D7E"/>
    <w:rsid w:val="0006208B"/>
    <w:rsid w:val="000636A3"/>
    <w:rsid w:val="000636D2"/>
    <w:rsid w:val="00063DD6"/>
    <w:rsid w:val="00064113"/>
    <w:rsid w:val="00065472"/>
    <w:rsid w:val="00065B71"/>
    <w:rsid w:val="00066398"/>
    <w:rsid w:val="00066C1A"/>
    <w:rsid w:val="0006723C"/>
    <w:rsid w:val="00067432"/>
    <w:rsid w:val="00067460"/>
    <w:rsid w:val="00071A4F"/>
    <w:rsid w:val="00071DEE"/>
    <w:rsid w:val="0007231E"/>
    <w:rsid w:val="00072BEE"/>
    <w:rsid w:val="00073472"/>
    <w:rsid w:val="00073E09"/>
    <w:rsid w:val="0007455A"/>
    <w:rsid w:val="00074F76"/>
    <w:rsid w:val="0007574C"/>
    <w:rsid w:val="0007627F"/>
    <w:rsid w:val="00076693"/>
    <w:rsid w:val="000771EB"/>
    <w:rsid w:val="00077AF0"/>
    <w:rsid w:val="000817C4"/>
    <w:rsid w:val="00083426"/>
    <w:rsid w:val="000835FF"/>
    <w:rsid w:val="00083E57"/>
    <w:rsid w:val="000842F7"/>
    <w:rsid w:val="00085448"/>
    <w:rsid w:val="000861E6"/>
    <w:rsid w:val="00086F5F"/>
    <w:rsid w:val="000872F1"/>
    <w:rsid w:val="00087E33"/>
    <w:rsid w:val="00091444"/>
    <w:rsid w:val="000919E0"/>
    <w:rsid w:val="00092134"/>
    <w:rsid w:val="00092D06"/>
    <w:rsid w:val="000933AC"/>
    <w:rsid w:val="000937F0"/>
    <w:rsid w:val="0009399A"/>
    <w:rsid w:val="00096BE7"/>
    <w:rsid w:val="00097799"/>
    <w:rsid w:val="000A05A0"/>
    <w:rsid w:val="000A0894"/>
    <w:rsid w:val="000A0E16"/>
    <w:rsid w:val="000A15A9"/>
    <w:rsid w:val="000A189F"/>
    <w:rsid w:val="000A1EB1"/>
    <w:rsid w:val="000A5BD3"/>
    <w:rsid w:val="000A7B61"/>
    <w:rsid w:val="000A7CB0"/>
    <w:rsid w:val="000B0B6A"/>
    <w:rsid w:val="000B1BAA"/>
    <w:rsid w:val="000B1F1F"/>
    <w:rsid w:val="000B3B9C"/>
    <w:rsid w:val="000B452F"/>
    <w:rsid w:val="000B4DF3"/>
    <w:rsid w:val="000B4FB5"/>
    <w:rsid w:val="000B5188"/>
    <w:rsid w:val="000B533E"/>
    <w:rsid w:val="000B53C0"/>
    <w:rsid w:val="000B5BCC"/>
    <w:rsid w:val="000B69E1"/>
    <w:rsid w:val="000B7AD1"/>
    <w:rsid w:val="000B7D0F"/>
    <w:rsid w:val="000C0251"/>
    <w:rsid w:val="000C0ABC"/>
    <w:rsid w:val="000C0F57"/>
    <w:rsid w:val="000C1E86"/>
    <w:rsid w:val="000C2988"/>
    <w:rsid w:val="000C3E5E"/>
    <w:rsid w:val="000C5224"/>
    <w:rsid w:val="000C563F"/>
    <w:rsid w:val="000C5DEE"/>
    <w:rsid w:val="000D3612"/>
    <w:rsid w:val="000D436D"/>
    <w:rsid w:val="000D51A5"/>
    <w:rsid w:val="000D61A6"/>
    <w:rsid w:val="000D634C"/>
    <w:rsid w:val="000D637E"/>
    <w:rsid w:val="000D699E"/>
    <w:rsid w:val="000D6B88"/>
    <w:rsid w:val="000D6EF7"/>
    <w:rsid w:val="000D7F85"/>
    <w:rsid w:val="000E00C2"/>
    <w:rsid w:val="000E081D"/>
    <w:rsid w:val="000E1007"/>
    <w:rsid w:val="000E1ED1"/>
    <w:rsid w:val="000E39FE"/>
    <w:rsid w:val="000E4313"/>
    <w:rsid w:val="000E4D63"/>
    <w:rsid w:val="000E7EF9"/>
    <w:rsid w:val="000F069A"/>
    <w:rsid w:val="000F06FF"/>
    <w:rsid w:val="000F1461"/>
    <w:rsid w:val="000F16F7"/>
    <w:rsid w:val="000F212C"/>
    <w:rsid w:val="000F2629"/>
    <w:rsid w:val="000F2641"/>
    <w:rsid w:val="000F29D6"/>
    <w:rsid w:val="000F459C"/>
    <w:rsid w:val="00100205"/>
    <w:rsid w:val="001004D1"/>
    <w:rsid w:val="00100718"/>
    <w:rsid w:val="00101155"/>
    <w:rsid w:val="001041E7"/>
    <w:rsid w:val="001047F7"/>
    <w:rsid w:val="001058ED"/>
    <w:rsid w:val="00105D3B"/>
    <w:rsid w:val="00105DDD"/>
    <w:rsid w:val="001060CE"/>
    <w:rsid w:val="0010766D"/>
    <w:rsid w:val="00107D52"/>
    <w:rsid w:val="00110C1B"/>
    <w:rsid w:val="0011129C"/>
    <w:rsid w:val="0011184B"/>
    <w:rsid w:val="0011239A"/>
    <w:rsid w:val="00112615"/>
    <w:rsid w:val="001129CC"/>
    <w:rsid w:val="00112A4F"/>
    <w:rsid w:val="001130E3"/>
    <w:rsid w:val="00113DCA"/>
    <w:rsid w:val="00115862"/>
    <w:rsid w:val="00115B57"/>
    <w:rsid w:val="00115D59"/>
    <w:rsid w:val="00116485"/>
    <w:rsid w:val="00116974"/>
    <w:rsid w:val="00116AEC"/>
    <w:rsid w:val="00117161"/>
    <w:rsid w:val="001171A1"/>
    <w:rsid w:val="00120BE2"/>
    <w:rsid w:val="0012151B"/>
    <w:rsid w:val="00122904"/>
    <w:rsid w:val="00122B1D"/>
    <w:rsid w:val="00123A7B"/>
    <w:rsid w:val="00123E9D"/>
    <w:rsid w:val="001250B6"/>
    <w:rsid w:val="001269F2"/>
    <w:rsid w:val="00127093"/>
    <w:rsid w:val="00130BD1"/>
    <w:rsid w:val="00130C53"/>
    <w:rsid w:val="00131916"/>
    <w:rsid w:val="00134C47"/>
    <w:rsid w:val="00136173"/>
    <w:rsid w:val="0013706F"/>
    <w:rsid w:val="0013742A"/>
    <w:rsid w:val="00137661"/>
    <w:rsid w:val="00140C74"/>
    <w:rsid w:val="001415D2"/>
    <w:rsid w:val="00141901"/>
    <w:rsid w:val="00141A0B"/>
    <w:rsid w:val="00142055"/>
    <w:rsid w:val="00142102"/>
    <w:rsid w:val="00142FAF"/>
    <w:rsid w:val="001432A7"/>
    <w:rsid w:val="00143948"/>
    <w:rsid w:val="00143D39"/>
    <w:rsid w:val="00144267"/>
    <w:rsid w:val="00144ACB"/>
    <w:rsid w:val="00144FC5"/>
    <w:rsid w:val="0014631D"/>
    <w:rsid w:val="00146324"/>
    <w:rsid w:val="00147EDB"/>
    <w:rsid w:val="0015317B"/>
    <w:rsid w:val="001537A3"/>
    <w:rsid w:val="001539D1"/>
    <w:rsid w:val="00153ADE"/>
    <w:rsid w:val="00153BA9"/>
    <w:rsid w:val="00153E30"/>
    <w:rsid w:val="001542CE"/>
    <w:rsid w:val="00155C42"/>
    <w:rsid w:val="00156938"/>
    <w:rsid w:val="001577C0"/>
    <w:rsid w:val="00161362"/>
    <w:rsid w:val="00163004"/>
    <w:rsid w:val="00164D4B"/>
    <w:rsid w:val="001668C3"/>
    <w:rsid w:val="00167F1C"/>
    <w:rsid w:val="00167F7D"/>
    <w:rsid w:val="0017278D"/>
    <w:rsid w:val="00173A7B"/>
    <w:rsid w:val="0017612C"/>
    <w:rsid w:val="00177268"/>
    <w:rsid w:val="00181148"/>
    <w:rsid w:val="00181846"/>
    <w:rsid w:val="001823D4"/>
    <w:rsid w:val="00182A64"/>
    <w:rsid w:val="00183CB5"/>
    <w:rsid w:val="00184E0A"/>
    <w:rsid w:val="0018783A"/>
    <w:rsid w:val="0019006E"/>
    <w:rsid w:val="00190492"/>
    <w:rsid w:val="00190847"/>
    <w:rsid w:val="0019099E"/>
    <w:rsid w:val="00190F3B"/>
    <w:rsid w:val="00193367"/>
    <w:rsid w:val="00195130"/>
    <w:rsid w:val="00196CBE"/>
    <w:rsid w:val="00197FCD"/>
    <w:rsid w:val="001A05AF"/>
    <w:rsid w:val="001A2288"/>
    <w:rsid w:val="001A4421"/>
    <w:rsid w:val="001A4B2F"/>
    <w:rsid w:val="001A60A9"/>
    <w:rsid w:val="001A613F"/>
    <w:rsid w:val="001A6FC7"/>
    <w:rsid w:val="001A76C5"/>
    <w:rsid w:val="001B037B"/>
    <w:rsid w:val="001B11C1"/>
    <w:rsid w:val="001B14B1"/>
    <w:rsid w:val="001B2AE1"/>
    <w:rsid w:val="001B2B11"/>
    <w:rsid w:val="001B4608"/>
    <w:rsid w:val="001B4751"/>
    <w:rsid w:val="001B4B19"/>
    <w:rsid w:val="001B7969"/>
    <w:rsid w:val="001C010B"/>
    <w:rsid w:val="001C0306"/>
    <w:rsid w:val="001C12CE"/>
    <w:rsid w:val="001C2B30"/>
    <w:rsid w:val="001C2BF6"/>
    <w:rsid w:val="001C6A08"/>
    <w:rsid w:val="001C7EAA"/>
    <w:rsid w:val="001D01B2"/>
    <w:rsid w:val="001D1C48"/>
    <w:rsid w:val="001D3588"/>
    <w:rsid w:val="001D4ABC"/>
    <w:rsid w:val="001D671B"/>
    <w:rsid w:val="001D6881"/>
    <w:rsid w:val="001D6F42"/>
    <w:rsid w:val="001D7087"/>
    <w:rsid w:val="001E02BC"/>
    <w:rsid w:val="001E3977"/>
    <w:rsid w:val="001E43D8"/>
    <w:rsid w:val="001E55EA"/>
    <w:rsid w:val="001E57D3"/>
    <w:rsid w:val="001E5EC4"/>
    <w:rsid w:val="001E7131"/>
    <w:rsid w:val="001E72FB"/>
    <w:rsid w:val="001E7801"/>
    <w:rsid w:val="001F0407"/>
    <w:rsid w:val="001F0528"/>
    <w:rsid w:val="001F0CDB"/>
    <w:rsid w:val="001F0F2A"/>
    <w:rsid w:val="001F16A2"/>
    <w:rsid w:val="001F3150"/>
    <w:rsid w:val="001F5688"/>
    <w:rsid w:val="001F5841"/>
    <w:rsid w:val="001F5C00"/>
    <w:rsid w:val="001F7745"/>
    <w:rsid w:val="001F7B74"/>
    <w:rsid w:val="00201A7A"/>
    <w:rsid w:val="00201CD3"/>
    <w:rsid w:val="00202B9D"/>
    <w:rsid w:val="002037DD"/>
    <w:rsid w:val="002037F2"/>
    <w:rsid w:val="00205273"/>
    <w:rsid w:val="00205789"/>
    <w:rsid w:val="00206AD2"/>
    <w:rsid w:val="002070E0"/>
    <w:rsid w:val="00210B52"/>
    <w:rsid w:val="002118D5"/>
    <w:rsid w:val="00212084"/>
    <w:rsid w:val="00212620"/>
    <w:rsid w:val="002134EC"/>
    <w:rsid w:val="002154D5"/>
    <w:rsid w:val="002160C6"/>
    <w:rsid w:val="00217185"/>
    <w:rsid w:val="002171AE"/>
    <w:rsid w:val="0021743B"/>
    <w:rsid w:val="002177D3"/>
    <w:rsid w:val="0021781B"/>
    <w:rsid w:val="00220130"/>
    <w:rsid w:val="00220906"/>
    <w:rsid w:val="002209DF"/>
    <w:rsid w:val="00221667"/>
    <w:rsid w:val="00224056"/>
    <w:rsid w:val="00224183"/>
    <w:rsid w:val="002241F7"/>
    <w:rsid w:val="002242A2"/>
    <w:rsid w:val="002253AC"/>
    <w:rsid w:val="0022569D"/>
    <w:rsid w:val="00226073"/>
    <w:rsid w:val="00226C94"/>
    <w:rsid w:val="0022794A"/>
    <w:rsid w:val="00230345"/>
    <w:rsid w:val="00230E53"/>
    <w:rsid w:val="00232042"/>
    <w:rsid w:val="002320AC"/>
    <w:rsid w:val="002320FB"/>
    <w:rsid w:val="0023222D"/>
    <w:rsid w:val="00232C1E"/>
    <w:rsid w:val="00233298"/>
    <w:rsid w:val="0023351F"/>
    <w:rsid w:val="00234AB8"/>
    <w:rsid w:val="00235B7F"/>
    <w:rsid w:val="00235D60"/>
    <w:rsid w:val="00237DB4"/>
    <w:rsid w:val="00242E47"/>
    <w:rsid w:val="00243302"/>
    <w:rsid w:val="002435F8"/>
    <w:rsid w:val="0024364B"/>
    <w:rsid w:val="002444B3"/>
    <w:rsid w:val="00244BD2"/>
    <w:rsid w:val="0024729A"/>
    <w:rsid w:val="0025008A"/>
    <w:rsid w:val="002505F4"/>
    <w:rsid w:val="002508EC"/>
    <w:rsid w:val="0025118E"/>
    <w:rsid w:val="002511B8"/>
    <w:rsid w:val="002512B4"/>
    <w:rsid w:val="00251759"/>
    <w:rsid w:val="00251B6B"/>
    <w:rsid w:val="0025262B"/>
    <w:rsid w:val="0025313F"/>
    <w:rsid w:val="00253306"/>
    <w:rsid w:val="00254A6B"/>
    <w:rsid w:val="0025530A"/>
    <w:rsid w:val="00255650"/>
    <w:rsid w:val="00255BE0"/>
    <w:rsid w:val="00255CE7"/>
    <w:rsid w:val="00255D80"/>
    <w:rsid w:val="002571DB"/>
    <w:rsid w:val="00260323"/>
    <w:rsid w:val="00261CF9"/>
    <w:rsid w:val="00262A11"/>
    <w:rsid w:val="0026316A"/>
    <w:rsid w:val="00264A3E"/>
    <w:rsid w:val="00265B15"/>
    <w:rsid w:val="00265E2A"/>
    <w:rsid w:val="0026603C"/>
    <w:rsid w:val="002704DE"/>
    <w:rsid w:val="00270EB0"/>
    <w:rsid w:val="00271095"/>
    <w:rsid w:val="002729F5"/>
    <w:rsid w:val="00276E92"/>
    <w:rsid w:val="00281A1A"/>
    <w:rsid w:val="00282736"/>
    <w:rsid w:val="00282E00"/>
    <w:rsid w:val="0028302B"/>
    <w:rsid w:val="00286613"/>
    <w:rsid w:val="0028681F"/>
    <w:rsid w:val="0029029B"/>
    <w:rsid w:val="002905F3"/>
    <w:rsid w:val="002906D0"/>
    <w:rsid w:val="002913C8"/>
    <w:rsid w:val="00291D1F"/>
    <w:rsid w:val="00292ED7"/>
    <w:rsid w:val="00293E19"/>
    <w:rsid w:val="00294285"/>
    <w:rsid w:val="00294A36"/>
    <w:rsid w:val="0029610A"/>
    <w:rsid w:val="002A1DCB"/>
    <w:rsid w:val="002A365A"/>
    <w:rsid w:val="002A3F1C"/>
    <w:rsid w:val="002A440F"/>
    <w:rsid w:val="002A56F4"/>
    <w:rsid w:val="002A658A"/>
    <w:rsid w:val="002A7006"/>
    <w:rsid w:val="002A72D3"/>
    <w:rsid w:val="002A7C8D"/>
    <w:rsid w:val="002A7CC1"/>
    <w:rsid w:val="002B02EA"/>
    <w:rsid w:val="002B07DF"/>
    <w:rsid w:val="002B1243"/>
    <w:rsid w:val="002B172F"/>
    <w:rsid w:val="002B33C1"/>
    <w:rsid w:val="002B36C4"/>
    <w:rsid w:val="002B4812"/>
    <w:rsid w:val="002B4A5E"/>
    <w:rsid w:val="002B5B2C"/>
    <w:rsid w:val="002B5F46"/>
    <w:rsid w:val="002B6A78"/>
    <w:rsid w:val="002C1194"/>
    <w:rsid w:val="002C13D3"/>
    <w:rsid w:val="002C3285"/>
    <w:rsid w:val="002C3788"/>
    <w:rsid w:val="002C39E4"/>
    <w:rsid w:val="002C4688"/>
    <w:rsid w:val="002C533D"/>
    <w:rsid w:val="002C629D"/>
    <w:rsid w:val="002C6533"/>
    <w:rsid w:val="002C756F"/>
    <w:rsid w:val="002D0930"/>
    <w:rsid w:val="002D0B03"/>
    <w:rsid w:val="002D19AC"/>
    <w:rsid w:val="002D4093"/>
    <w:rsid w:val="002D41EF"/>
    <w:rsid w:val="002D6EA1"/>
    <w:rsid w:val="002D7CC6"/>
    <w:rsid w:val="002E0D5A"/>
    <w:rsid w:val="002E1BFA"/>
    <w:rsid w:val="002E4704"/>
    <w:rsid w:val="002E4D8B"/>
    <w:rsid w:val="002E4E2B"/>
    <w:rsid w:val="002E7960"/>
    <w:rsid w:val="002F0A07"/>
    <w:rsid w:val="002F0D3C"/>
    <w:rsid w:val="002F1811"/>
    <w:rsid w:val="002F34A8"/>
    <w:rsid w:val="002F436C"/>
    <w:rsid w:val="002F47D3"/>
    <w:rsid w:val="002F5D5F"/>
    <w:rsid w:val="002F6B59"/>
    <w:rsid w:val="002F71C7"/>
    <w:rsid w:val="002F735C"/>
    <w:rsid w:val="002F73E6"/>
    <w:rsid w:val="002F7C49"/>
    <w:rsid w:val="0030009C"/>
    <w:rsid w:val="0030260C"/>
    <w:rsid w:val="003030DE"/>
    <w:rsid w:val="00303D6B"/>
    <w:rsid w:val="00303FFF"/>
    <w:rsid w:val="00305769"/>
    <w:rsid w:val="00307292"/>
    <w:rsid w:val="00310B88"/>
    <w:rsid w:val="00312836"/>
    <w:rsid w:val="003131B0"/>
    <w:rsid w:val="00313B6B"/>
    <w:rsid w:val="00314C07"/>
    <w:rsid w:val="003157C6"/>
    <w:rsid w:val="00316A6C"/>
    <w:rsid w:val="00316C21"/>
    <w:rsid w:val="00317FDC"/>
    <w:rsid w:val="00320850"/>
    <w:rsid w:val="00320AD2"/>
    <w:rsid w:val="00320DB1"/>
    <w:rsid w:val="00323319"/>
    <w:rsid w:val="0032407E"/>
    <w:rsid w:val="0032418F"/>
    <w:rsid w:val="0032478C"/>
    <w:rsid w:val="003250F9"/>
    <w:rsid w:val="0032635D"/>
    <w:rsid w:val="00327798"/>
    <w:rsid w:val="00332383"/>
    <w:rsid w:val="003330A1"/>
    <w:rsid w:val="00333428"/>
    <w:rsid w:val="00334E09"/>
    <w:rsid w:val="00335598"/>
    <w:rsid w:val="003355CB"/>
    <w:rsid w:val="00336639"/>
    <w:rsid w:val="00336739"/>
    <w:rsid w:val="003375E9"/>
    <w:rsid w:val="00340285"/>
    <w:rsid w:val="003404F2"/>
    <w:rsid w:val="0034196D"/>
    <w:rsid w:val="00342925"/>
    <w:rsid w:val="00342BC4"/>
    <w:rsid w:val="00342CC6"/>
    <w:rsid w:val="00345559"/>
    <w:rsid w:val="00345FE1"/>
    <w:rsid w:val="00346050"/>
    <w:rsid w:val="00347805"/>
    <w:rsid w:val="00347D30"/>
    <w:rsid w:val="00347E0D"/>
    <w:rsid w:val="003505CC"/>
    <w:rsid w:val="00350724"/>
    <w:rsid w:val="00350A4C"/>
    <w:rsid w:val="0035131D"/>
    <w:rsid w:val="00351DBF"/>
    <w:rsid w:val="00351E8A"/>
    <w:rsid w:val="00352F28"/>
    <w:rsid w:val="00353229"/>
    <w:rsid w:val="0035351F"/>
    <w:rsid w:val="003541DC"/>
    <w:rsid w:val="00354548"/>
    <w:rsid w:val="003545E9"/>
    <w:rsid w:val="0035460C"/>
    <w:rsid w:val="00357392"/>
    <w:rsid w:val="003575D5"/>
    <w:rsid w:val="00360A73"/>
    <w:rsid w:val="0036251C"/>
    <w:rsid w:val="00362D6E"/>
    <w:rsid w:val="00362DDE"/>
    <w:rsid w:val="00363483"/>
    <w:rsid w:val="003650E4"/>
    <w:rsid w:val="00365E95"/>
    <w:rsid w:val="00367790"/>
    <w:rsid w:val="00367A38"/>
    <w:rsid w:val="00371BEC"/>
    <w:rsid w:val="00374DD4"/>
    <w:rsid w:val="00374DFB"/>
    <w:rsid w:val="00375B9B"/>
    <w:rsid w:val="00376583"/>
    <w:rsid w:val="00376C81"/>
    <w:rsid w:val="003800F1"/>
    <w:rsid w:val="00381FB0"/>
    <w:rsid w:val="003843A0"/>
    <w:rsid w:val="00384ECA"/>
    <w:rsid w:val="00386748"/>
    <w:rsid w:val="00386E07"/>
    <w:rsid w:val="003870F8"/>
    <w:rsid w:val="00387352"/>
    <w:rsid w:val="00387BCB"/>
    <w:rsid w:val="00387D62"/>
    <w:rsid w:val="0039128B"/>
    <w:rsid w:val="00392A46"/>
    <w:rsid w:val="00394013"/>
    <w:rsid w:val="003949CB"/>
    <w:rsid w:val="00397BBB"/>
    <w:rsid w:val="003A08D6"/>
    <w:rsid w:val="003A0AB1"/>
    <w:rsid w:val="003A0B78"/>
    <w:rsid w:val="003A0F55"/>
    <w:rsid w:val="003A13DA"/>
    <w:rsid w:val="003A2017"/>
    <w:rsid w:val="003A20EE"/>
    <w:rsid w:val="003A725A"/>
    <w:rsid w:val="003B0B01"/>
    <w:rsid w:val="003B0CD2"/>
    <w:rsid w:val="003B3A70"/>
    <w:rsid w:val="003B3E63"/>
    <w:rsid w:val="003B4B26"/>
    <w:rsid w:val="003B4CF4"/>
    <w:rsid w:val="003B5436"/>
    <w:rsid w:val="003B5841"/>
    <w:rsid w:val="003B6999"/>
    <w:rsid w:val="003C011C"/>
    <w:rsid w:val="003C11E0"/>
    <w:rsid w:val="003C14CF"/>
    <w:rsid w:val="003C4683"/>
    <w:rsid w:val="003C568E"/>
    <w:rsid w:val="003C7403"/>
    <w:rsid w:val="003C742C"/>
    <w:rsid w:val="003D1D56"/>
    <w:rsid w:val="003D2BC6"/>
    <w:rsid w:val="003D3595"/>
    <w:rsid w:val="003D43DC"/>
    <w:rsid w:val="003D6B06"/>
    <w:rsid w:val="003D6D34"/>
    <w:rsid w:val="003E04EB"/>
    <w:rsid w:val="003E175B"/>
    <w:rsid w:val="003E4CA8"/>
    <w:rsid w:val="003E4F82"/>
    <w:rsid w:val="003E5705"/>
    <w:rsid w:val="003E60AE"/>
    <w:rsid w:val="003E77AD"/>
    <w:rsid w:val="003E7DA5"/>
    <w:rsid w:val="003F0052"/>
    <w:rsid w:val="003F026C"/>
    <w:rsid w:val="003F0573"/>
    <w:rsid w:val="003F1B51"/>
    <w:rsid w:val="003F1D77"/>
    <w:rsid w:val="003F1FA5"/>
    <w:rsid w:val="003F21CB"/>
    <w:rsid w:val="003F349A"/>
    <w:rsid w:val="003F3B96"/>
    <w:rsid w:val="003F5851"/>
    <w:rsid w:val="003F710B"/>
    <w:rsid w:val="003F7453"/>
    <w:rsid w:val="00402666"/>
    <w:rsid w:val="00402AD5"/>
    <w:rsid w:val="00403FE2"/>
    <w:rsid w:val="0040579C"/>
    <w:rsid w:val="004059DA"/>
    <w:rsid w:val="00406ACD"/>
    <w:rsid w:val="00406D8F"/>
    <w:rsid w:val="00410D3A"/>
    <w:rsid w:val="004113AE"/>
    <w:rsid w:val="004117E8"/>
    <w:rsid w:val="00412A68"/>
    <w:rsid w:val="00412BEB"/>
    <w:rsid w:val="00413CE9"/>
    <w:rsid w:val="00413FC3"/>
    <w:rsid w:val="00414940"/>
    <w:rsid w:val="00414ABE"/>
    <w:rsid w:val="00416139"/>
    <w:rsid w:val="004161DD"/>
    <w:rsid w:val="004171F3"/>
    <w:rsid w:val="00421526"/>
    <w:rsid w:val="00421A88"/>
    <w:rsid w:val="004226DB"/>
    <w:rsid w:val="00422A53"/>
    <w:rsid w:val="00422F90"/>
    <w:rsid w:val="00423CD3"/>
    <w:rsid w:val="004256AA"/>
    <w:rsid w:val="00425ABB"/>
    <w:rsid w:val="00426A6B"/>
    <w:rsid w:val="00427E0D"/>
    <w:rsid w:val="00430342"/>
    <w:rsid w:val="00430A33"/>
    <w:rsid w:val="00431078"/>
    <w:rsid w:val="00431A13"/>
    <w:rsid w:val="00431B90"/>
    <w:rsid w:val="004327DD"/>
    <w:rsid w:val="00433023"/>
    <w:rsid w:val="00433D86"/>
    <w:rsid w:val="00433E1C"/>
    <w:rsid w:val="00433EE9"/>
    <w:rsid w:val="00435995"/>
    <w:rsid w:val="00436C64"/>
    <w:rsid w:val="004371E3"/>
    <w:rsid w:val="00437616"/>
    <w:rsid w:val="00442C99"/>
    <w:rsid w:val="00442E48"/>
    <w:rsid w:val="004436D0"/>
    <w:rsid w:val="00443AB6"/>
    <w:rsid w:val="00444F53"/>
    <w:rsid w:val="00444F94"/>
    <w:rsid w:val="004450E8"/>
    <w:rsid w:val="0044554A"/>
    <w:rsid w:val="0044573F"/>
    <w:rsid w:val="00446086"/>
    <w:rsid w:val="00447DB0"/>
    <w:rsid w:val="00450A2E"/>
    <w:rsid w:val="0045340B"/>
    <w:rsid w:val="0045390C"/>
    <w:rsid w:val="004539CC"/>
    <w:rsid w:val="00456272"/>
    <w:rsid w:val="004566A8"/>
    <w:rsid w:val="00457968"/>
    <w:rsid w:val="00460067"/>
    <w:rsid w:val="0046074B"/>
    <w:rsid w:val="0046115C"/>
    <w:rsid w:val="0046125A"/>
    <w:rsid w:val="004618BA"/>
    <w:rsid w:val="00461F1D"/>
    <w:rsid w:val="00464285"/>
    <w:rsid w:val="00464855"/>
    <w:rsid w:val="00464C37"/>
    <w:rsid w:val="0046525A"/>
    <w:rsid w:val="004655A4"/>
    <w:rsid w:val="004661FF"/>
    <w:rsid w:val="004672A8"/>
    <w:rsid w:val="004678AB"/>
    <w:rsid w:val="004701AF"/>
    <w:rsid w:val="0047075B"/>
    <w:rsid w:val="00470796"/>
    <w:rsid w:val="004717A0"/>
    <w:rsid w:val="004719A6"/>
    <w:rsid w:val="004746D7"/>
    <w:rsid w:val="004747D3"/>
    <w:rsid w:val="00475529"/>
    <w:rsid w:val="004757E1"/>
    <w:rsid w:val="0047653F"/>
    <w:rsid w:val="00480B49"/>
    <w:rsid w:val="00480EAA"/>
    <w:rsid w:val="0048162E"/>
    <w:rsid w:val="004825F5"/>
    <w:rsid w:val="00482B49"/>
    <w:rsid w:val="00483BEA"/>
    <w:rsid w:val="00483FE9"/>
    <w:rsid w:val="00484930"/>
    <w:rsid w:val="004852F4"/>
    <w:rsid w:val="004855E9"/>
    <w:rsid w:val="00485912"/>
    <w:rsid w:val="00486D02"/>
    <w:rsid w:val="0049013C"/>
    <w:rsid w:val="004909FE"/>
    <w:rsid w:val="00490E6F"/>
    <w:rsid w:val="00490EC2"/>
    <w:rsid w:val="00490F91"/>
    <w:rsid w:val="004919EE"/>
    <w:rsid w:val="00491AE6"/>
    <w:rsid w:val="004934A2"/>
    <w:rsid w:val="00493C2E"/>
    <w:rsid w:val="00495316"/>
    <w:rsid w:val="00495575"/>
    <w:rsid w:val="004A15F8"/>
    <w:rsid w:val="004A2F06"/>
    <w:rsid w:val="004A2F8C"/>
    <w:rsid w:val="004A2FE5"/>
    <w:rsid w:val="004A394F"/>
    <w:rsid w:val="004A3C15"/>
    <w:rsid w:val="004A3DDA"/>
    <w:rsid w:val="004A4726"/>
    <w:rsid w:val="004A562C"/>
    <w:rsid w:val="004A6981"/>
    <w:rsid w:val="004B171E"/>
    <w:rsid w:val="004B1CB4"/>
    <w:rsid w:val="004B2259"/>
    <w:rsid w:val="004B2D99"/>
    <w:rsid w:val="004B2F70"/>
    <w:rsid w:val="004B30CA"/>
    <w:rsid w:val="004B388C"/>
    <w:rsid w:val="004B398B"/>
    <w:rsid w:val="004B4340"/>
    <w:rsid w:val="004B630A"/>
    <w:rsid w:val="004B6844"/>
    <w:rsid w:val="004B7093"/>
    <w:rsid w:val="004B7BAD"/>
    <w:rsid w:val="004C08A1"/>
    <w:rsid w:val="004C0D86"/>
    <w:rsid w:val="004C1838"/>
    <w:rsid w:val="004C20FF"/>
    <w:rsid w:val="004C2547"/>
    <w:rsid w:val="004C2AE3"/>
    <w:rsid w:val="004C49D4"/>
    <w:rsid w:val="004C4BA5"/>
    <w:rsid w:val="004C4C9A"/>
    <w:rsid w:val="004C57F1"/>
    <w:rsid w:val="004C5C28"/>
    <w:rsid w:val="004C683E"/>
    <w:rsid w:val="004C6E6B"/>
    <w:rsid w:val="004C77AB"/>
    <w:rsid w:val="004D0049"/>
    <w:rsid w:val="004D1AE4"/>
    <w:rsid w:val="004D2E15"/>
    <w:rsid w:val="004D4CAC"/>
    <w:rsid w:val="004D58A5"/>
    <w:rsid w:val="004D5A2B"/>
    <w:rsid w:val="004D5F55"/>
    <w:rsid w:val="004E049D"/>
    <w:rsid w:val="004E0549"/>
    <w:rsid w:val="004E21CE"/>
    <w:rsid w:val="004E2DB6"/>
    <w:rsid w:val="004E50CC"/>
    <w:rsid w:val="004E5BFC"/>
    <w:rsid w:val="004E5F55"/>
    <w:rsid w:val="004E628C"/>
    <w:rsid w:val="004E7764"/>
    <w:rsid w:val="004E7CA9"/>
    <w:rsid w:val="004F0323"/>
    <w:rsid w:val="004F0BE8"/>
    <w:rsid w:val="004F159D"/>
    <w:rsid w:val="004F2ED5"/>
    <w:rsid w:val="004F2FD7"/>
    <w:rsid w:val="004F324C"/>
    <w:rsid w:val="004F38BD"/>
    <w:rsid w:val="004F4050"/>
    <w:rsid w:val="004F4A9D"/>
    <w:rsid w:val="004F53D2"/>
    <w:rsid w:val="005005C1"/>
    <w:rsid w:val="00500946"/>
    <w:rsid w:val="00501125"/>
    <w:rsid w:val="005016A4"/>
    <w:rsid w:val="00502277"/>
    <w:rsid w:val="00502899"/>
    <w:rsid w:val="00502DD1"/>
    <w:rsid w:val="0050605D"/>
    <w:rsid w:val="00506A61"/>
    <w:rsid w:val="005104D7"/>
    <w:rsid w:val="0051172E"/>
    <w:rsid w:val="0051310C"/>
    <w:rsid w:val="00514F34"/>
    <w:rsid w:val="00516214"/>
    <w:rsid w:val="00520005"/>
    <w:rsid w:val="0052082E"/>
    <w:rsid w:val="0052134B"/>
    <w:rsid w:val="005222B3"/>
    <w:rsid w:val="0052265E"/>
    <w:rsid w:val="0052273D"/>
    <w:rsid w:val="00523A2E"/>
    <w:rsid w:val="0052402E"/>
    <w:rsid w:val="00524047"/>
    <w:rsid w:val="0052434C"/>
    <w:rsid w:val="00525069"/>
    <w:rsid w:val="0052535A"/>
    <w:rsid w:val="00527ACF"/>
    <w:rsid w:val="00527D9F"/>
    <w:rsid w:val="005310AB"/>
    <w:rsid w:val="00531272"/>
    <w:rsid w:val="00531A51"/>
    <w:rsid w:val="00531FD9"/>
    <w:rsid w:val="0053212B"/>
    <w:rsid w:val="00532866"/>
    <w:rsid w:val="00532A4E"/>
    <w:rsid w:val="00533ADB"/>
    <w:rsid w:val="0053414F"/>
    <w:rsid w:val="00534536"/>
    <w:rsid w:val="0053563E"/>
    <w:rsid w:val="00535DE4"/>
    <w:rsid w:val="00535F18"/>
    <w:rsid w:val="00537C02"/>
    <w:rsid w:val="005402FC"/>
    <w:rsid w:val="00540FDC"/>
    <w:rsid w:val="005418CD"/>
    <w:rsid w:val="00542431"/>
    <w:rsid w:val="005430F0"/>
    <w:rsid w:val="00544EEE"/>
    <w:rsid w:val="0054512D"/>
    <w:rsid w:val="00545475"/>
    <w:rsid w:val="00545BD6"/>
    <w:rsid w:val="00545C09"/>
    <w:rsid w:val="005469A7"/>
    <w:rsid w:val="005472B1"/>
    <w:rsid w:val="00550192"/>
    <w:rsid w:val="00550241"/>
    <w:rsid w:val="00550D5A"/>
    <w:rsid w:val="00551FE0"/>
    <w:rsid w:val="00552C2C"/>
    <w:rsid w:val="00554765"/>
    <w:rsid w:val="005549A7"/>
    <w:rsid w:val="00554D10"/>
    <w:rsid w:val="00557698"/>
    <w:rsid w:val="00557B60"/>
    <w:rsid w:val="00560577"/>
    <w:rsid w:val="005605E9"/>
    <w:rsid w:val="00560A90"/>
    <w:rsid w:val="0056133A"/>
    <w:rsid w:val="00561D71"/>
    <w:rsid w:val="0056269B"/>
    <w:rsid w:val="0056427E"/>
    <w:rsid w:val="00567007"/>
    <w:rsid w:val="00567770"/>
    <w:rsid w:val="00570448"/>
    <w:rsid w:val="0057092C"/>
    <w:rsid w:val="00570CCB"/>
    <w:rsid w:val="00572152"/>
    <w:rsid w:val="00572CFE"/>
    <w:rsid w:val="00573475"/>
    <w:rsid w:val="005734BF"/>
    <w:rsid w:val="0057450B"/>
    <w:rsid w:val="005758F9"/>
    <w:rsid w:val="00577079"/>
    <w:rsid w:val="00577347"/>
    <w:rsid w:val="00577507"/>
    <w:rsid w:val="005779DE"/>
    <w:rsid w:val="00580A27"/>
    <w:rsid w:val="00581375"/>
    <w:rsid w:val="005820C6"/>
    <w:rsid w:val="00582602"/>
    <w:rsid w:val="00583985"/>
    <w:rsid w:val="00584209"/>
    <w:rsid w:val="0058485E"/>
    <w:rsid w:val="0058547E"/>
    <w:rsid w:val="0058574C"/>
    <w:rsid w:val="00586150"/>
    <w:rsid w:val="0058617B"/>
    <w:rsid w:val="0058624D"/>
    <w:rsid w:val="005902CD"/>
    <w:rsid w:val="005906B8"/>
    <w:rsid w:val="005908C5"/>
    <w:rsid w:val="00591FCC"/>
    <w:rsid w:val="00592010"/>
    <w:rsid w:val="00592AE9"/>
    <w:rsid w:val="00592C34"/>
    <w:rsid w:val="00593660"/>
    <w:rsid w:val="00594674"/>
    <w:rsid w:val="0059557A"/>
    <w:rsid w:val="00596066"/>
    <w:rsid w:val="00596BDF"/>
    <w:rsid w:val="005974F4"/>
    <w:rsid w:val="005A0ACC"/>
    <w:rsid w:val="005A0D00"/>
    <w:rsid w:val="005A1BD4"/>
    <w:rsid w:val="005A201D"/>
    <w:rsid w:val="005A2601"/>
    <w:rsid w:val="005A4208"/>
    <w:rsid w:val="005A5091"/>
    <w:rsid w:val="005A701E"/>
    <w:rsid w:val="005A7E51"/>
    <w:rsid w:val="005A7F59"/>
    <w:rsid w:val="005B031C"/>
    <w:rsid w:val="005B1CCA"/>
    <w:rsid w:val="005B2CB2"/>
    <w:rsid w:val="005B3B1D"/>
    <w:rsid w:val="005B44CB"/>
    <w:rsid w:val="005B5111"/>
    <w:rsid w:val="005B5118"/>
    <w:rsid w:val="005B57E2"/>
    <w:rsid w:val="005B5878"/>
    <w:rsid w:val="005B5DFE"/>
    <w:rsid w:val="005B62D4"/>
    <w:rsid w:val="005B73C0"/>
    <w:rsid w:val="005B7C2C"/>
    <w:rsid w:val="005C1F04"/>
    <w:rsid w:val="005C2A20"/>
    <w:rsid w:val="005C3EBD"/>
    <w:rsid w:val="005C45F8"/>
    <w:rsid w:val="005C480E"/>
    <w:rsid w:val="005C4BFE"/>
    <w:rsid w:val="005C67B9"/>
    <w:rsid w:val="005D06F6"/>
    <w:rsid w:val="005D0A0F"/>
    <w:rsid w:val="005D0B98"/>
    <w:rsid w:val="005D0C75"/>
    <w:rsid w:val="005D2336"/>
    <w:rsid w:val="005D379E"/>
    <w:rsid w:val="005D3F44"/>
    <w:rsid w:val="005D47B2"/>
    <w:rsid w:val="005D4D19"/>
    <w:rsid w:val="005D52B8"/>
    <w:rsid w:val="005D57C3"/>
    <w:rsid w:val="005D5953"/>
    <w:rsid w:val="005D5DCA"/>
    <w:rsid w:val="005D61F5"/>
    <w:rsid w:val="005D6532"/>
    <w:rsid w:val="005D6577"/>
    <w:rsid w:val="005D6C8D"/>
    <w:rsid w:val="005D6CE7"/>
    <w:rsid w:val="005D7349"/>
    <w:rsid w:val="005D7632"/>
    <w:rsid w:val="005D77E4"/>
    <w:rsid w:val="005D7E46"/>
    <w:rsid w:val="005E2F0D"/>
    <w:rsid w:val="005E324C"/>
    <w:rsid w:val="005E3348"/>
    <w:rsid w:val="005E42DC"/>
    <w:rsid w:val="005E5561"/>
    <w:rsid w:val="005E6B5D"/>
    <w:rsid w:val="005E7882"/>
    <w:rsid w:val="005E7A72"/>
    <w:rsid w:val="005F06CD"/>
    <w:rsid w:val="005F4348"/>
    <w:rsid w:val="005F4BAD"/>
    <w:rsid w:val="005F4D71"/>
    <w:rsid w:val="005F4E8D"/>
    <w:rsid w:val="005F5B52"/>
    <w:rsid w:val="005F7166"/>
    <w:rsid w:val="005F7C46"/>
    <w:rsid w:val="00600CFF"/>
    <w:rsid w:val="00600E5D"/>
    <w:rsid w:val="00601760"/>
    <w:rsid w:val="00602512"/>
    <w:rsid w:val="006028A1"/>
    <w:rsid w:val="00602E93"/>
    <w:rsid w:val="0060402A"/>
    <w:rsid w:val="00604271"/>
    <w:rsid w:val="00604306"/>
    <w:rsid w:val="00604B9B"/>
    <w:rsid w:val="00604CC3"/>
    <w:rsid w:val="0060543D"/>
    <w:rsid w:val="006057E9"/>
    <w:rsid w:val="00605CC7"/>
    <w:rsid w:val="006070FC"/>
    <w:rsid w:val="006076E7"/>
    <w:rsid w:val="006109ED"/>
    <w:rsid w:val="006110B2"/>
    <w:rsid w:val="00611986"/>
    <w:rsid w:val="00611A31"/>
    <w:rsid w:val="00611B48"/>
    <w:rsid w:val="006121FD"/>
    <w:rsid w:val="00612482"/>
    <w:rsid w:val="00612AEB"/>
    <w:rsid w:val="00616204"/>
    <w:rsid w:val="006165E0"/>
    <w:rsid w:val="0062013D"/>
    <w:rsid w:val="00620362"/>
    <w:rsid w:val="006218E1"/>
    <w:rsid w:val="00621EFD"/>
    <w:rsid w:val="00621FE8"/>
    <w:rsid w:val="00623C21"/>
    <w:rsid w:val="00625122"/>
    <w:rsid w:val="00625FC3"/>
    <w:rsid w:val="00626359"/>
    <w:rsid w:val="00630A33"/>
    <w:rsid w:val="006313B2"/>
    <w:rsid w:val="00631D19"/>
    <w:rsid w:val="00632FF7"/>
    <w:rsid w:val="006336E8"/>
    <w:rsid w:val="00633E5F"/>
    <w:rsid w:val="00635147"/>
    <w:rsid w:val="006352F2"/>
    <w:rsid w:val="006353B9"/>
    <w:rsid w:val="006356B8"/>
    <w:rsid w:val="0063792F"/>
    <w:rsid w:val="00637B5D"/>
    <w:rsid w:val="00637FFB"/>
    <w:rsid w:val="006403AC"/>
    <w:rsid w:val="00640EFA"/>
    <w:rsid w:val="006419DE"/>
    <w:rsid w:val="00642032"/>
    <w:rsid w:val="00642386"/>
    <w:rsid w:val="00643264"/>
    <w:rsid w:val="006436A1"/>
    <w:rsid w:val="006437F0"/>
    <w:rsid w:val="00645667"/>
    <w:rsid w:val="00645EFB"/>
    <w:rsid w:val="006465A8"/>
    <w:rsid w:val="00647926"/>
    <w:rsid w:val="00647B08"/>
    <w:rsid w:val="00647FDF"/>
    <w:rsid w:val="00652481"/>
    <w:rsid w:val="00655512"/>
    <w:rsid w:val="006556F1"/>
    <w:rsid w:val="00655AC9"/>
    <w:rsid w:val="00655FB0"/>
    <w:rsid w:val="0065633A"/>
    <w:rsid w:val="006570BC"/>
    <w:rsid w:val="006618D7"/>
    <w:rsid w:val="00661A18"/>
    <w:rsid w:val="00662192"/>
    <w:rsid w:val="006627F2"/>
    <w:rsid w:val="00662839"/>
    <w:rsid w:val="00662E98"/>
    <w:rsid w:val="00663795"/>
    <w:rsid w:val="00663987"/>
    <w:rsid w:val="00664668"/>
    <w:rsid w:val="006646F3"/>
    <w:rsid w:val="00667AF9"/>
    <w:rsid w:val="00667E2D"/>
    <w:rsid w:val="00670C99"/>
    <w:rsid w:val="00670EFD"/>
    <w:rsid w:val="00670FCB"/>
    <w:rsid w:val="00671387"/>
    <w:rsid w:val="00672188"/>
    <w:rsid w:val="0067251C"/>
    <w:rsid w:val="006730CA"/>
    <w:rsid w:val="00675DF2"/>
    <w:rsid w:val="00675FE4"/>
    <w:rsid w:val="00676795"/>
    <w:rsid w:val="006775E7"/>
    <w:rsid w:val="00677FCF"/>
    <w:rsid w:val="00681352"/>
    <w:rsid w:val="0068155D"/>
    <w:rsid w:val="00681742"/>
    <w:rsid w:val="00682985"/>
    <w:rsid w:val="00684281"/>
    <w:rsid w:val="0068747D"/>
    <w:rsid w:val="00687558"/>
    <w:rsid w:val="00690D70"/>
    <w:rsid w:val="006914B8"/>
    <w:rsid w:val="006937A0"/>
    <w:rsid w:val="00693CD3"/>
    <w:rsid w:val="00694D31"/>
    <w:rsid w:val="00695135"/>
    <w:rsid w:val="0069688A"/>
    <w:rsid w:val="00696CFC"/>
    <w:rsid w:val="00696D3F"/>
    <w:rsid w:val="006A00FF"/>
    <w:rsid w:val="006A09EA"/>
    <w:rsid w:val="006A1C8D"/>
    <w:rsid w:val="006A5A62"/>
    <w:rsid w:val="006B022E"/>
    <w:rsid w:val="006B18EF"/>
    <w:rsid w:val="006B2037"/>
    <w:rsid w:val="006B2976"/>
    <w:rsid w:val="006B34C1"/>
    <w:rsid w:val="006B3975"/>
    <w:rsid w:val="006B3995"/>
    <w:rsid w:val="006B4F16"/>
    <w:rsid w:val="006B5271"/>
    <w:rsid w:val="006B75C3"/>
    <w:rsid w:val="006B79C8"/>
    <w:rsid w:val="006C0ADF"/>
    <w:rsid w:val="006C0F37"/>
    <w:rsid w:val="006C11D5"/>
    <w:rsid w:val="006C1B8B"/>
    <w:rsid w:val="006C4427"/>
    <w:rsid w:val="006C4E3C"/>
    <w:rsid w:val="006C6141"/>
    <w:rsid w:val="006C61A1"/>
    <w:rsid w:val="006C7D56"/>
    <w:rsid w:val="006C7E5B"/>
    <w:rsid w:val="006D04FA"/>
    <w:rsid w:val="006D05B2"/>
    <w:rsid w:val="006D2024"/>
    <w:rsid w:val="006D204E"/>
    <w:rsid w:val="006D2690"/>
    <w:rsid w:val="006D3424"/>
    <w:rsid w:val="006D3855"/>
    <w:rsid w:val="006D6099"/>
    <w:rsid w:val="006D6436"/>
    <w:rsid w:val="006D6824"/>
    <w:rsid w:val="006E0206"/>
    <w:rsid w:val="006E043E"/>
    <w:rsid w:val="006E06EF"/>
    <w:rsid w:val="006E0BAA"/>
    <w:rsid w:val="006E2528"/>
    <w:rsid w:val="006E3D64"/>
    <w:rsid w:val="006E3EA6"/>
    <w:rsid w:val="006E498B"/>
    <w:rsid w:val="006E4F47"/>
    <w:rsid w:val="006E6C06"/>
    <w:rsid w:val="006F134C"/>
    <w:rsid w:val="006F1C38"/>
    <w:rsid w:val="006F225C"/>
    <w:rsid w:val="006F389B"/>
    <w:rsid w:val="0070066A"/>
    <w:rsid w:val="00700B1F"/>
    <w:rsid w:val="00700F7E"/>
    <w:rsid w:val="007010D5"/>
    <w:rsid w:val="00701AB4"/>
    <w:rsid w:val="00703E01"/>
    <w:rsid w:val="007047F4"/>
    <w:rsid w:val="00704AFA"/>
    <w:rsid w:val="00704C31"/>
    <w:rsid w:val="00705715"/>
    <w:rsid w:val="00705BF3"/>
    <w:rsid w:val="00706451"/>
    <w:rsid w:val="00707BF8"/>
    <w:rsid w:val="00710E34"/>
    <w:rsid w:val="0071173B"/>
    <w:rsid w:val="00712028"/>
    <w:rsid w:val="00712C60"/>
    <w:rsid w:val="00712E19"/>
    <w:rsid w:val="007131F9"/>
    <w:rsid w:val="00713920"/>
    <w:rsid w:val="00714AA8"/>
    <w:rsid w:val="0071546D"/>
    <w:rsid w:val="0071552E"/>
    <w:rsid w:val="0071678D"/>
    <w:rsid w:val="007171C5"/>
    <w:rsid w:val="0071732D"/>
    <w:rsid w:val="00717CCC"/>
    <w:rsid w:val="00720B18"/>
    <w:rsid w:val="0072128D"/>
    <w:rsid w:val="0072156B"/>
    <w:rsid w:val="00723009"/>
    <w:rsid w:val="007233F6"/>
    <w:rsid w:val="00723715"/>
    <w:rsid w:val="007264DA"/>
    <w:rsid w:val="00726785"/>
    <w:rsid w:val="007271E6"/>
    <w:rsid w:val="00727A72"/>
    <w:rsid w:val="00730183"/>
    <w:rsid w:val="0073047A"/>
    <w:rsid w:val="00731277"/>
    <w:rsid w:val="007321CE"/>
    <w:rsid w:val="007325F9"/>
    <w:rsid w:val="00732933"/>
    <w:rsid w:val="00732A5C"/>
    <w:rsid w:val="007333DE"/>
    <w:rsid w:val="007342CD"/>
    <w:rsid w:val="00734522"/>
    <w:rsid w:val="00735716"/>
    <w:rsid w:val="0073748B"/>
    <w:rsid w:val="00737B11"/>
    <w:rsid w:val="00740230"/>
    <w:rsid w:val="00740E0B"/>
    <w:rsid w:val="00743267"/>
    <w:rsid w:val="007434E0"/>
    <w:rsid w:val="0074483C"/>
    <w:rsid w:val="00744FEF"/>
    <w:rsid w:val="0074536A"/>
    <w:rsid w:val="00746653"/>
    <w:rsid w:val="00746DBC"/>
    <w:rsid w:val="00746FF9"/>
    <w:rsid w:val="00747754"/>
    <w:rsid w:val="00747F4E"/>
    <w:rsid w:val="00750C12"/>
    <w:rsid w:val="00751464"/>
    <w:rsid w:val="00753C51"/>
    <w:rsid w:val="007553DD"/>
    <w:rsid w:val="00755422"/>
    <w:rsid w:val="00756F91"/>
    <w:rsid w:val="00762D9E"/>
    <w:rsid w:val="00762E13"/>
    <w:rsid w:val="00763B96"/>
    <w:rsid w:val="0076433C"/>
    <w:rsid w:val="00764D93"/>
    <w:rsid w:val="00765057"/>
    <w:rsid w:val="007650C1"/>
    <w:rsid w:val="00765BFE"/>
    <w:rsid w:val="00766267"/>
    <w:rsid w:val="007667F7"/>
    <w:rsid w:val="00766B6E"/>
    <w:rsid w:val="00770117"/>
    <w:rsid w:val="00771757"/>
    <w:rsid w:val="00772AEF"/>
    <w:rsid w:val="00772E80"/>
    <w:rsid w:val="00773C89"/>
    <w:rsid w:val="007754E7"/>
    <w:rsid w:val="00775DE7"/>
    <w:rsid w:val="00776B6E"/>
    <w:rsid w:val="00776D61"/>
    <w:rsid w:val="007772AB"/>
    <w:rsid w:val="00777D72"/>
    <w:rsid w:val="00781D7E"/>
    <w:rsid w:val="007877A5"/>
    <w:rsid w:val="00791552"/>
    <w:rsid w:val="0079349A"/>
    <w:rsid w:val="00794C0C"/>
    <w:rsid w:val="00795E91"/>
    <w:rsid w:val="00796BC0"/>
    <w:rsid w:val="0079716E"/>
    <w:rsid w:val="00797D1C"/>
    <w:rsid w:val="007A18E3"/>
    <w:rsid w:val="007A26E7"/>
    <w:rsid w:val="007A4787"/>
    <w:rsid w:val="007A47EB"/>
    <w:rsid w:val="007A4B24"/>
    <w:rsid w:val="007A684E"/>
    <w:rsid w:val="007B131A"/>
    <w:rsid w:val="007B28BF"/>
    <w:rsid w:val="007B2F4B"/>
    <w:rsid w:val="007B36D0"/>
    <w:rsid w:val="007B40B8"/>
    <w:rsid w:val="007B40ED"/>
    <w:rsid w:val="007B44BD"/>
    <w:rsid w:val="007B52B0"/>
    <w:rsid w:val="007B6883"/>
    <w:rsid w:val="007C0004"/>
    <w:rsid w:val="007C243A"/>
    <w:rsid w:val="007C28F1"/>
    <w:rsid w:val="007C6EE7"/>
    <w:rsid w:val="007C7663"/>
    <w:rsid w:val="007C77C9"/>
    <w:rsid w:val="007D0313"/>
    <w:rsid w:val="007D1551"/>
    <w:rsid w:val="007D2A71"/>
    <w:rsid w:val="007D3D71"/>
    <w:rsid w:val="007D421B"/>
    <w:rsid w:val="007D43D4"/>
    <w:rsid w:val="007D4648"/>
    <w:rsid w:val="007D47E8"/>
    <w:rsid w:val="007D633C"/>
    <w:rsid w:val="007D6A85"/>
    <w:rsid w:val="007E0821"/>
    <w:rsid w:val="007E0F9B"/>
    <w:rsid w:val="007E1ACB"/>
    <w:rsid w:val="007E1BD7"/>
    <w:rsid w:val="007E30A7"/>
    <w:rsid w:val="007E51FB"/>
    <w:rsid w:val="007E76D5"/>
    <w:rsid w:val="007F0228"/>
    <w:rsid w:val="007F14C5"/>
    <w:rsid w:val="007F39BB"/>
    <w:rsid w:val="007F3B9D"/>
    <w:rsid w:val="007F40A9"/>
    <w:rsid w:val="007F4210"/>
    <w:rsid w:val="007F48C8"/>
    <w:rsid w:val="007F4CE2"/>
    <w:rsid w:val="007F51ED"/>
    <w:rsid w:val="007F57E7"/>
    <w:rsid w:val="007F6E9F"/>
    <w:rsid w:val="007F721F"/>
    <w:rsid w:val="008000D0"/>
    <w:rsid w:val="008036B4"/>
    <w:rsid w:val="00804AEF"/>
    <w:rsid w:val="008060A5"/>
    <w:rsid w:val="00806C96"/>
    <w:rsid w:val="00807266"/>
    <w:rsid w:val="00810AD7"/>
    <w:rsid w:val="00810CEA"/>
    <w:rsid w:val="00811B60"/>
    <w:rsid w:val="00812245"/>
    <w:rsid w:val="008123CB"/>
    <w:rsid w:val="00813852"/>
    <w:rsid w:val="008141B6"/>
    <w:rsid w:val="00814834"/>
    <w:rsid w:val="00815536"/>
    <w:rsid w:val="00816BE6"/>
    <w:rsid w:val="00820C28"/>
    <w:rsid w:val="00820D43"/>
    <w:rsid w:val="00820E52"/>
    <w:rsid w:val="00822E6E"/>
    <w:rsid w:val="008236E8"/>
    <w:rsid w:val="00823FD9"/>
    <w:rsid w:val="00825BD2"/>
    <w:rsid w:val="00826902"/>
    <w:rsid w:val="0082693C"/>
    <w:rsid w:val="00826F3D"/>
    <w:rsid w:val="008271A0"/>
    <w:rsid w:val="00830B4E"/>
    <w:rsid w:val="0083242F"/>
    <w:rsid w:val="008326B0"/>
    <w:rsid w:val="00833810"/>
    <w:rsid w:val="00834404"/>
    <w:rsid w:val="0083598F"/>
    <w:rsid w:val="00835EF6"/>
    <w:rsid w:val="00836D9C"/>
    <w:rsid w:val="00837671"/>
    <w:rsid w:val="00840C3B"/>
    <w:rsid w:val="00841077"/>
    <w:rsid w:val="008423BA"/>
    <w:rsid w:val="0084279C"/>
    <w:rsid w:val="00842FF0"/>
    <w:rsid w:val="00845055"/>
    <w:rsid w:val="00846348"/>
    <w:rsid w:val="008509E2"/>
    <w:rsid w:val="008511D7"/>
    <w:rsid w:val="00851965"/>
    <w:rsid w:val="00851A8D"/>
    <w:rsid w:val="00851D6A"/>
    <w:rsid w:val="00852382"/>
    <w:rsid w:val="008532FA"/>
    <w:rsid w:val="00853C00"/>
    <w:rsid w:val="00854DDC"/>
    <w:rsid w:val="00855AD2"/>
    <w:rsid w:val="00855B9A"/>
    <w:rsid w:val="00855CFA"/>
    <w:rsid w:val="00855DB0"/>
    <w:rsid w:val="00857587"/>
    <w:rsid w:val="00857E9C"/>
    <w:rsid w:val="008600DF"/>
    <w:rsid w:val="00860150"/>
    <w:rsid w:val="008601CC"/>
    <w:rsid w:val="00860524"/>
    <w:rsid w:val="00860CC7"/>
    <w:rsid w:val="008623D0"/>
    <w:rsid w:val="00862C8A"/>
    <w:rsid w:val="008644E6"/>
    <w:rsid w:val="00865FC3"/>
    <w:rsid w:val="008705C2"/>
    <w:rsid w:val="00870A19"/>
    <w:rsid w:val="00870FDC"/>
    <w:rsid w:val="00871AD3"/>
    <w:rsid w:val="00874051"/>
    <w:rsid w:val="00876F5F"/>
    <w:rsid w:val="00880046"/>
    <w:rsid w:val="00880366"/>
    <w:rsid w:val="008804FA"/>
    <w:rsid w:val="00880B40"/>
    <w:rsid w:val="00880B4C"/>
    <w:rsid w:val="008811AE"/>
    <w:rsid w:val="008821F9"/>
    <w:rsid w:val="0088307E"/>
    <w:rsid w:val="008839DE"/>
    <w:rsid w:val="008847FA"/>
    <w:rsid w:val="00886BAC"/>
    <w:rsid w:val="00886FD2"/>
    <w:rsid w:val="008874CF"/>
    <w:rsid w:val="0089128B"/>
    <w:rsid w:val="008915B7"/>
    <w:rsid w:val="008938B9"/>
    <w:rsid w:val="00893A63"/>
    <w:rsid w:val="00893D04"/>
    <w:rsid w:val="00895323"/>
    <w:rsid w:val="0089581C"/>
    <w:rsid w:val="008A18BA"/>
    <w:rsid w:val="008A1A87"/>
    <w:rsid w:val="008A1D6F"/>
    <w:rsid w:val="008A1F72"/>
    <w:rsid w:val="008A2ACA"/>
    <w:rsid w:val="008A2C80"/>
    <w:rsid w:val="008A2F70"/>
    <w:rsid w:val="008A5042"/>
    <w:rsid w:val="008A57D3"/>
    <w:rsid w:val="008A7590"/>
    <w:rsid w:val="008A7B08"/>
    <w:rsid w:val="008B0438"/>
    <w:rsid w:val="008B1425"/>
    <w:rsid w:val="008B1AB6"/>
    <w:rsid w:val="008B1B5D"/>
    <w:rsid w:val="008B1B97"/>
    <w:rsid w:val="008B33E9"/>
    <w:rsid w:val="008B3907"/>
    <w:rsid w:val="008B3A9C"/>
    <w:rsid w:val="008B3DA5"/>
    <w:rsid w:val="008B40B2"/>
    <w:rsid w:val="008B4201"/>
    <w:rsid w:val="008B4580"/>
    <w:rsid w:val="008B4B96"/>
    <w:rsid w:val="008B4E0F"/>
    <w:rsid w:val="008B655F"/>
    <w:rsid w:val="008B7284"/>
    <w:rsid w:val="008C0143"/>
    <w:rsid w:val="008C0AAA"/>
    <w:rsid w:val="008C15A3"/>
    <w:rsid w:val="008C15E2"/>
    <w:rsid w:val="008C1678"/>
    <w:rsid w:val="008C1BDB"/>
    <w:rsid w:val="008C24F7"/>
    <w:rsid w:val="008C2FA3"/>
    <w:rsid w:val="008C3BB5"/>
    <w:rsid w:val="008C43E6"/>
    <w:rsid w:val="008C79FF"/>
    <w:rsid w:val="008C7EA3"/>
    <w:rsid w:val="008D15A6"/>
    <w:rsid w:val="008D198C"/>
    <w:rsid w:val="008D1A74"/>
    <w:rsid w:val="008D363F"/>
    <w:rsid w:val="008D41D5"/>
    <w:rsid w:val="008D436C"/>
    <w:rsid w:val="008D4374"/>
    <w:rsid w:val="008D483B"/>
    <w:rsid w:val="008D573B"/>
    <w:rsid w:val="008D574B"/>
    <w:rsid w:val="008D5D76"/>
    <w:rsid w:val="008D6A15"/>
    <w:rsid w:val="008D7F62"/>
    <w:rsid w:val="008E0586"/>
    <w:rsid w:val="008E128F"/>
    <w:rsid w:val="008E1EBC"/>
    <w:rsid w:val="008E20F6"/>
    <w:rsid w:val="008E2B2E"/>
    <w:rsid w:val="008E3121"/>
    <w:rsid w:val="008E4AC9"/>
    <w:rsid w:val="008E4D7E"/>
    <w:rsid w:val="008E515D"/>
    <w:rsid w:val="008E64CB"/>
    <w:rsid w:val="008E79BB"/>
    <w:rsid w:val="008F01B4"/>
    <w:rsid w:val="008F0A56"/>
    <w:rsid w:val="008F0B47"/>
    <w:rsid w:val="008F0B65"/>
    <w:rsid w:val="008F14DC"/>
    <w:rsid w:val="008F2721"/>
    <w:rsid w:val="008F29B4"/>
    <w:rsid w:val="008F3222"/>
    <w:rsid w:val="008F4296"/>
    <w:rsid w:val="008F4B8D"/>
    <w:rsid w:val="008F52F2"/>
    <w:rsid w:val="008F68DC"/>
    <w:rsid w:val="008F6AE3"/>
    <w:rsid w:val="008F6DAC"/>
    <w:rsid w:val="008F7597"/>
    <w:rsid w:val="008F7D8A"/>
    <w:rsid w:val="00900021"/>
    <w:rsid w:val="009007A4"/>
    <w:rsid w:val="00900843"/>
    <w:rsid w:val="009011EC"/>
    <w:rsid w:val="00902029"/>
    <w:rsid w:val="00902A37"/>
    <w:rsid w:val="00903C73"/>
    <w:rsid w:val="00905890"/>
    <w:rsid w:val="009058D2"/>
    <w:rsid w:val="00905AF1"/>
    <w:rsid w:val="00906739"/>
    <w:rsid w:val="009067C4"/>
    <w:rsid w:val="009072E6"/>
    <w:rsid w:val="00910074"/>
    <w:rsid w:val="00910632"/>
    <w:rsid w:val="009106F8"/>
    <w:rsid w:val="00910DCB"/>
    <w:rsid w:val="00911780"/>
    <w:rsid w:val="00911825"/>
    <w:rsid w:val="00917602"/>
    <w:rsid w:val="00920B28"/>
    <w:rsid w:val="00920C8E"/>
    <w:rsid w:val="009210B6"/>
    <w:rsid w:val="00921864"/>
    <w:rsid w:val="0092251A"/>
    <w:rsid w:val="00923EBC"/>
    <w:rsid w:val="00924042"/>
    <w:rsid w:val="0092426B"/>
    <w:rsid w:val="00924D70"/>
    <w:rsid w:val="00925A88"/>
    <w:rsid w:val="009262B8"/>
    <w:rsid w:val="009263CB"/>
    <w:rsid w:val="00927113"/>
    <w:rsid w:val="009275E0"/>
    <w:rsid w:val="00927934"/>
    <w:rsid w:val="009300E5"/>
    <w:rsid w:val="009301FC"/>
    <w:rsid w:val="00934142"/>
    <w:rsid w:val="00935069"/>
    <w:rsid w:val="00935082"/>
    <w:rsid w:val="00935216"/>
    <w:rsid w:val="009361F8"/>
    <w:rsid w:val="00940A9F"/>
    <w:rsid w:val="00941B24"/>
    <w:rsid w:val="00941FD5"/>
    <w:rsid w:val="0094235A"/>
    <w:rsid w:val="009426D9"/>
    <w:rsid w:val="00942E70"/>
    <w:rsid w:val="00943046"/>
    <w:rsid w:val="009431FD"/>
    <w:rsid w:val="00943D26"/>
    <w:rsid w:val="00950096"/>
    <w:rsid w:val="009500CB"/>
    <w:rsid w:val="00951FB4"/>
    <w:rsid w:val="00953E0D"/>
    <w:rsid w:val="00954192"/>
    <w:rsid w:val="009546B3"/>
    <w:rsid w:val="00955871"/>
    <w:rsid w:val="00956A67"/>
    <w:rsid w:val="00956FCB"/>
    <w:rsid w:val="009576E4"/>
    <w:rsid w:val="009600A1"/>
    <w:rsid w:val="009607D1"/>
    <w:rsid w:val="00961AEB"/>
    <w:rsid w:val="00962597"/>
    <w:rsid w:val="00962A23"/>
    <w:rsid w:val="00964F4F"/>
    <w:rsid w:val="00965066"/>
    <w:rsid w:val="0096581A"/>
    <w:rsid w:val="0096585E"/>
    <w:rsid w:val="0096699D"/>
    <w:rsid w:val="009675A9"/>
    <w:rsid w:val="00971236"/>
    <w:rsid w:val="009718A8"/>
    <w:rsid w:val="00975A0B"/>
    <w:rsid w:val="00976EFD"/>
    <w:rsid w:val="00977E24"/>
    <w:rsid w:val="00980C65"/>
    <w:rsid w:val="00980DAA"/>
    <w:rsid w:val="00981AF2"/>
    <w:rsid w:val="00981FBD"/>
    <w:rsid w:val="00982356"/>
    <w:rsid w:val="00983317"/>
    <w:rsid w:val="0098344E"/>
    <w:rsid w:val="00986224"/>
    <w:rsid w:val="009867B5"/>
    <w:rsid w:val="00987380"/>
    <w:rsid w:val="00987BA6"/>
    <w:rsid w:val="00987E72"/>
    <w:rsid w:val="00990896"/>
    <w:rsid w:val="0099190C"/>
    <w:rsid w:val="00992180"/>
    <w:rsid w:val="0099386D"/>
    <w:rsid w:val="009A036B"/>
    <w:rsid w:val="009A0D5C"/>
    <w:rsid w:val="009A15D9"/>
    <w:rsid w:val="009A25D0"/>
    <w:rsid w:val="009A31BD"/>
    <w:rsid w:val="009A325C"/>
    <w:rsid w:val="009A333C"/>
    <w:rsid w:val="009A3570"/>
    <w:rsid w:val="009A4F94"/>
    <w:rsid w:val="009A55E6"/>
    <w:rsid w:val="009A5984"/>
    <w:rsid w:val="009A5C4F"/>
    <w:rsid w:val="009A5EFD"/>
    <w:rsid w:val="009A7068"/>
    <w:rsid w:val="009A7B88"/>
    <w:rsid w:val="009A7F8C"/>
    <w:rsid w:val="009B05BB"/>
    <w:rsid w:val="009B101E"/>
    <w:rsid w:val="009B207A"/>
    <w:rsid w:val="009B20C1"/>
    <w:rsid w:val="009B2A33"/>
    <w:rsid w:val="009B34E6"/>
    <w:rsid w:val="009B3F35"/>
    <w:rsid w:val="009B5094"/>
    <w:rsid w:val="009B54A7"/>
    <w:rsid w:val="009B5808"/>
    <w:rsid w:val="009B5D6E"/>
    <w:rsid w:val="009B78BE"/>
    <w:rsid w:val="009C171D"/>
    <w:rsid w:val="009C39CC"/>
    <w:rsid w:val="009C3C73"/>
    <w:rsid w:val="009C4BCF"/>
    <w:rsid w:val="009C51D9"/>
    <w:rsid w:val="009C6D8C"/>
    <w:rsid w:val="009C71A0"/>
    <w:rsid w:val="009C73D2"/>
    <w:rsid w:val="009D035B"/>
    <w:rsid w:val="009D0E0C"/>
    <w:rsid w:val="009D13DB"/>
    <w:rsid w:val="009D3389"/>
    <w:rsid w:val="009D466B"/>
    <w:rsid w:val="009D4ADA"/>
    <w:rsid w:val="009D6945"/>
    <w:rsid w:val="009D7D7A"/>
    <w:rsid w:val="009E15C7"/>
    <w:rsid w:val="009E2CA3"/>
    <w:rsid w:val="009E56BB"/>
    <w:rsid w:val="009E6404"/>
    <w:rsid w:val="009E7668"/>
    <w:rsid w:val="009F0C23"/>
    <w:rsid w:val="009F3DC5"/>
    <w:rsid w:val="009F43A7"/>
    <w:rsid w:val="009F55FB"/>
    <w:rsid w:val="009F5B6B"/>
    <w:rsid w:val="009F618E"/>
    <w:rsid w:val="009F6D53"/>
    <w:rsid w:val="009F7346"/>
    <w:rsid w:val="009F7752"/>
    <w:rsid w:val="009F7B53"/>
    <w:rsid w:val="009F7BD5"/>
    <w:rsid w:val="00A00434"/>
    <w:rsid w:val="00A00538"/>
    <w:rsid w:val="00A00649"/>
    <w:rsid w:val="00A00C70"/>
    <w:rsid w:val="00A01F8F"/>
    <w:rsid w:val="00A04B60"/>
    <w:rsid w:val="00A05CB5"/>
    <w:rsid w:val="00A063FA"/>
    <w:rsid w:val="00A06460"/>
    <w:rsid w:val="00A06831"/>
    <w:rsid w:val="00A07849"/>
    <w:rsid w:val="00A1092D"/>
    <w:rsid w:val="00A117BA"/>
    <w:rsid w:val="00A11CF5"/>
    <w:rsid w:val="00A12003"/>
    <w:rsid w:val="00A127D0"/>
    <w:rsid w:val="00A12950"/>
    <w:rsid w:val="00A13925"/>
    <w:rsid w:val="00A14096"/>
    <w:rsid w:val="00A155D6"/>
    <w:rsid w:val="00A16939"/>
    <w:rsid w:val="00A16DDC"/>
    <w:rsid w:val="00A1716E"/>
    <w:rsid w:val="00A20D0E"/>
    <w:rsid w:val="00A220A0"/>
    <w:rsid w:val="00A2285F"/>
    <w:rsid w:val="00A22A4E"/>
    <w:rsid w:val="00A24158"/>
    <w:rsid w:val="00A2495B"/>
    <w:rsid w:val="00A25454"/>
    <w:rsid w:val="00A25498"/>
    <w:rsid w:val="00A26601"/>
    <w:rsid w:val="00A312BB"/>
    <w:rsid w:val="00A31DB1"/>
    <w:rsid w:val="00A327D7"/>
    <w:rsid w:val="00A33571"/>
    <w:rsid w:val="00A3404B"/>
    <w:rsid w:val="00A34DBA"/>
    <w:rsid w:val="00A35D03"/>
    <w:rsid w:val="00A3658D"/>
    <w:rsid w:val="00A3663E"/>
    <w:rsid w:val="00A36B40"/>
    <w:rsid w:val="00A37456"/>
    <w:rsid w:val="00A3747F"/>
    <w:rsid w:val="00A378E6"/>
    <w:rsid w:val="00A41E2C"/>
    <w:rsid w:val="00A434D3"/>
    <w:rsid w:val="00A43C6D"/>
    <w:rsid w:val="00A45B93"/>
    <w:rsid w:val="00A464F6"/>
    <w:rsid w:val="00A4652C"/>
    <w:rsid w:val="00A4786A"/>
    <w:rsid w:val="00A50069"/>
    <w:rsid w:val="00A51058"/>
    <w:rsid w:val="00A52449"/>
    <w:rsid w:val="00A54110"/>
    <w:rsid w:val="00A5454B"/>
    <w:rsid w:val="00A5591F"/>
    <w:rsid w:val="00A55A41"/>
    <w:rsid w:val="00A57963"/>
    <w:rsid w:val="00A605CD"/>
    <w:rsid w:val="00A61002"/>
    <w:rsid w:val="00A6322E"/>
    <w:rsid w:val="00A63AB1"/>
    <w:rsid w:val="00A64920"/>
    <w:rsid w:val="00A656A6"/>
    <w:rsid w:val="00A66629"/>
    <w:rsid w:val="00A66B15"/>
    <w:rsid w:val="00A66DCB"/>
    <w:rsid w:val="00A67EA5"/>
    <w:rsid w:val="00A701DB"/>
    <w:rsid w:val="00A7042B"/>
    <w:rsid w:val="00A705D0"/>
    <w:rsid w:val="00A70B94"/>
    <w:rsid w:val="00A71477"/>
    <w:rsid w:val="00A73168"/>
    <w:rsid w:val="00A7404E"/>
    <w:rsid w:val="00A757F0"/>
    <w:rsid w:val="00A76297"/>
    <w:rsid w:val="00A7648C"/>
    <w:rsid w:val="00A76694"/>
    <w:rsid w:val="00A76A47"/>
    <w:rsid w:val="00A809AF"/>
    <w:rsid w:val="00A82B48"/>
    <w:rsid w:val="00A851ED"/>
    <w:rsid w:val="00A8565C"/>
    <w:rsid w:val="00A87D5F"/>
    <w:rsid w:val="00A905EE"/>
    <w:rsid w:val="00A916CD"/>
    <w:rsid w:val="00A920E4"/>
    <w:rsid w:val="00A936C7"/>
    <w:rsid w:val="00A94C69"/>
    <w:rsid w:val="00A95104"/>
    <w:rsid w:val="00A95698"/>
    <w:rsid w:val="00A956CC"/>
    <w:rsid w:val="00A958FB"/>
    <w:rsid w:val="00A96BAE"/>
    <w:rsid w:val="00A972AE"/>
    <w:rsid w:val="00AA0782"/>
    <w:rsid w:val="00AA09A6"/>
    <w:rsid w:val="00AA1D3E"/>
    <w:rsid w:val="00AA3CE8"/>
    <w:rsid w:val="00AA402A"/>
    <w:rsid w:val="00AA421B"/>
    <w:rsid w:val="00AA7435"/>
    <w:rsid w:val="00AA7B95"/>
    <w:rsid w:val="00AB1D51"/>
    <w:rsid w:val="00AB1FB9"/>
    <w:rsid w:val="00AB27D2"/>
    <w:rsid w:val="00AB4090"/>
    <w:rsid w:val="00AB52D0"/>
    <w:rsid w:val="00AB7113"/>
    <w:rsid w:val="00AB78C7"/>
    <w:rsid w:val="00AB7F75"/>
    <w:rsid w:val="00AC0392"/>
    <w:rsid w:val="00AC16D8"/>
    <w:rsid w:val="00AC21BD"/>
    <w:rsid w:val="00AC3FCF"/>
    <w:rsid w:val="00AC49D6"/>
    <w:rsid w:val="00AC587D"/>
    <w:rsid w:val="00AC5D43"/>
    <w:rsid w:val="00AC6E83"/>
    <w:rsid w:val="00AD003E"/>
    <w:rsid w:val="00AD027F"/>
    <w:rsid w:val="00AD0FAD"/>
    <w:rsid w:val="00AD15D8"/>
    <w:rsid w:val="00AD15DA"/>
    <w:rsid w:val="00AD1E95"/>
    <w:rsid w:val="00AD1F22"/>
    <w:rsid w:val="00AD2D26"/>
    <w:rsid w:val="00AD301D"/>
    <w:rsid w:val="00AD3116"/>
    <w:rsid w:val="00AD357D"/>
    <w:rsid w:val="00AD73D1"/>
    <w:rsid w:val="00AE186B"/>
    <w:rsid w:val="00AE2574"/>
    <w:rsid w:val="00AE387F"/>
    <w:rsid w:val="00AE3FA1"/>
    <w:rsid w:val="00AE4BD3"/>
    <w:rsid w:val="00AE62C5"/>
    <w:rsid w:val="00AE6B4E"/>
    <w:rsid w:val="00AE7FAC"/>
    <w:rsid w:val="00AF00D3"/>
    <w:rsid w:val="00AF08A0"/>
    <w:rsid w:val="00AF1F95"/>
    <w:rsid w:val="00AF258E"/>
    <w:rsid w:val="00AF292F"/>
    <w:rsid w:val="00AF2A84"/>
    <w:rsid w:val="00AF2F16"/>
    <w:rsid w:val="00AF305D"/>
    <w:rsid w:val="00AF32FF"/>
    <w:rsid w:val="00AF4120"/>
    <w:rsid w:val="00AF4694"/>
    <w:rsid w:val="00AF4B13"/>
    <w:rsid w:val="00AF4D0B"/>
    <w:rsid w:val="00AF5225"/>
    <w:rsid w:val="00AF53D8"/>
    <w:rsid w:val="00AF67AE"/>
    <w:rsid w:val="00AF68DF"/>
    <w:rsid w:val="00B0044D"/>
    <w:rsid w:val="00B00C9B"/>
    <w:rsid w:val="00B0121D"/>
    <w:rsid w:val="00B0242B"/>
    <w:rsid w:val="00B0254A"/>
    <w:rsid w:val="00B0264C"/>
    <w:rsid w:val="00B06578"/>
    <w:rsid w:val="00B06722"/>
    <w:rsid w:val="00B06B95"/>
    <w:rsid w:val="00B07DCA"/>
    <w:rsid w:val="00B10425"/>
    <w:rsid w:val="00B12A55"/>
    <w:rsid w:val="00B130AF"/>
    <w:rsid w:val="00B1427F"/>
    <w:rsid w:val="00B15F38"/>
    <w:rsid w:val="00B15FD6"/>
    <w:rsid w:val="00B16CFC"/>
    <w:rsid w:val="00B1756C"/>
    <w:rsid w:val="00B1782C"/>
    <w:rsid w:val="00B179B3"/>
    <w:rsid w:val="00B179D7"/>
    <w:rsid w:val="00B17A86"/>
    <w:rsid w:val="00B2013C"/>
    <w:rsid w:val="00B20298"/>
    <w:rsid w:val="00B20749"/>
    <w:rsid w:val="00B22498"/>
    <w:rsid w:val="00B246BE"/>
    <w:rsid w:val="00B2541F"/>
    <w:rsid w:val="00B26573"/>
    <w:rsid w:val="00B2724C"/>
    <w:rsid w:val="00B27829"/>
    <w:rsid w:val="00B27B26"/>
    <w:rsid w:val="00B308FD"/>
    <w:rsid w:val="00B30FEB"/>
    <w:rsid w:val="00B33AE8"/>
    <w:rsid w:val="00B36209"/>
    <w:rsid w:val="00B3696F"/>
    <w:rsid w:val="00B36C05"/>
    <w:rsid w:val="00B37849"/>
    <w:rsid w:val="00B37D92"/>
    <w:rsid w:val="00B41ADD"/>
    <w:rsid w:val="00B424E5"/>
    <w:rsid w:val="00B42E9B"/>
    <w:rsid w:val="00B443D8"/>
    <w:rsid w:val="00B45B44"/>
    <w:rsid w:val="00B5106F"/>
    <w:rsid w:val="00B510CB"/>
    <w:rsid w:val="00B52224"/>
    <w:rsid w:val="00B537FA"/>
    <w:rsid w:val="00B538C7"/>
    <w:rsid w:val="00B53B0F"/>
    <w:rsid w:val="00B540F0"/>
    <w:rsid w:val="00B543D7"/>
    <w:rsid w:val="00B54D00"/>
    <w:rsid w:val="00B55732"/>
    <w:rsid w:val="00B5653E"/>
    <w:rsid w:val="00B56D21"/>
    <w:rsid w:val="00B56F51"/>
    <w:rsid w:val="00B57FAD"/>
    <w:rsid w:val="00B605E1"/>
    <w:rsid w:val="00B61C96"/>
    <w:rsid w:val="00B6282D"/>
    <w:rsid w:val="00B62C85"/>
    <w:rsid w:val="00B62E81"/>
    <w:rsid w:val="00B63C58"/>
    <w:rsid w:val="00B63D3B"/>
    <w:rsid w:val="00B640C4"/>
    <w:rsid w:val="00B64127"/>
    <w:rsid w:val="00B641AF"/>
    <w:rsid w:val="00B66A6B"/>
    <w:rsid w:val="00B70B2C"/>
    <w:rsid w:val="00B71EBA"/>
    <w:rsid w:val="00B720E9"/>
    <w:rsid w:val="00B72178"/>
    <w:rsid w:val="00B728BD"/>
    <w:rsid w:val="00B72E65"/>
    <w:rsid w:val="00B73030"/>
    <w:rsid w:val="00B7327F"/>
    <w:rsid w:val="00B74E3F"/>
    <w:rsid w:val="00B7577B"/>
    <w:rsid w:val="00B75E55"/>
    <w:rsid w:val="00B76267"/>
    <w:rsid w:val="00B76812"/>
    <w:rsid w:val="00B81A9B"/>
    <w:rsid w:val="00B82541"/>
    <w:rsid w:val="00B82798"/>
    <w:rsid w:val="00B83198"/>
    <w:rsid w:val="00B83B99"/>
    <w:rsid w:val="00B83DC8"/>
    <w:rsid w:val="00B85CD3"/>
    <w:rsid w:val="00B86892"/>
    <w:rsid w:val="00B907EC"/>
    <w:rsid w:val="00B90F89"/>
    <w:rsid w:val="00B916A1"/>
    <w:rsid w:val="00B91A91"/>
    <w:rsid w:val="00B92B34"/>
    <w:rsid w:val="00B92B8C"/>
    <w:rsid w:val="00B94A02"/>
    <w:rsid w:val="00B94AFC"/>
    <w:rsid w:val="00B94E81"/>
    <w:rsid w:val="00B95A03"/>
    <w:rsid w:val="00B95BC3"/>
    <w:rsid w:val="00B95D85"/>
    <w:rsid w:val="00B95E2F"/>
    <w:rsid w:val="00B967C7"/>
    <w:rsid w:val="00B96F07"/>
    <w:rsid w:val="00B97E47"/>
    <w:rsid w:val="00BA1C1A"/>
    <w:rsid w:val="00BA2969"/>
    <w:rsid w:val="00BA337B"/>
    <w:rsid w:val="00BA3897"/>
    <w:rsid w:val="00BA4D2C"/>
    <w:rsid w:val="00BA4EEA"/>
    <w:rsid w:val="00BB040D"/>
    <w:rsid w:val="00BB0B4E"/>
    <w:rsid w:val="00BB459E"/>
    <w:rsid w:val="00BB513B"/>
    <w:rsid w:val="00BB5816"/>
    <w:rsid w:val="00BB62FD"/>
    <w:rsid w:val="00BB710A"/>
    <w:rsid w:val="00BB7F56"/>
    <w:rsid w:val="00BC0776"/>
    <w:rsid w:val="00BC1AAC"/>
    <w:rsid w:val="00BC2BB0"/>
    <w:rsid w:val="00BC3D81"/>
    <w:rsid w:val="00BC3F7C"/>
    <w:rsid w:val="00BC414A"/>
    <w:rsid w:val="00BC4BFF"/>
    <w:rsid w:val="00BC5D6F"/>
    <w:rsid w:val="00BC6428"/>
    <w:rsid w:val="00BC6EF6"/>
    <w:rsid w:val="00BC7488"/>
    <w:rsid w:val="00BD005E"/>
    <w:rsid w:val="00BD04C2"/>
    <w:rsid w:val="00BD08C3"/>
    <w:rsid w:val="00BD2242"/>
    <w:rsid w:val="00BD2668"/>
    <w:rsid w:val="00BD28A7"/>
    <w:rsid w:val="00BD29ED"/>
    <w:rsid w:val="00BD2A3D"/>
    <w:rsid w:val="00BD2A50"/>
    <w:rsid w:val="00BD482E"/>
    <w:rsid w:val="00BD551B"/>
    <w:rsid w:val="00BD5D59"/>
    <w:rsid w:val="00BD5F7C"/>
    <w:rsid w:val="00BD6228"/>
    <w:rsid w:val="00BD6919"/>
    <w:rsid w:val="00BD7493"/>
    <w:rsid w:val="00BD795D"/>
    <w:rsid w:val="00BE1DE9"/>
    <w:rsid w:val="00BE2623"/>
    <w:rsid w:val="00BE5DDF"/>
    <w:rsid w:val="00BE62EE"/>
    <w:rsid w:val="00BE6537"/>
    <w:rsid w:val="00BE723A"/>
    <w:rsid w:val="00BF05BD"/>
    <w:rsid w:val="00BF20C2"/>
    <w:rsid w:val="00BF2379"/>
    <w:rsid w:val="00BF4634"/>
    <w:rsid w:val="00BF59D4"/>
    <w:rsid w:val="00BF6DE4"/>
    <w:rsid w:val="00BF7440"/>
    <w:rsid w:val="00BF77A6"/>
    <w:rsid w:val="00C00DDA"/>
    <w:rsid w:val="00C015AE"/>
    <w:rsid w:val="00C01D38"/>
    <w:rsid w:val="00C021D6"/>
    <w:rsid w:val="00C02263"/>
    <w:rsid w:val="00C02AA9"/>
    <w:rsid w:val="00C03BEE"/>
    <w:rsid w:val="00C04DF6"/>
    <w:rsid w:val="00C052FD"/>
    <w:rsid w:val="00C07453"/>
    <w:rsid w:val="00C0761A"/>
    <w:rsid w:val="00C101B2"/>
    <w:rsid w:val="00C10904"/>
    <w:rsid w:val="00C11B17"/>
    <w:rsid w:val="00C1241D"/>
    <w:rsid w:val="00C14090"/>
    <w:rsid w:val="00C14965"/>
    <w:rsid w:val="00C14A62"/>
    <w:rsid w:val="00C1529C"/>
    <w:rsid w:val="00C15474"/>
    <w:rsid w:val="00C154F6"/>
    <w:rsid w:val="00C16394"/>
    <w:rsid w:val="00C170FB"/>
    <w:rsid w:val="00C22FB6"/>
    <w:rsid w:val="00C23734"/>
    <w:rsid w:val="00C23A76"/>
    <w:rsid w:val="00C23E1F"/>
    <w:rsid w:val="00C2418F"/>
    <w:rsid w:val="00C2534B"/>
    <w:rsid w:val="00C26186"/>
    <w:rsid w:val="00C26276"/>
    <w:rsid w:val="00C3053E"/>
    <w:rsid w:val="00C30A27"/>
    <w:rsid w:val="00C32DF5"/>
    <w:rsid w:val="00C33531"/>
    <w:rsid w:val="00C33E2A"/>
    <w:rsid w:val="00C34217"/>
    <w:rsid w:val="00C34844"/>
    <w:rsid w:val="00C35D6C"/>
    <w:rsid w:val="00C36AC5"/>
    <w:rsid w:val="00C36BFF"/>
    <w:rsid w:val="00C41FEC"/>
    <w:rsid w:val="00C42388"/>
    <w:rsid w:val="00C42E5C"/>
    <w:rsid w:val="00C43C6F"/>
    <w:rsid w:val="00C44FA9"/>
    <w:rsid w:val="00C4666C"/>
    <w:rsid w:val="00C476BB"/>
    <w:rsid w:val="00C50D3D"/>
    <w:rsid w:val="00C5296E"/>
    <w:rsid w:val="00C53292"/>
    <w:rsid w:val="00C53AC7"/>
    <w:rsid w:val="00C552F9"/>
    <w:rsid w:val="00C5559E"/>
    <w:rsid w:val="00C56B3D"/>
    <w:rsid w:val="00C571A0"/>
    <w:rsid w:val="00C57F1A"/>
    <w:rsid w:val="00C600F0"/>
    <w:rsid w:val="00C60195"/>
    <w:rsid w:val="00C601A8"/>
    <w:rsid w:val="00C617CF"/>
    <w:rsid w:val="00C623B9"/>
    <w:rsid w:val="00C625C2"/>
    <w:rsid w:val="00C6390B"/>
    <w:rsid w:val="00C6501B"/>
    <w:rsid w:val="00C65879"/>
    <w:rsid w:val="00C66DA7"/>
    <w:rsid w:val="00C70C2A"/>
    <w:rsid w:val="00C71571"/>
    <w:rsid w:val="00C72B67"/>
    <w:rsid w:val="00C73958"/>
    <w:rsid w:val="00C73CA7"/>
    <w:rsid w:val="00C73DE2"/>
    <w:rsid w:val="00C7422A"/>
    <w:rsid w:val="00C7464B"/>
    <w:rsid w:val="00C76555"/>
    <w:rsid w:val="00C76F93"/>
    <w:rsid w:val="00C77204"/>
    <w:rsid w:val="00C77948"/>
    <w:rsid w:val="00C81B34"/>
    <w:rsid w:val="00C81EE0"/>
    <w:rsid w:val="00C822CB"/>
    <w:rsid w:val="00C83010"/>
    <w:rsid w:val="00C834D2"/>
    <w:rsid w:val="00C83572"/>
    <w:rsid w:val="00C84EEC"/>
    <w:rsid w:val="00C85F69"/>
    <w:rsid w:val="00C86296"/>
    <w:rsid w:val="00C867CF"/>
    <w:rsid w:val="00C86C4C"/>
    <w:rsid w:val="00C87A21"/>
    <w:rsid w:val="00C91526"/>
    <w:rsid w:val="00C9245E"/>
    <w:rsid w:val="00C93E79"/>
    <w:rsid w:val="00C93F7F"/>
    <w:rsid w:val="00C95DAE"/>
    <w:rsid w:val="00C96D5F"/>
    <w:rsid w:val="00C97358"/>
    <w:rsid w:val="00CA22EB"/>
    <w:rsid w:val="00CA24A2"/>
    <w:rsid w:val="00CA26B5"/>
    <w:rsid w:val="00CA2C79"/>
    <w:rsid w:val="00CA2F73"/>
    <w:rsid w:val="00CA43E9"/>
    <w:rsid w:val="00CA4522"/>
    <w:rsid w:val="00CA4955"/>
    <w:rsid w:val="00CA4E72"/>
    <w:rsid w:val="00CA6123"/>
    <w:rsid w:val="00CA6322"/>
    <w:rsid w:val="00CA6335"/>
    <w:rsid w:val="00CA6486"/>
    <w:rsid w:val="00CA6E2E"/>
    <w:rsid w:val="00CA738F"/>
    <w:rsid w:val="00CA73F9"/>
    <w:rsid w:val="00CB0139"/>
    <w:rsid w:val="00CB07DA"/>
    <w:rsid w:val="00CB0F19"/>
    <w:rsid w:val="00CB12FD"/>
    <w:rsid w:val="00CB1C42"/>
    <w:rsid w:val="00CB1F19"/>
    <w:rsid w:val="00CB2E36"/>
    <w:rsid w:val="00CB3004"/>
    <w:rsid w:val="00CB4C29"/>
    <w:rsid w:val="00CB5349"/>
    <w:rsid w:val="00CB5445"/>
    <w:rsid w:val="00CB58DE"/>
    <w:rsid w:val="00CB5C48"/>
    <w:rsid w:val="00CC01B3"/>
    <w:rsid w:val="00CC0626"/>
    <w:rsid w:val="00CC2301"/>
    <w:rsid w:val="00CC40A4"/>
    <w:rsid w:val="00CC4322"/>
    <w:rsid w:val="00CC49DC"/>
    <w:rsid w:val="00CC780A"/>
    <w:rsid w:val="00CD0B32"/>
    <w:rsid w:val="00CD209F"/>
    <w:rsid w:val="00CD51FA"/>
    <w:rsid w:val="00CD5258"/>
    <w:rsid w:val="00CD6B2B"/>
    <w:rsid w:val="00CD773E"/>
    <w:rsid w:val="00CE03FD"/>
    <w:rsid w:val="00CE2936"/>
    <w:rsid w:val="00CE322F"/>
    <w:rsid w:val="00CE4504"/>
    <w:rsid w:val="00CE4C44"/>
    <w:rsid w:val="00CE53AD"/>
    <w:rsid w:val="00CE6B30"/>
    <w:rsid w:val="00CE6C9C"/>
    <w:rsid w:val="00CE76D0"/>
    <w:rsid w:val="00CE7FE0"/>
    <w:rsid w:val="00CF10A1"/>
    <w:rsid w:val="00CF14AA"/>
    <w:rsid w:val="00CF417D"/>
    <w:rsid w:val="00CF46C9"/>
    <w:rsid w:val="00CF4767"/>
    <w:rsid w:val="00CF4AED"/>
    <w:rsid w:val="00CF4BB2"/>
    <w:rsid w:val="00CF5303"/>
    <w:rsid w:val="00D00A45"/>
    <w:rsid w:val="00D011F7"/>
    <w:rsid w:val="00D055A7"/>
    <w:rsid w:val="00D0564D"/>
    <w:rsid w:val="00D05C1A"/>
    <w:rsid w:val="00D070B8"/>
    <w:rsid w:val="00D07521"/>
    <w:rsid w:val="00D07ACB"/>
    <w:rsid w:val="00D1308C"/>
    <w:rsid w:val="00D1426E"/>
    <w:rsid w:val="00D175D6"/>
    <w:rsid w:val="00D17886"/>
    <w:rsid w:val="00D17ABE"/>
    <w:rsid w:val="00D222B2"/>
    <w:rsid w:val="00D2318A"/>
    <w:rsid w:val="00D231ED"/>
    <w:rsid w:val="00D23403"/>
    <w:rsid w:val="00D24ABA"/>
    <w:rsid w:val="00D24C30"/>
    <w:rsid w:val="00D2597F"/>
    <w:rsid w:val="00D25B00"/>
    <w:rsid w:val="00D2637B"/>
    <w:rsid w:val="00D26F55"/>
    <w:rsid w:val="00D306CB"/>
    <w:rsid w:val="00D32539"/>
    <w:rsid w:val="00D32E1A"/>
    <w:rsid w:val="00D33470"/>
    <w:rsid w:val="00D334F0"/>
    <w:rsid w:val="00D33A0D"/>
    <w:rsid w:val="00D33F83"/>
    <w:rsid w:val="00D355B6"/>
    <w:rsid w:val="00D3575F"/>
    <w:rsid w:val="00D35957"/>
    <w:rsid w:val="00D4003B"/>
    <w:rsid w:val="00D416AD"/>
    <w:rsid w:val="00D41D85"/>
    <w:rsid w:val="00D41E74"/>
    <w:rsid w:val="00D422A4"/>
    <w:rsid w:val="00D42B1E"/>
    <w:rsid w:val="00D4300A"/>
    <w:rsid w:val="00D4413E"/>
    <w:rsid w:val="00D467EA"/>
    <w:rsid w:val="00D46822"/>
    <w:rsid w:val="00D5093B"/>
    <w:rsid w:val="00D50BEB"/>
    <w:rsid w:val="00D51C4C"/>
    <w:rsid w:val="00D51FC1"/>
    <w:rsid w:val="00D52DFD"/>
    <w:rsid w:val="00D533D3"/>
    <w:rsid w:val="00D56A8D"/>
    <w:rsid w:val="00D56AEE"/>
    <w:rsid w:val="00D56DF3"/>
    <w:rsid w:val="00D61058"/>
    <w:rsid w:val="00D6105E"/>
    <w:rsid w:val="00D6118C"/>
    <w:rsid w:val="00D6295B"/>
    <w:rsid w:val="00D62ED6"/>
    <w:rsid w:val="00D63137"/>
    <w:rsid w:val="00D639E9"/>
    <w:rsid w:val="00D64F96"/>
    <w:rsid w:val="00D652E5"/>
    <w:rsid w:val="00D658D7"/>
    <w:rsid w:val="00D67FFC"/>
    <w:rsid w:val="00D70106"/>
    <w:rsid w:val="00D705D4"/>
    <w:rsid w:val="00D70793"/>
    <w:rsid w:val="00D715B4"/>
    <w:rsid w:val="00D71937"/>
    <w:rsid w:val="00D71A7E"/>
    <w:rsid w:val="00D72A35"/>
    <w:rsid w:val="00D72F3D"/>
    <w:rsid w:val="00D734A5"/>
    <w:rsid w:val="00D73DB7"/>
    <w:rsid w:val="00D74B90"/>
    <w:rsid w:val="00D74EF2"/>
    <w:rsid w:val="00D75C2D"/>
    <w:rsid w:val="00D77A05"/>
    <w:rsid w:val="00D808E7"/>
    <w:rsid w:val="00D83DEE"/>
    <w:rsid w:val="00D8432B"/>
    <w:rsid w:val="00D85755"/>
    <w:rsid w:val="00D85A12"/>
    <w:rsid w:val="00D85F13"/>
    <w:rsid w:val="00D86297"/>
    <w:rsid w:val="00D86CBB"/>
    <w:rsid w:val="00D86ED0"/>
    <w:rsid w:val="00D9096A"/>
    <w:rsid w:val="00D910C9"/>
    <w:rsid w:val="00D9175C"/>
    <w:rsid w:val="00D927AD"/>
    <w:rsid w:val="00D92D54"/>
    <w:rsid w:val="00D92F38"/>
    <w:rsid w:val="00D952D8"/>
    <w:rsid w:val="00D96749"/>
    <w:rsid w:val="00D978F6"/>
    <w:rsid w:val="00DA0DAC"/>
    <w:rsid w:val="00DA109A"/>
    <w:rsid w:val="00DA1D71"/>
    <w:rsid w:val="00DA1DC3"/>
    <w:rsid w:val="00DA35ED"/>
    <w:rsid w:val="00DA3A89"/>
    <w:rsid w:val="00DA42E9"/>
    <w:rsid w:val="00DA4654"/>
    <w:rsid w:val="00DA5F32"/>
    <w:rsid w:val="00DA689C"/>
    <w:rsid w:val="00DA749E"/>
    <w:rsid w:val="00DB0CC1"/>
    <w:rsid w:val="00DB44D6"/>
    <w:rsid w:val="00DB49C4"/>
    <w:rsid w:val="00DB4FBF"/>
    <w:rsid w:val="00DB5031"/>
    <w:rsid w:val="00DB66E9"/>
    <w:rsid w:val="00DB6BD7"/>
    <w:rsid w:val="00DB7982"/>
    <w:rsid w:val="00DC13B3"/>
    <w:rsid w:val="00DC30CF"/>
    <w:rsid w:val="00DC4596"/>
    <w:rsid w:val="00DC5E41"/>
    <w:rsid w:val="00DC6260"/>
    <w:rsid w:val="00DC64B4"/>
    <w:rsid w:val="00DC69FE"/>
    <w:rsid w:val="00DC7A92"/>
    <w:rsid w:val="00DC7B0A"/>
    <w:rsid w:val="00DD0BDE"/>
    <w:rsid w:val="00DD130B"/>
    <w:rsid w:val="00DD2C8C"/>
    <w:rsid w:val="00DD2CE5"/>
    <w:rsid w:val="00DD3C9D"/>
    <w:rsid w:val="00DD4791"/>
    <w:rsid w:val="00DD5022"/>
    <w:rsid w:val="00DD562B"/>
    <w:rsid w:val="00DD6C96"/>
    <w:rsid w:val="00DD6F9E"/>
    <w:rsid w:val="00DD7C64"/>
    <w:rsid w:val="00DE0A47"/>
    <w:rsid w:val="00DE113A"/>
    <w:rsid w:val="00DE1C56"/>
    <w:rsid w:val="00DE29C5"/>
    <w:rsid w:val="00DE2E11"/>
    <w:rsid w:val="00DE2F17"/>
    <w:rsid w:val="00DE2F1A"/>
    <w:rsid w:val="00DE33A9"/>
    <w:rsid w:val="00DE3635"/>
    <w:rsid w:val="00DE391C"/>
    <w:rsid w:val="00DE475F"/>
    <w:rsid w:val="00DE5731"/>
    <w:rsid w:val="00DE5E5C"/>
    <w:rsid w:val="00DE67B1"/>
    <w:rsid w:val="00DE7DDE"/>
    <w:rsid w:val="00DF0689"/>
    <w:rsid w:val="00DF076D"/>
    <w:rsid w:val="00DF232F"/>
    <w:rsid w:val="00DF234C"/>
    <w:rsid w:val="00DF24E6"/>
    <w:rsid w:val="00DF4373"/>
    <w:rsid w:val="00DF5CD4"/>
    <w:rsid w:val="00E01950"/>
    <w:rsid w:val="00E0328C"/>
    <w:rsid w:val="00E03442"/>
    <w:rsid w:val="00E03978"/>
    <w:rsid w:val="00E04111"/>
    <w:rsid w:val="00E04A47"/>
    <w:rsid w:val="00E06449"/>
    <w:rsid w:val="00E074C6"/>
    <w:rsid w:val="00E0764A"/>
    <w:rsid w:val="00E076EA"/>
    <w:rsid w:val="00E07733"/>
    <w:rsid w:val="00E116D3"/>
    <w:rsid w:val="00E12AE7"/>
    <w:rsid w:val="00E12E34"/>
    <w:rsid w:val="00E13881"/>
    <w:rsid w:val="00E13BB6"/>
    <w:rsid w:val="00E15865"/>
    <w:rsid w:val="00E15A4D"/>
    <w:rsid w:val="00E17295"/>
    <w:rsid w:val="00E207F1"/>
    <w:rsid w:val="00E210B4"/>
    <w:rsid w:val="00E21690"/>
    <w:rsid w:val="00E226CC"/>
    <w:rsid w:val="00E22FC8"/>
    <w:rsid w:val="00E24034"/>
    <w:rsid w:val="00E2626B"/>
    <w:rsid w:val="00E26368"/>
    <w:rsid w:val="00E26F91"/>
    <w:rsid w:val="00E27268"/>
    <w:rsid w:val="00E30070"/>
    <w:rsid w:val="00E30AA6"/>
    <w:rsid w:val="00E31A67"/>
    <w:rsid w:val="00E31FF7"/>
    <w:rsid w:val="00E32497"/>
    <w:rsid w:val="00E32A1E"/>
    <w:rsid w:val="00E32CF7"/>
    <w:rsid w:val="00E33F46"/>
    <w:rsid w:val="00E358B0"/>
    <w:rsid w:val="00E35CFB"/>
    <w:rsid w:val="00E36A5F"/>
    <w:rsid w:val="00E371D5"/>
    <w:rsid w:val="00E41195"/>
    <w:rsid w:val="00E41381"/>
    <w:rsid w:val="00E417EB"/>
    <w:rsid w:val="00E42296"/>
    <w:rsid w:val="00E43566"/>
    <w:rsid w:val="00E447C1"/>
    <w:rsid w:val="00E44EB2"/>
    <w:rsid w:val="00E46834"/>
    <w:rsid w:val="00E509BD"/>
    <w:rsid w:val="00E512B2"/>
    <w:rsid w:val="00E52382"/>
    <w:rsid w:val="00E53CC3"/>
    <w:rsid w:val="00E547A5"/>
    <w:rsid w:val="00E55CA7"/>
    <w:rsid w:val="00E56706"/>
    <w:rsid w:val="00E57D25"/>
    <w:rsid w:val="00E627F9"/>
    <w:rsid w:val="00E63921"/>
    <w:rsid w:val="00E649A9"/>
    <w:rsid w:val="00E6578D"/>
    <w:rsid w:val="00E65B37"/>
    <w:rsid w:val="00E65E0F"/>
    <w:rsid w:val="00E676B6"/>
    <w:rsid w:val="00E67D13"/>
    <w:rsid w:val="00E70422"/>
    <w:rsid w:val="00E710A9"/>
    <w:rsid w:val="00E71785"/>
    <w:rsid w:val="00E71F6F"/>
    <w:rsid w:val="00E725C8"/>
    <w:rsid w:val="00E72F30"/>
    <w:rsid w:val="00E73036"/>
    <w:rsid w:val="00E731AA"/>
    <w:rsid w:val="00E740A3"/>
    <w:rsid w:val="00E744DD"/>
    <w:rsid w:val="00E74986"/>
    <w:rsid w:val="00E7564D"/>
    <w:rsid w:val="00E759CA"/>
    <w:rsid w:val="00E7650A"/>
    <w:rsid w:val="00E76904"/>
    <w:rsid w:val="00E77360"/>
    <w:rsid w:val="00E77667"/>
    <w:rsid w:val="00E812A0"/>
    <w:rsid w:val="00E814A8"/>
    <w:rsid w:val="00E822F4"/>
    <w:rsid w:val="00E8415D"/>
    <w:rsid w:val="00E8518E"/>
    <w:rsid w:val="00E869AD"/>
    <w:rsid w:val="00E87263"/>
    <w:rsid w:val="00E9000E"/>
    <w:rsid w:val="00E913A0"/>
    <w:rsid w:val="00E91407"/>
    <w:rsid w:val="00E91D1F"/>
    <w:rsid w:val="00E91F32"/>
    <w:rsid w:val="00E9256D"/>
    <w:rsid w:val="00E93604"/>
    <w:rsid w:val="00E946AC"/>
    <w:rsid w:val="00E95CB6"/>
    <w:rsid w:val="00E95E33"/>
    <w:rsid w:val="00E97481"/>
    <w:rsid w:val="00EA2813"/>
    <w:rsid w:val="00EA414B"/>
    <w:rsid w:val="00EA4A01"/>
    <w:rsid w:val="00EA4CB6"/>
    <w:rsid w:val="00EA5C45"/>
    <w:rsid w:val="00EA6139"/>
    <w:rsid w:val="00EA6595"/>
    <w:rsid w:val="00EA6A16"/>
    <w:rsid w:val="00EB0209"/>
    <w:rsid w:val="00EB08FD"/>
    <w:rsid w:val="00EB1236"/>
    <w:rsid w:val="00EB40EF"/>
    <w:rsid w:val="00EB42A1"/>
    <w:rsid w:val="00EB4B8C"/>
    <w:rsid w:val="00EB5B72"/>
    <w:rsid w:val="00EB5F07"/>
    <w:rsid w:val="00EB5FB3"/>
    <w:rsid w:val="00EB7194"/>
    <w:rsid w:val="00EB7ED7"/>
    <w:rsid w:val="00EC03BC"/>
    <w:rsid w:val="00EC0900"/>
    <w:rsid w:val="00EC246C"/>
    <w:rsid w:val="00EC29C3"/>
    <w:rsid w:val="00EC2B60"/>
    <w:rsid w:val="00EC35C2"/>
    <w:rsid w:val="00EC42EF"/>
    <w:rsid w:val="00EC4B6C"/>
    <w:rsid w:val="00EC5DB8"/>
    <w:rsid w:val="00EC6CAC"/>
    <w:rsid w:val="00ED11DE"/>
    <w:rsid w:val="00ED1974"/>
    <w:rsid w:val="00ED1C90"/>
    <w:rsid w:val="00ED1F21"/>
    <w:rsid w:val="00ED48F4"/>
    <w:rsid w:val="00ED54E8"/>
    <w:rsid w:val="00ED5EBC"/>
    <w:rsid w:val="00ED6BAE"/>
    <w:rsid w:val="00ED7004"/>
    <w:rsid w:val="00EE1FEE"/>
    <w:rsid w:val="00EE2711"/>
    <w:rsid w:val="00EE2D61"/>
    <w:rsid w:val="00EE68E6"/>
    <w:rsid w:val="00EE6C46"/>
    <w:rsid w:val="00EE7FE1"/>
    <w:rsid w:val="00EF1036"/>
    <w:rsid w:val="00EF1FED"/>
    <w:rsid w:val="00EF4D56"/>
    <w:rsid w:val="00EF4F30"/>
    <w:rsid w:val="00EF706B"/>
    <w:rsid w:val="00F0044A"/>
    <w:rsid w:val="00F00D50"/>
    <w:rsid w:val="00F03862"/>
    <w:rsid w:val="00F03C9A"/>
    <w:rsid w:val="00F048C0"/>
    <w:rsid w:val="00F04969"/>
    <w:rsid w:val="00F05261"/>
    <w:rsid w:val="00F05799"/>
    <w:rsid w:val="00F0595B"/>
    <w:rsid w:val="00F06543"/>
    <w:rsid w:val="00F0784A"/>
    <w:rsid w:val="00F07B29"/>
    <w:rsid w:val="00F10E9B"/>
    <w:rsid w:val="00F11D45"/>
    <w:rsid w:val="00F1563E"/>
    <w:rsid w:val="00F15BB5"/>
    <w:rsid w:val="00F1707C"/>
    <w:rsid w:val="00F171A4"/>
    <w:rsid w:val="00F172F9"/>
    <w:rsid w:val="00F22264"/>
    <w:rsid w:val="00F23ED8"/>
    <w:rsid w:val="00F24499"/>
    <w:rsid w:val="00F252CD"/>
    <w:rsid w:val="00F252D5"/>
    <w:rsid w:val="00F2553E"/>
    <w:rsid w:val="00F26B44"/>
    <w:rsid w:val="00F2736A"/>
    <w:rsid w:val="00F27CFF"/>
    <w:rsid w:val="00F27EBE"/>
    <w:rsid w:val="00F30024"/>
    <w:rsid w:val="00F3318F"/>
    <w:rsid w:val="00F34BB1"/>
    <w:rsid w:val="00F34F37"/>
    <w:rsid w:val="00F40322"/>
    <w:rsid w:val="00F40452"/>
    <w:rsid w:val="00F40E65"/>
    <w:rsid w:val="00F42DE7"/>
    <w:rsid w:val="00F443C4"/>
    <w:rsid w:val="00F44456"/>
    <w:rsid w:val="00F45A07"/>
    <w:rsid w:val="00F45D1F"/>
    <w:rsid w:val="00F45F43"/>
    <w:rsid w:val="00F4660F"/>
    <w:rsid w:val="00F46CDA"/>
    <w:rsid w:val="00F472F7"/>
    <w:rsid w:val="00F47C33"/>
    <w:rsid w:val="00F47E74"/>
    <w:rsid w:val="00F50002"/>
    <w:rsid w:val="00F502F2"/>
    <w:rsid w:val="00F50684"/>
    <w:rsid w:val="00F51C03"/>
    <w:rsid w:val="00F52116"/>
    <w:rsid w:val="00F52424"/>
    <w:rsid w:val="00F5481D"/>
    <w:rsid w:val="00F54BDF"/>
    <w:rsid w:val="00F54D9E"/>
    <w:rsid w:val="00F55241"/>
    <w:rsid w:val="00F57346"/>
    <w:rsid w:val="00F573B9"/>
    <w:rsid w:val="00F57B0B"/>
    <w:rsid w:val="00F60201"/>
    <w:rsid w:val="00F60261"/>
    <w:rsid w:val="00F6076B"/>
    <w:rsid w:val="00F61800"/>
    <w:rsid w:val="00F61E27"/>
    <w:rsid w:val="00F624F2"/>
    <w:rsid w:val="00F636C0"/>
    <w:rsid w:val="00F64B67"/>
    <w:rsid w:val="00F6584B"/>
    <w:rsid w:val="00F65BC7"/>
    <w:rsid w:val="00F65C9C"/>
    <w:rsid w:val="00F6728B"/>
    <w:rsid w:val="00F677B6"/>
    <w:rsid w:val="00F70171"/>
    <w:rsid w:val="00F71198"/>
    <w:rsid w:val="00F715BF"/>
    <w:rsid w:val="00F7240F"/>
    <w:rsid w:val="00F74C83"/>
    <w:rsid w:val="00F74E8B"/>
    <w:rsid w:val="00F7716C"/>
    <w:rsid w:val="00F80431"/>
    <w:rsid w:val="00F80947"/>
    <w:rsid w:val="00F80959"/>
    <w:rsid w:val="00F80A96"/>
    <w:rsid w:val="00F81560"/>
    <w:rsid w:val="00F8208C"/>
    <w:rsid w:val="00F83159"/>
    <w:rsid w:val="00F84B3E"/>
    <w:rsid w:val="00F86013"/>
    <w:rsid w:val="00F869ED"/>
    <w:rsid w:val="00F878A7"/>
    <w:rsid w:val="00F9005B"/>
    <w:rsid w:val="00F91F32"/>
    <w:rsid w:val="00F91FFD"/>
    <w:rsid w:val="00F92508"/>
    <w:rsid w:val="00F936BB"/>
    <w:rsid w:val="00F93D83"/>
    <w:rsid w:val="00F9481F"/>
    <w:rsid w:val="00F95343"/>
    <w:rsid w:val="00F953B1"/>
    <w:rsid w:val="00F95B31"/>
    <w:rsid w:val="00F96529"/>
    <w:rsid w:val="00F96AC1"/>
    <w:rsid w:val="00F96AFA"/>
    <w:rsid w:val="00F97097"/>
    <w:rsid w:val="00F97225"/>
    <w:rsid w:val="00FA1639"/>
    <w:rsid w:val="00FA1DC5"/>
    <w:rsid w:val="00FA2539"/>
    <w:rsid w:val="00FA3923"/>
    <w:rsid w:val="00FA598C"/>
    <w:rsid w:val="00FA622B"/>
    <w:rsid w:val="00FA64CC"/>
    <w:rsid w:val="00FA6A09"/>
    <w:rsid w:val="00FA6A85"/>
    <w:rsid w:val="00FA7EEC"/>
    <w:rsid w:val="00FA7EFE"/>
    <w:rsid w:val="00FB088E"/>
    <w:rsid w:val="00FB3D80"/>
    <w:rsid w:val="00FB40C9"/>
    <w:rsid w:val="00FB4571"/>
    <w:rsid w:val="00FB4D0E"/>
    <w:rsid w:val="00FB4D90"/>
    <w:rsid w:val="00FB5404"/>
    <w:rsid w:val="00FB5EC8"/>
    <w:rsid w:val="00FB66BF"/>
    <w:rsid w:val="00FB7134"/>
    <w:rsid w:val="00FC028D"/>
    <w:rsid w:val="00FC0C76"/>
    <w:rsid w:val="00FC2BC8"/>
    <w:rsid w:val="00FC3062"/>
    <w:rsid w:val="00FC3F4F"/>
    <w:rsid w:val="00FC5374"/>
    <w:rsid w:val="00FC675E"/>
    <w:rsid w:val="00FC6A62"/>
    <w:rsid w:val="00FC74F2"/>
    <w:rsid w:val="00FD016E"/>
    <w:rsid w:val="00FD06EB"/>
    <w:rsid w:val="00FD06F1"/>
    <w:rsid w:val="00FD0970"/>
    <w:rsid w:val="00FD2C1F"/>
    <w:rsid w:val="00FD6ED3"/>
    <w:rsid w:val="00FD79CE"/>
    <w:rsid w:val="00FE19C7"/>
    <w:rsid w:val="00FE2887"/>
    <w:rsid w:val="00FE2CE1"/>
    <w:rsid w:val="00FE379D"/>
    <w:rsid w:val="00FE47F7"/>
    <w:rsid w:val="00FE492E"/>
    <w:rsid w:val="00FE5630"/>
    <w:rsid w:val="00FE7C9C"/>
    <w:rsid w:val="00FF0003"/>
    <w:rsid w:val="00FF07AD"/>
    <w:rsid w:val="00FF0CF5"/>
    <w:rsid w:val="00FF1B4B"/>
    <w:rsid w:val="00FF1E28"/>
    <w:rsid w:val="00FF287F"/>
    <w:rsid w:val="00FF2B4A"/>
    <w:rsid w:val="00FF3007"/>
    <w:rsid w:val="00FF34AD"/>
    <w:rsid w:val="00FF3BE9"/>
    <w:rsid w:val="00FF40FD"/>
    <w:rsid w:val="00FF616A"/>
    <w:rsid w:val="00FF62B5"/>
    <w:rsid w:val="00FF64C1"/>
    <w:rsid w:val="00FF6B07"/>
    <w:rsid w:val="00FF78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E0F66"/>
  <w15:chartTrackingRefBased/>
  <w15:docId w15:val="{D4F9E7A9-5D55-4CEE-BC3D-98808DB4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706F"/>
    <w:pPr>
      <w:spacing w:after="0"/>
      <w:jc w:val="both"/>
    </w:pPr>
    <w:rPr>
      <w:rFonts w:ascii="Times New Roman" w:hAnsi="Times New Roman"/>
      <w:sz w:val="24"/>
    </w:rPr>
  </w:style>
  <w:style w:type="paragraph" w:styleId="Nadpis1">
    <w:name w:val="heading 1"/>
    <w:basedOn w:val="Normln"/>
    <w:next w:val="Normln"/>
    <w:link w:val="Nadpis1Char"/>
    <w:qFormat/>
    <w:rsid w:val="00AF2F16"/>
    <w:pPr>
      <w:keepNext/>
      <w:numPr>
        <w:numId w:val="2"/>
      </w:numPr>
      <w:overflowPunct w:val="0"/>
      <w:autoSpaceDE w:val="0"/>
      <w:autoSpaceDN w:val="0"/>
      <w:adjustRightInd w:val="0"/>
      <w:spacing w:after="240" w:line="240" w:lineRule="auto"/>
      <w:outlineLvl w:val="0"/>
    </w:pPr>
    <w:rPr>
      <w:rFonts w:eastAsia="Times New Roman" w:cs="Times New Roman"/>
      <w:b/>
      <w:caps/>
      <w:sz w:val="28"/>
      <w:szCs w:val="20"/>
      <w:lang w:eastAsia="cs-CZ"/>
    </w:rPr>
  </w:style>
  <w:style w:type="paragraph" w:styleId="Nadpis2">
    <w:name w:val="heading 2"/>
    <w:basedOn w:val="Normln"/>
    <w:next w:val="Normln"/>
    <w:link w:val="Nadpis2Char"/>
    <w:qFormat/>
    <w:rsid w:val="00AF2F16"/>
    <w:pPr>
      <w:keepNext/>
      <w:numPr>
        <w:ilvl w:val="1"/>
        <w:numId w:val="2"/>
      </w:numPr>
      <w:spacing w:before="240" w:after="240" w:line="240" w:lineRule="auto"/>
      <w:outlineLvl w:val="1"/>
    </w:pPr>
    <w:rPr>
      <w:rFonts w:eastAsia="Times New Roman" w:cs="Arial"/>
      <w:b/>
      <w:bCs/>
      <w:iCs/>
      <w:sz w:val="26"/>
      <w:szCs w:val="28"/>
      <w:lang w:eastAsia="cs-CZ"/>
    </w:rPr>
  </w:style>
  <w:style w:type="paragraph" w:styleId="Nadpis3">
    <w:name w:val="heading 3"/>
    <w:basedOn w:val="Normln"/>
    <w:next w:val="Normln"/>
    <w:link w:val="Nadpis3Char"/>
    <w:qFormat/>
    <w:rsid w:val="007B2F4B"/>
    <w:pPr>
      <w:keepNext/>
      <w:numPr>
        <w:ilvl w:val="2"/>
        <w:numId w:val="2"/>
      </w:numPr>
      <w:spacing w:before="240" w:after="120" w:line="240" w:lineRule="auto"/>
      <w:outlineLvl w:val="2"/>
    </w:pPr>
    <w:rPr>
      <w:rFonts w:eastAsia="Times New Roman" w:cs="Arial"/>
      <w:b/>
      <w:bCs/>
      <w:szCs w:val="26"/>
      <w:lang w:eastAsia="cs-CZ"/>
    </w:rPr>
  </w:style>
  <w:style w:type="paragraph" w:styleId="Nadpis4">
    <w:name w:val="heading 4"/>
    <w:basedOn w:val="Normln"/>
    <w:next w:val="Normln"/>
    <w:link w:val="Nadpis4Char"/>
    <w:qFormat/>
    <w:rsid w:val="004D58A5"/>
    <w:pPr>
      <w:keepNext/>
      <w:spacing w:before="240" w:after="60" w:line="240" w:lineRule="auto"/>
      <w:outlineLvl w:val="3"/>
    </w:pPr>
    <w:rPr>
      <w:rFonts w:eastAsia="Times New Roman" w:cs="Times New Roman"/>
      <w:b/>
      <w:bCs/>
      <w:szCs w:val="28"/>
      <w:u w:val="single"/>
      <w:lang w:eastAsia="cs-CZ"/>
    </w:rPr>
  </w:style>
  <w:style w:type="paragraph" w:styleId="Nadpis5">
    <w:name w:val="heading 5"/>
    <w:basedOn w:val="Normln"/>
    <w:next w:val="Normln"/>
    <w:link w:val="Nadpis5Char"/>
    <w:qFormat/>
    <w:rsid w:val="00F3318F"/>
    <w:pPr>
      <w:numPr>
        <w:ilvl w:val="4"/>
        <w:numId w:val="2"/>
      </w:numPr>
      <w:spacing w:before="240" w:after="60" w:line="240" w:lineRule="auto"/>
      <w:outlineLvl w:val="4"/>
    </w:pPr>
    <w:rPr>
      <w:rFonts w:eastAsia="Times New Roman" w:cs="Times New Roman"/>
      <w:b/>
      <w:bCs/>
      <w:i/>
      <w:iCs/>
      <w:sz w:val="26"/>
      <w:szCs w:val="26"/>
      <w:lang w:eastAsia="cs-CZ"/>
    </w:rPr>
  </w:style>
  <w:style w:type="paragraph" w:styleId="Nadpis6">
    <w:name w:val="heading 6"/>
    <w:basedOn w:val="Normln"/>
    <w:next w:val="Normln"/>
    <w:link w:val="Nadpis6Char"/>
    <w:qFormat/>
    <w:rsid w:val="00F3318F"/>
    <w:pPr>
      <w:numPr>
        <w:ilvl w:val="5"/>
        <w:numId w:val="2"/>
      </w:numPr>
      <w:spacing w:before="240" w:after="60" w:line="240" w:lineRule="auto"/>
      <w:outlineLvl w:val="5"/>
    </w:pPr>
    <w:rPr>
      <w:rFonts w:eastAsia="Times New Roman" w:cs="Times New Roman"/>
      <w:b/>
      <w:bCs/>
      <w:lang w:eastAsia="cs-CZ"/>
    </w:rPr>
  </w:style>
  <w:style w:type="paragraph" w:styleId="Nadpis7">
    <w:name w:val="heading 7"/>
    <w:basedOn w:val="Normln"/>
    <w:next w:val="Normln"/>
    <w:link w:val="Nadpis7Char"/>
    <w:qFormat/>
    <w:rsid w:val="000D634C"/>
    <w:pPr>
      <w:keepNext/>
      <w:spacing w:before="240" w:after="120"/>
      <w:ind w:firstLine="284"/>
      <w:outlineLvl w:val="6"/>
    </w:pPr>
    <w:rPr>
      <w:rFonts w:eastAsia="Times New Roman" w:cs="Times New Roman"/>
      <w:b/>
      <w:szCs w:val="24"/>
      <w:lang w:eastAsia="cs-CZ"/>
    </w:rPr>
  </w:style>
  <w:style w:type="paragraph" w:styleId="Nadpis8">
    <w:name w:val="heading 8"/>
    <w:basedOn w:val="obyctext"/>
    <w:next w:val="Normln"/>
    <w:link w:val="Nadpis8Char"/>
    <w:qFormat/>
    <w:rsid w:val="00CF4AED"/>
    <w:pPr>
      <w:keepNext/>
      <w:tabs>
        <w:tab w:val="left" w:pos="426"/>
      </w:tabs>
      <w:spacing w:before="240" w:after="120"/>
      <w:ind w:firstLine="0"/>
      <w:outlineLvl w:val="7"/>
    </w:pPr>
    <w:rPr>
      <w:u w:val="single"/>
    </w:rPr>
  </w:style>
  <w:style w:type="paragraph" w:styleId="Nadpis9">
    <w:name w:val="heading 9"/>
    <w:basedOn w:val="Normln"/>
    <w:next w:val="Normln"/>
    <w:link w:val="Nadpis9Char"/>
    <w:qFormat/>
    <w:rsid w:val="00CF4AED"/>
    <w:pPr>
      <w:keepNext/>
      <w:spacing w:before="240" w:after="120"/>
      <w:outlineLvl w:val="8"/>
    </w:pPr>
    <w:rPr>
      <w:rFonts w:cs="Times New Roman"/>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134C47"/>
    <w:pPr>
      <w:tabs>
        <w:tab w:val="left" w:pos="180"/>
        <w:tab w:val="right" w:leader="dot" w:pos="9060"/>
      </w:tabs>
      <w:spacing w:line="240" w:lineRule="auto"/>
      <w:jc w:val="center"/>
    </w:pPr>
    <w:rPr>
      <w:rFonts w:eastAsia="Times New Roman" w:cs="Times New Roman"/>
      <w:b/>
      <w:noProof/>
      <w:szCs w:val="24"/>
      <w:lang w:eastAsia="cs-CZ"/>
    </w:rPr>
  </w:style>
  <w:style w:type="character" w:customStyle="1" w:styleId="Nadpis1Char">
    <w:name w:val="Nadpis 1 Char"/>
    <w:basedOn w:val="Standardnpsmoodstavce"/>
    <w:link w:val="Nadpis1"/>
    <w:rsid w:val="00AF2F16"/>
    <w:rPr>
      <w:rFonts w:ascii="Times New Roman" w:eastAsia="Times New Roman" w:hAnsi="Times New Roman" w:cs="Times New Roman"/>
      <w:b/>
      <w:caps/>
      <w:sz w:val="28"/>
      <w:szCs w:val="20"/>
      <w:lang w:eastAsia="cs-CZ"/>
    </w:rPr>
  </w:style>
  <w:style w:type="character" w:customStyle="1" w:styleId="Nadpis2Char">
    <w:name w:val="Nadpis 2 Char"/>
    <w:basedOn w:val="Standardnpsmoodstavce"/>
    <w:link w:val="Nadpis2"/>
    <w:rsid w:val="00AF2F16"/>
    <w:rPr>
      <w:rFonts w:ascii="Times New Roman" w:eastAsia="Times New Roman" w:hAnsi="Times New Roman" w:cs="Arial"/>
      <w:b/>
      <w:bCs/>
      <w:iCs/>
      <w:sz w:val="26"/>
      <w:szCs w:val="28"/>
      <w:lang w:eastAsia="cs-CZ"/>
    </w:rPr>
  </w:style>
  <w:style w:type="character" w:customStyle="1" w:styleId="Nadpis3Char">
    <w:name w:val="Nadpis 3 Char"/>
    <w:basedOn w:val="Standardnpsmoodstavce"/>
    <w:link w:val="Nadpis3"/>
    <w:rsid w:val="007B2F4B"/>
    <w:rPr>
      <w:rFonts w:ascii="Times New Roman" w:eastAsia="Times New Roman" w:hAnsi="Times New Roman" w:cs="Arial"/>
      <w:b/>
      <w:bCs/>
      <w:sz w:val="24"/>
      <w:szCs w:val="26"/>
      <w:lang w:eastAsia="cs-CZ"/>
    </w:rPr>
  </w:style>
  <w:style w:type="character" w:customStyle="1" w:styleId="Nadpis4Char">
    <w:name w:val="Nadpis 4 Char"/>
    <w:basedOn w:val="Standardnpsmoodstavce"/>
    <w:link w:val="Nadpis4"/>
    <w:rsid w:val="004D58A5"/>
    <w:rPr>
      <w:rFonts w:ascii="Times New Roman" w:eastAsia="Times New Roman" w:hAnsi="Times New Roman" w:cs="Times New Roman"/>
      <w:b/>
      <w:bCs/>
      <w:sz w:val="24"/>
      <w:szCs w:val="28"/>
      <w:u w:val="single"/>
      <w:lang w:eastAsia="cs-CZ"/>
    </w:rPr>
  </w:style>
  <w:style w:type="character" w:customStyle="1" w:styleId="Nadpis5Char">
    <w:name w:val="Nadpis 5 Char"/>
    <w:basedOn w:val="Standardnpsmoodstavce"/>
    <w:link w:val="Nadpis5"/>
    <w:rsid w:val="00F3318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F3318F"/>
    <w:rPr>
      <w:rFonts w:ascii="Times New Roman" w:eastAsia="Times New Roman" w:hAnsi="Times New Roman" w:cs="Times New Roman"/>
      <w:b/>
      <w:bCs/>
      <w:sz w:val="24"/>
      <w:lang w:eastAsia="cs-CZ"/>
    </w:rPr>
  </w:style>
  <w:style w:type="character" w:customStyle="1" w:styleId="Nadpis7Char">
    <w:name w:val="Nadpis 7 Char"/>
    <w:basedOn w:val="Standardnpsmoodstavce"/>
    <w:link w:val="Nadpis7"/>
    <w:rsid w:val="000D634C"/>
    <w:rPr>
      <w:rFonts w:ascii="Times New Roman" w:eastAsia="Times New Roman" w:hAnsi="Times New Roman" w:cs="Times New Roman"/>
      <w:b/>
      <w:sz w:val="24"/>
      <w:szCs w:val="24"/>
      <w:lang w:eastAsia="cs-CZ"/>
    </w:rPr>
  </w:style>
  <w:style w:type="character" w:customStyle="1" w:styleId="Nadpis8Char">
    <w:name w:val="Nadpis 8 Char"/>
    <w:basedOn w:val="Standardnpsmoodstavce"/>
    <w:link w:val="Nadpis8"/>
    <w:rsid w:val="00CF4AED"/>
    <w:rPr>
      <w:rFonts w:ascii="Times New Roman" w:eastAsia="Times New Roman" w:hAnsi="Times New Roman" w:cs="Times New Roman"/>
      <w:sz w:val="24"/>
      <w:szCs w:val="24"/>
      <w:u w:val="single"/>
      <w:lang w:eastAsia="cs-CZ"/>
    </w:rPr>
  </w:style>
  <w:style w:type="character" w:customStyle="1" w:styleId="Nadpis9Char">
    <w:name w:val="Nadpis 9 Char"/>
    <w:basedOn w:val="Standardnpsmoodstavce"/>
    <w:link w:val="Nadpis9"/>
    <w:rsid w:val="00CF4AED"/>
    <w:rPr>
      <w:rFonts w:ascii="Times New Roman" w:hAnsi="Times New Roman" w:cs="Times New Roman"/>
      <w:b/>
      <w:sz w:val="24"/>
      <w:szCs w:val="24"/>
      <w:u w:val="single"/>
    </w:rPr>
  </w:style>
  <w:style w:type="paragraph" w:styleId="Titulek">
    <w:name w:val="caption"/>
    <w:basedOn w:val="Normln"/>
    <w:next w:val="Normln"/>
    <w:qFormat/>
    <w:rsid w:val="00A4652C"/>
    <w:pPr>
      <w:keepNext/>
      <w:spacing w:before="120" w:after="120" w:line="240" w:lineRule="auto"/>
    </w:pPr>
    <w:rPr>
      <w:rFonts w:eastAsia="Times New Roman" w:cs="Times New Roman"/>
      <w:b/>
      <w:bCs/>
      <w:sz w:val="20"/>
      <w:szCs w:val="20"/>
      <w:lang w:eastAsia="cs-CZ"/>
    </w:rPr>
  </w:style>
  <w:style w:type="paragraph" w:customStyle="1" w:styleId="KOModrky">
    <w:name w:val="KOModrážky"/>
    <w:basedOn w:val="Normln"/>
    <w:rsid w:val="00F3318F"/>
    <w:pPr>
      <w:numPr>
        <w:numId w:val="3"/>
      </w:numPr>
      <w:spacing w:line="240" w:lineRule="auto"/>
    </w:pPr>
    <w:rPr>
      <w:rFonts w:eastAsia="Times New Roman" w:cs="Times New Roman"/>
      <w:szCs w:val="24"/>
      <w:lang w:eastAsia="cs-CZ"/>
    </w:rPr>
  </w:style>
  <w:style w:type="paragraph" w:customStyle="1" w:styleId="obyctext">
    <w:name w:val="obyctext"/>
    <w:basedOn w:val="Normln"/>
    <w:link w:val="obyctextChar"/>
    <w:rsid w:val="00F3318F"/>
    <w:pPr>
      <w:spacing w:before="120" w:after="80" w:line="240" w:lineRule="auto"/>
      <w:ind w:firstLine="539"/>
    </w:pPr>
    <w:rPr>
      <w:rFonts w:eastAsia="Times New Roman" w:cs="Times New Roman"/>
      <w:szCs w:val="24"/>
      <w:lang w:eastAsia="cs-CZ"/>
    </w:rPr>
  </w:style>
  <w:style w:type="character" w:customStyle="1" w:styleId="obyctextChar">
    <w:name w:val="obyctext Char"/>
    <w:link w:val="obyctext"/>
    <w:rsid w:val="00F3318F"/>
    <w:rPr>
      <w:rFonts w:ascii="Times New Roman" w:eastAsia="Times New Roman" w:hAnsi="Times New Roman" w:cs="Times New Roman"/>
      <w:sz w:val="24"/>
      <w:szCs w:val="24"/>
      <w:lang w:eastAsia="cs-CZ"/>
    </w:rPr>
  </w:style>
  <w:style w:type="paragraph" w:styleId="Zkladntext">
    <w:name w:val="Body Text"/>
    <w:basedOn w:val="Normln"/>
    <w:link w:val="ZkladntextChar"/>
    <w:rsid w:val="004371E3"/>
    <w:pPr>
      <w:spacing w:line="240" w:lineRule="auto"/>
    </w:pPr>
    <w:rPr>
      <w:rFonts w:eastAsia="Times New Roman" w:cs="Times New Roman"/>
      <w:bCs/>
      <w:iCs/>
      <w:szCs w:val="24"/>
      <w:lang w:eastAsia="cs-CZ"/>
    </w:rPr>
  </w:style>
  <w:style w:type="character" w:customStyle="1" w:styleId="ZkladntextChar">
    <w:name w:val="Základní text Char"/>
    <w:basedOn w:val="Standardnpsmoodstavce"/>
    <w:link w:val="Zkladntext"/>
    <w:rsid w:val="004371E3"/>
    <w:rPr>
      <w:rFonts w:ascii="Times New Roman" w:eastAsia="Times New Roman" w:hAnsi="Times New Roman" w:cs="Times New Roman"/>
      <w:bCs/>
      <w:iCs/>
      <w:sz w:val="24"/>
      <w:szCs w:val="24"/>
      <w:lang w:eastAsia="cs-CZ"/>
    </w:rPr>
  </w:style>
  <w:style w:type="paragraph" w:customStyle="1" w:styleId="xl54">
    <w:name w:val="xl54"/>
    <w:basedOn w:val="Normln"/>
    <w:rsid w:val="004371E3"/>
    <w:pPr>
      <w:pBdr>
        <w:left w:val="single" w:sz="4" w:space="0" w:color="auto"/>
        <w:right w:val="single" w:sz="8" w:space="0" w:color="auto"/>
      </w:pBdr>
      <w:spacing w:before="100" w:beforeAutospacing="1" w:after="100" w:afterAutospacing="1" w:line="240" w:lineRule="auto"/>
      <w:jc w:val="right"/>
    </w:pPr>
    <w:rPr>
      <w:rFonts w:eastAsia="Times New Roman" w:cs="Times New Roman"/>
      <w:szCs w:val="24"/>
      <w:lang w:eastAsia="cs-CZ"/>
    </w:rPr>
  </w:style>
  <w:style w:type="paragraph" w:customStyle="1" w:styleId="Nvod">
    <w:name w:val="Návod"/>
    <w:basedOn w:val="Normln"/>
    <w:rsid w:val="004371E3"/>
    <w:pPr>
      <w:overflowPunct w:val="0"/>
      <w:autoSpaceDE w:val="0"/>
      <w:autoSpaceDN w:val="0"/>
      <w:adjustRightInd w:val="0"/>
      <w:spacing w:line="240" w:lineRule="auto"/>
      <w:ind w:left="340" w:hanging="340"/>
    </w:pPr>
    <w:rPr>
      <w:rFonts w:eastAsia="Times New Roman" w:cs="Times New Roman"/>
      <w:szCs w:val="20"/>
      <w:lang w:eastAsia="cs-CZ"/>
    </w:rPr>
  </w:style>
  <w:style w:type="paragraph" w:customStyle="1" w:styleId="MDSR">
    <w:name w:val="MDS ČR"/>
    <w:basedOn w:val="Normln"/>
    <w:link w:val="MDSRChar"/>
    <w:rsid w:val="00F624F2"/>
    <w:pPr>
      <w:suppressAutoHyphens/>
      <w:overflowPunct w:val="0"/>
      <w:autoSpaceDE w:val="0"/>
      <w:autoSpaceDN w:val="0"/>
      <w:adjustRightInd w:val="0"/>
      <w:spacing w:before="120" w:line="240" w:lineRule="auto"/>
      <w:ind w:firstLine="567"/>
      <w:textAlignment w:val="baseline"/>
    </w:pPr>
    <w:rPr>
      <w:rFonts w:eastAsia="Times New Roman" w:cs="Times New Roman"/>
      <w:szCs w:val="20"/>
      <w:lang w:eastAsia="cs-CZ"/>
    </w:rPr>
  </w:style>
  <w:style w:type="paragraph" w:customStyle="1" w:styleId="Style5">
    <w:name w:val="Style5"/>
    <w:basedOn w:val="Normln"/>
    <w:rsid w:val="00F624F2"/>
    <w:pPr>
      <w:widowControl w:val="0"/>
      <w:autoSpaceDE w:val="0"/>
      <w:autoSpaceDN w:val="0"/>
      <w:adjustRightInd w:val="0"/>
      <w:spacing w:line="276" w:lineRule="exact"/>
    </w:pPr>
    <w:rPr>
      <w:rFonts w:eastAsia="MS Mincho" w:cs="Times New Roman"/>
      <w:szCs w:val="24"/>
      <w:lang w:eastAsia="ja-JP"/>
    </w:rPr>
  </w:style>
  <w:style w:type="character" w:customStyle="1" w:styleId="FontStyle26">
    <w:name w:val="Font Style26"/>
    <w:rsid w:val="00F624F2"/>
    <w:rPr>
      <w:rFonts w:ascii="Times New Roman" w:hAnsi="Times New Roman" w:cs="Times New Roman" w:hint="default"/>
      <w:b/>
      <w:bCs/>
      <w:sz w:val="22"/>
      <w:szCs w:val="22"/>
    </w:rPr>
  </w:style>
  <w:style w:type="paragraph" w:styleId="Textbubliny">
    <w:name w:val="Balloon Text"/>
    <w:basedOn w:val="Normln"/>
    <w:link w:val="TextbublinyChar"/>
    <w:semiHidden/>
    <w:unhideWhenUsed/>
    <w:rsid w:val="00BD28A7"/>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BD28A7"/>
    <w:rPr>
      <w:rFonts w:ascii="Segoe UI" w:hAnsi="Segoe UI" w:cs="Segoe UI"/>
      <w:sz w:val="18"/>
      <w:szCs w:val="18"/>
    </w:rPr>
  </w:style>
  <w:style w:type="paragraph" w:styleId="Zkladntextodsazen">
    <w:name w:val="Body Text Indent"/>
    <w:basedOn w:val="Normln"/>
    <w:link w:val="ZkladntextodsazenChar"/>
    <w:unhideWhenUsed/>
    <w:rsid w:val="00BD28A7"/>
    <w:pPr>
      <w:spacing w:after="120"/>
      <w:ind w:left="283"/>
    </w:pPr>
  </w:style>
  <w:style w:type="character" w:customStyle="1" w:styleId="ZkladntextodsazenChar">
    <w:name w:val="Základní text odsazený Char"/>
    <w:basedOn w:val="Standardnpsmoodstavce"/>
    <w:link w:val="Zkladntextodsazen"/>
    <w:rsid w:val="00BD28A7"/>
  </w:style>
  <w:style w:type="paragraph" w:styleId="Zkladntextodsazen2">
    <w:name w:val="Body Text Indent 2"/>
    <w:basedOn w:val="Normln"/>
    <w:link w:val="Zkladntextodsazen2Char"/>
    <w:rsid w:val="00BD28A7"/>
    <w:pPr>
      <w:spacing w:after="120" w:line="480" w:lineRule="auto"/>
      <w:ind w:left="283"/>
    </w:pPr>
    <w:rPr>
      <w:rFonts w:eastAsia="Times New Roman" w:cs="Times New Roman"/>
      <w:szCs w:val="24"/>
      <w:lang w:eastAsia="cs-CZ"/>
    </w:rPr>
  </w:style>
  <w:style w:type="character" w:customStyle="1" w:styleId="Zkladntextodsazen2Char">
    <w:name w:val="Základní text odsazený 2 Char"/>
    <w:basedOn w:val="Standardnpsmoodstavce"/>
    <w:link w:val="Zkladntextodsazen2"/>
    <w:rsid w:val="00BD28A7"/>
    <w:rPr>
      <w:rFonts w:ascii="Times New Roman" w:eastAsia="Times New Roman" w:hAnsi="Times New Roman" w:cs="Times New Roman"/>
      <w:sz w:val="24"/>
      <w:szCs w:val="24"/>
      <w:lang w:eastAsia="cs-CZ"/>
    </w:rPr>
  </w:style>
  <w:style w:type="numbering" w:customStyle="1" w:styleId="Bezseznamu1">
    <w:name w:val="Bez seznamu1"/>
    <w:next w:val="Bezseznamu"/>
    <w:semiHidden/>
    <w:unhideWhenUsed/>
    <w:rsid w:val="00BD28A7"/>
  </w:style>
  <w:style w:type="paragraph" w:styleId="Zpat">
    <w:name w:val="footer"/>
    <w:basedOn w:val="Normln"/>
    <w:link w:val="ZpatChar"/>
    <w:rsid w:val="00BD28A7"/>
    <w:pPr>
      <w:tabs>
        <w:tab w:val="center" w:pos="4536"/>
        <w:tab w:val="right" w:pos="9072"/>
      </w:tabs>
      <w:spacing w:line="240" w:lineRule="auto"/>
    </w:pPr>
    <w:rPr>
      <w:rFonts w:eastAsia="Times New Roman" w:cs="Times New Roman"/>
      <w:szCs w:val="24"/>
      <w:lang w:eastAsia="cs-CZ"/>
    </w:rPr>
  </w:style>
  <w:style w:type="character" w:customStyle="1" w:styleId="ZpatChar">
    <w:name w:val="Zápatí Char"/>
    <w:basedOn w:val="Standardnpsmoodstavce"/>
    <w:link w:val="Zpat"/>
    <w:rsid w:val="00BD28A7"/>
    <w:rPr>
      <w:rFonts w:ascii="Times New Roman" w:eastAsia="Times New Roman" w:hAnsi="Times New Roman" w:cs="Times New Roman"/>
      <w:sz w:val="24"/>
      <w:szCs w:val="24"/>
      <w:lang w:eastAsia="cs-CZ"/>
    </w:rPr>
  </w:style>
  <w:style w:type="character" w:styleId="slostrnky">
    <w:name w:val="page number"/>
    <w:basedOn w:val="Standardnpsmoodstavce"/>
    <w:rsid w:val="00BD28A7"/>
  </w:style>
  <w:style w:type="paragraph" w:styleId="Zkladntextodsazen3">
    <w:name w:val="Body Text Indent 3"/>
    <w:basedOn w:val="Normln"/>
    <w:link w:val="Zkladntextodsazen3Char"/>
    <w:rsid w:val="00BD28A7"/>
    <w:pPr>
      <w:spacing w:after="120" w:line="240" w:lineRule="auto"/>
      <w:ind w:left="283"/>
    </w:pPr>
    <w:rPr>
      <w:rFonts w:eastAsia="Times New Roman" w:cs="Times New Roman"/>
      <w:sz w:val="16"/>
      <w:szCs w:val="16"/>
      <w:lang w:eastAsia="cs-CZ"/>
    </w:rPr>
  </w:style>
  <w:style w:type="character" w:customStyle="1" w:styleId="Zkladntextodsazen3Char">
    <w:name w:val="Základní text odsazený 3 Char"/>
    <w:basedOn w:val="Standardnpsmoodstavce"/>
    <w:link w:val="Zkladntextodsazen3"/>
    <w:rsid w:val="00BD28A7"/>
    <w:rPr>
      <w:rFonts w:ascii="Times New Roman" w:eastAsia="Times New Roman" w:hAnsi="Times New Roman" w:cs="Times New Roman"/>
      <w:sz w:val="16"/>
      <w:szCs w:val="16"/>
      <w:lang w:eastAsia="cs-CZ"/>
    </w:rPr>
  </w:style>
  <w:style w:type="paragraph" w:customStyle="1" w:styleId="xl33">
    <w:name w:val="xl33"/>
    <w:basedOn w:val="Normln"/>
    <w:rsid w:val="00BD28A7"/>
    <w:pPr>
      <w:pBdr>
        <w:left w:val="single" w:sz="8" w:space="0" w:color="auto"/>
      </w:pBdr>
      <w:spacing w:before="100" w:beforeAutospacing="1" w:after="100" w:afterAutospacing="1" w:line="240" w:lineRule="auto"/>
    </w:pPr>
    <w:rPr>
      <w:rFonts w:eastAsia="Times New Roman" w:cs="Times New Roman"/>
      <w:b/>
      <w:bCs/>
      <w:szCs w:val="24"/>
      <w:lang w:eastAsia="cs-CZ"/>
    </w:rPr>
  </w:style>
  <w:style w:type="table" w:styleId="Mkatabulky">
    <w:name w:val="Table Grid"/>
    <w:basedOn w:val="Normlntabulka"/>
    <w:uiPriority w:val="39"/>
    <w:rsid w:val="00BD28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BD28A7"/>
    <w:pPr>
      <w:spacing w:after="120" w:line="480" w:lineRule="auto"/>
    </w:pPr>
    <w:rPr>
      <w:rFonts w:eastAsia="Times New Roman" w:cs="Times New Roman"/>
      <w:szCs w:val="24"/>
      <w:lang w:eastAsia="cs-CZ"/>
    </w:rPr>
  </w:style>
  <w:style w:type="character" w:customStyle="1" w:styleId="Zkladntext2Char">
    <w:name w:val="Základní text 2 Char"/>
    <w:basedOn w:val="Standardnpsmoodstavce"/>
    <w:link w:val="Zkladntext2"/>
    <w:rsid w:val="00BD28A7"/>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BD28A7"/>
    <w:pPr>
      <w:spacing w:after="120" w:line="240" w:lineRule="auto"/>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BD28A7"/>
    <w:rPr>
      <w:rFonts w:ascii="Times New Roman" w:eastAsia="Times New Roman" w:hAnsi="Times New Roman" w:cs="Times New Roman"/>
      <w:sz w:val="16"/>
      <w:szCs w:val="16"/>
      <w:lang w:eastAsia="cs-CZ"/>
    </w:rPr>
  </w:style>
  <w:style w:type="paragraph" w:customStyle="1" w:styleId="Odstavec">
    <w:name w:val="Odstavec"/>
    <w:basedOn w:val="Normln"/>
    <w:rsid w:val="00BD28A7"/>
    <w:pPr>
      <w:spacing w:before="120" w:line="240" w:lineRule="auto"/>
      <w:ind w:firstLine="709"/>
    </w:pPr>
    <w:rPr>
      <w:rFonts w:eastAsia="Times New Roman" w:cs="Times New Roman"/>
      <w:bCs/>
      <w:szCs w:val="24"/>
      <w:lang w:eastAsia="cs-CZ"/>
    </w:rPr>
  </w:style>
  <w:style w:type="paragraph" w:styleId="Normlnweb">
    <w:name w:val="Normal (Web)"/>
    <w:basedOn w:val="Normln"/>
    <w:uiPriority w:val="99"/>
    <w:rsid w:val="00BD28A7"/>
    <w:pPr>
      <w:spacing w:before="100" w:beforeAutospacing="1" w:after="100" w:afterAutospacing="1" w:line="240" w:lineRule="atLeast"/>
    </w:pPr>
    <w:rPr>
      <w:rFonts w:ascii="Verdana" w:eastAsia="Arial Unicode MS" w:hAnsi="Verdana" w:cs="Arial Unicode MS"/>
      <w:color w:val="1A3F76"/>
      <w:sz w:val="20"/>
      <w:szCs w:val="20"/>
      <w:lang w:eastAsia="cs-CZ"/>
    </w:rPr>
  </w:style>
  <w:style w:type="paragraph" w:styleId="Zhlav">
    <w:name w:val="header"/>
    <w:basedOn w:val="Normln"/>
    <w:link w:val="ZhlavChar"/>
    <w:uiPriority w:val="99"/>
    <w:rsid w:val="00BD28A7"/>
    <w:pPr>
      <w:tabs>
        <w:tab w:val="center" w:pos="4536"/>
        <w:tab w:val="right" w:pos="9072"/>
      </w:tabs>
      <w:spacing w:line="240" w:lineRule="auto"/>
    </w:pPr>
    <w:rPr>
      <w:rFonts w:eastAsia="Times New Roman" w:cs="Times New Roman"/>
      <w:szCs w:val="24"/>
      <w:lang w:eastAsia="cs-CZ"/>
    </w:rPr>
  </w:style>
  <w:style w:type="character" w:customStyle="1" w:styleId="ZhlavChar">
    <w:name w:val="Záhlaví Char"/>
    <w:basedOn w:val="Standardnpsmoodstavce"/>
    <w:link w:val="Zhlav"/>
    <w:uiPriority w:val="99"/>
    <w:rsid w:val="00BD28A7"/>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BD28A7"/>
    <w:pPr>
      <w:tabs>
        <w:tab w:val="left" w:pos="540"/>
        <w:tab w:val="right" w:leader="dot" w:pos="9060"/>
      </w:tabs>
      <w:spacing w:line="240" w:lineRule="auto"/>
      <w:ind w:left="900" w:hanging="840"/>
    </w:pPr>
    <w:rPr>
      <w:rFonts w:eastAsia="Times New Roman" w:cs="Arial"/>
      <w:bCs/>
      <w:noProof/>
      <w:szCs w:val="24"/>
      <w:lang w:eastAsia="cs-CZ"/>
    </w:rPr>
  </w:style>
  <w:style w:type="character" w:styleId="Hypertextovodkaz">
    <w:name w:val="Hyperlink"/>
    <w:uiPriority w:val="99"/>
    <w:rsid w:val="00BD28A7"/>
    <w:rPr>
      <w:color w:val="0000FF"/>
      <w:u w:val="single"/>
    </w:rPr>
  </w:style>
  <w:style w:type="paragraph" w:styleId="Obsah3">
    <w:name w:val="toc 3"/>
    <w:basedOn w:val="Normln"/>
    <w:next w:val="Normln"/>
    <w:autoRedefine/>
    <w:uiPriority w:val="39"/>
    <w:rsid w:val="00F2553E"/>
    <w:pPr>
      <w:tabs>
        <w:tab w:val="left" w:pos="900"/>
        <w:tab w:val="right" w:leader="dot" w:pos="9060"/>
      </w:tabs>
      <w:spacing w:line="240" w:lineRule="auto"/>
      <w:ind w:left="900" w:hanging="720"/>
      <w:jc w:val="left"/>
    </w:pPr>
    <w:rPr>
      <w:rFonts w:eastAsia="Times New Roman" w:cs="Times New Roman"/>
      <w:b/>
      <w:noProof/>
      <w:szCs w:val="24"/>
      <w:lang w:eastAsia="cs-CZ"/>
      <w14:scene3d>
        <w14:camera w14:prst="orthographicFront"/>
        <w14:lightRig w14:rig="threePt" w14:dir="t">
          <w14:rot w14:lat="0" w14:lon="0" w14:rev="0"/>
        </w14:lightRig>
      </w14:scene3d>
    </w:rPr>
  </w:style>
  <w:style w:type="character" w:styleId="Siln">
    <w:name w:val="Strong"/>
    <w:qFormat/>
    <w:rsid w:val="00BD28A7"/>
    <w:rPr>
      <w:b/>
      <w:bCs/>
    </w:rPr>
  </w:style>
  <w:style w:type="paragraph" w:styleId="Seznamobrzk">
    <w:name w:val="table of figures"/>
    <w:aliases w:val="Seznam grafů"/>
    <w:basedOn w:val="Normln"/>
    <w:next w:val="Normln"/>
    <w:uiPriority w:val="99"/>
    <w:rsid w:val="00BD28A7"/>
    <w:pPr>
      <w:spacing w:line="240" w:lineRule="auto"/>
    </w:pPr>
    <w:rPr>
      <w:rFonts w:eastAsia="Times New Roman" w:cs="Times New Roman"/>
      <w:szCs w:val="24"/>
      <w:lang w:eastAsia="cs-CZ"/>
    </w:rPr>
  </w:style>
  <w:style w:type="paragraph" w:customStyle="1" w:styleId="ostavec">
    <w:name w:val="ostavec"/>
    <w:basedOn w:val="Normln"/>
    <w:rsid w:val="00BD28A7"/>
    <w:pPr>
      <w:spacing w:before="120" w:after="120" w:line="240" w:lineRule="auto"/>
    </w:pPr>
    <w:rPr>
      <w:rFonts w:ascii="Arial" w:eastAsia="Times New Roman" w:hAnsi="Arial" w:cs="Times New Roman"/>
      <w:color w:val="000000"/>
      <w:szCs w:val="20"/>
    </w:rPr>
  </w:style>
  <w:style w:type="character" w:styleId="Sledovanodkaz">
    <w:name w:val="FollowedHyperlink"/>
    <w:rsid w:val="00BD28A7"/>
    <w:rPr>
      <w:color w:val="800080"/>
      <w:u w:val="single"/>
    </w:rPr>
  </w:style>
  <w:style w:type="character" w:customStyle="1" w:styleId="CharChar">
    <w:name w:val="Char Char"/>
    <w:rsid w:val="00BD28A7"/>
    <w:rPr>
      <w:smallCaps/>
      <w:sz w:val="32"/>
      <w:szCs w:val="24"/>
      <w:lang w:val="cs-CZ" w:eastAsia="cs-CZ" w:bidi="ar-SA"/>
    </w:rPr>
  </w:style>
  <w:style w:type="character" w:customStyle="1" w:styleId="FontStyle27">
    <w:name w:val="Font Style27"/>
    <w:rsid w:val="00BD28A7"/>
    <w:rPr>
      <w:rFonts w:ascii="Times New Roman" w:hAnsi="Times New Roman" w:cs="Times New Roman"/>
      <w:sz w:val="22"/>
      <w:szCs w:val="22"/>
    </w:rPr>
  </w:style>
  <w:style w:type="character" w:customStyle="1" w:styleId="ardata-autor">
    <w:name w:val="ardata-autor"/>
    <w:rsid w:val="00BD28A7"/>
  </w:style>
  <w:style w:type="character" w:customStyle="1" w:styleId="apple-converted-space">
    <w:name w:val="apple-converted-space"/>
    <w:rsid w:val="00BD28A7"/>
  </w:style>
  <w:style w:type="paragraph" w:customStyle="1" w:styleId="OPDnadpis4">
    <w:name w:val="OPD nadpis4"/>
    <w:basedOn w:val="Nadpis4"/>
    <w:link w:val="OPDnadpis4Char"/>
    <w:rsid w:val="00BD28A7"/>
    <w:pPr>
      <w:numPr>
        <w:numId w:val="8"/>
      </w:numPr>
      <w:spacing w:before="0" w:after="240"/>
    </w:pPr>
    <w:rPr>
      <w:bCs w:val="0"/>
      <w:szCs w:val="24"/>
      <w:lang w:eastAsia="en-US"/>
    </w:rPr>
  </w:style>
  <w:style w:type="character" w:customStyle="1" w:styleId="OPDnadpis4Char">
    <w:name w:val="OPD nadpis4 Char"/>
    <w:link w:val="OPDnadpis4"/>
    <w:locked/>
    <w:rsid w:val="00BD28A7"/>
    <w:rPr>
      <w:rFonts w:ascii="Times New Roman" w:eastAsia="Times New Roman" w:hAnsi="Times New Roman" w:cs="Times New Roman"/>
      <w:b/>
      <w:sz w:val="24"/>
      <w:szCs w:val="24"/>
      <w:u w:val="single"/>
    </w:rPr>
  </w:style>
  <w:style w:type="character" w:styleId="Odkaznakoment">
    <w:name w:val="annotation reference"/>
    <w:rsid w:val="00BD28A7"/>
    <w:rPr>
      <w:sz w:val="16"/>
      <w:szCs w:val="16"/>
    </w:rPr>
  </w:style>
  <w:style w:type="paragraph" w:styleId="Textkomente">
    <w:name w:val="annotation text"/>
    <w:basedOn w:val="Normln"/>
    <w:link w:val="TextkomenteChar"/>
    <w:rsid w:val="00BD28A7"/>
    <w:pPr>
      <w:spacing w:line="240" w:lineRule="auto"/>
    </w:pPr>
    <w:rPr>
      <w:rFonts w:eastAsia="Times New Roman" w:cs="Times New Roman"/>
      <w:sz w:val="20"/>
      <w:szCs w:val="20"/>
      <w:lang w:eastAsia="cs-CZ"/>
    </w:rPr>
  </w:style>
  <w:style w:type="character" w:customStyle="1" w:styleId="TextkomenteChar">
    <w:name w:val="Text komentáře Char"/>
    <w:basedOn w:val="Standardnpsmoodstavce"/>
    <w:link w:val="Textkomente"/>
    <w:rsid w:val="00BD28A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BD28A7"/>
    <w:rPr>
      <w:b/>
      <w:bCs/>
    </w:rPr>
  </w:style>
  <w:style w:type="character" w:customStyle="1" w:styleId="PedmtkomenteChar">
    <w:name w:val="Předmět komentáře Char"/>
    <w:basedOn w:val="TextkomenteChar"/>
    <w:link w:val="Pedmtkomente"/>
    <w:rsid w:val="00BD28A7"/>
    <w:rPr>
      <w:rFonts w:ascii="Times New Roman" w:eastAsia="Times New Roman" w:hAnsi="Times New Roman" w:cs="Times New Roman"/>
      <w:b/>
      <w:bCs/>
      <w:sz w:val="20"/>
      <w:szCs w:val="20"/>
      <w:lang w:eastAsia="cs-CZ"/>
    </w:rPr>
  </w:style>
  <w:style w:type="paragraph" w:styleId="Odstavecseseznamem">
    <w:name w:val="List Paragraph"/>
    <w:aliases w:val="Fiche List Paragraph,Dot pt,List Paragraph Char Char Char,Indicator Text,Numbered Para 1,List Paragraph à moi,Odsek zoznamu4,LISTA,Listaszerű bekezdés2,Listaszerű bekezdés3,Listaszerű bekezdés1,3,Odstavec se seznamem2,List Paragraph"/>
    <w:basedOn w:val="Normln"/>
    <w:link w:val="OdstavecseseznamemChar"/>
    <w:uiPriority w:val="34"/>
    <w:qFormat/>
    <w:rsid w:val="00BD28A7"/>
    <w:pPr>
      <w:spacing w:line="240" w:lineRule="auto"/>
      <w:ind w:left="708"/>
    </w:pPr>
    <w:rPr>
      <w:rFonts w:eastAsia="Times New Roman" w:cs="Times New Roman"/>
      <w:szCs w:val="24"/>
      <w:lang w:eastAsia="cs-CZ"/>
    </w:rPr>
  </w:style>
  <w:style w:type="table" w:styleId="Svtltabulkasmkou1zvraznn5">
    <w:name w:val="Grid Table 1 Light Accent 5"/>
    <w:basedOn w:val="Normlntabulka"/>
    <w:uiPriority w:val="46"/>
    <w:rsid w:val="00A809A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E324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2zvraznn6">
    <w:name w:val="Grid Table 2 Accent 6"/>
    <w:basedOn w:val="Normlntabulka"/>
    <w:uiPriority w:val="47"/>
    <w:rsid w:val="0052265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tltabulkasmkou1zvraznn2">
    <w:name w:val="Grid Table 1 Light Accent 2"/>
    <w:basedOn w:val="Normlntabulka"/>
    <w:uiPriority w:val="46"/>
    <w:rsid w:val="00E22FC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E22F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mkatabulky">
    <w:name w:val="Grid Table Light"/>
    <w:basedOn w:val="Normlntabulka"/>
    <w:uiPriority w:val="40"/>
    <w:rsid w:val="00704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dpisobsahu">
    <w:name w:val="TOC Heading"/>
    <w:basedOn w:val="Nadpis1"/>
    <w:next w:val="Normln"/>
    <w:uiPriority w:val="39"/>
    <w:unhideWhenUsed/>
    <w:qFormat/>
    <w:rsid w:val="00CD5258"/>
    <w:pPr>
      <w:keepLines/>
      <w:numPr>
        <w:numId w:val="0"/>
      </w:numPr>
      <w:overflowPunct/>
      <w:autoSpaceDE/>
      <w:autoSpaceDN/>
      <w:adjustRightInd/>
      <w:spacing w:before="240" w:line="259" w:lineRule="auto"/>
      <w:outlineLvl w:val="9"/>
    </w:pPr>
    <w:rPr>
      <w:rFonts w:asciiTheme="majorHAnsi" w:eastAsiaTheme="majorEastAsia" w:hAnsiTheme="majorHAnsi" w:cstheme="majorBidi"/>
      <w:b w:val="0"/>
      <w:color w:val="2E74B5" w:themeColor="accent1" w:themeShade="BF"/>
      <w:sz w:val="32"/>
      <w:szCs w:val="32"/>
    </w:rPr>
  </w:style>
  <w:style w:type="table" w:styleId="Prosttabulka2">
    <w:name w:val="Plain Table 2"/>
    <w:basedOn w:val="Normlntabulka"/>
    <w:uiPriority w:val="42"/>
    <w:rsid w:val="00D430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Znormal">
    <w:name w:val="Zúnormal"/>
    <w:basedOn w:val="Normln"/>
    <w:link w:val="ZnormalChar"/>
    <w:rsid w:val="002D41EF"/>
    <w:pPr>
      <w:spacing w:before="120" w:line="240" w:lineRule="auto"/>
      <w:ind w:firstLine="708"/>
    </w:pPr>
    <w:rPr>
      <w:rFonts w:eastAsia="Times New Roman" w:cs="Times New Roman"/>
      <w:szCs w:val="20"/>
      <w:lang w:eastAsia="cs-CZ"/>
    </w:rPr>
  </w:style>
  <w:style w:type="character" w:customStyle="1" w:styleId="ZnormalChar">
    <w:name w:val="Zúnormal Char"/>
    <w:link w:val="Znormal"/>
    <w:rsid w:val="002D41EF"/>
    <w:rPr>
      <w:rFonts w:ascii="Times New Roman" w:eastAsia="Times New Roman" w:hAnsi="Times New Roman" w:cs="Times New Roman"/>
      <w:sz w:val="24"/>
      <w:szCs w:val="20"/>
      <w:lang w:eastAsia="cs-CZ"/>
    </w:rPr>
  </w:style>
  <w:style w:type="paragraph" w:customStyle="1" w:styleId="Default">
    <w:name w:val="Default"/>
    <w:rsid w:val="00BB459E"/>
    <w:pPr>
      <w:autoSpaceDE w:val="0"/>
      <w:autoSpaceDN w:val="0"/>
      <w:adjustRightInd w:val="0"/>
      <w:spacing w:after="0" w:line="240" w:lineRule="auto"/>
    </w:pPr>
    <w:rPr>
      <w:rFonts w:ascii="Arial" w:hAnsi="Arial" w:cs="Arial"/>
      <w:color w:val="000000"/>
      <w:sz w:val="24"/>
      <w:szCs w:val="24"/>
    </w:rPr>
  </w:style>
  <w:style w:type="table" w:customStyle="1" w:styleId="Svtltabulkasmkou1zvraznn11">
    <w:name w:val="Světlá tabulka s mřížkou 1 – zvýraznění 11"/>
    <w:basedOn w:val="Normlntabulka"/>
    <w:next w:val="Svtltabulkasmkou1zvraznn1"/>
    <w:uiPriority w:val="46"/>
    <w:rsid w:val="009A036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tyl1">
    <w:name w:val="Styl1"/>
    <w:basedOn w:val="Normln"/>
    <w:qFormat/>
    <w:rsid w:val="00FC5374"/>
    <w:pPr>
      <w:keepLines/>
      <w:spacing w:before="240" w:after="240" w:line="276" w:lineRule="auto"/>
    </w:pPr>
    <w:rPr>
      <w:rFonts w:eastAsia="Times New Roman" w:cs="Times New Roman"/>
      <w:iCs/>
      <w:szCs w:val="24"/>
      <w:lang w:eastAsia="cs-CZ"/>
    </w:rPr>
  </w:style>
  <w:style w:type="paragraph" w:customStyle="1" w:styleId="Textbodu">
    <w:name w:val="Text bodu"/>
    <w:basedOn w:val="Normln"/>
    <w:rsid w:val="008C1678"/>
    <w:pPr>
      <w:numPr>
        <w:ilvl w:val="2"/>
        <w:numId w:val="21"/>
      </w:numPr>
      <w:spacing w:line="240" w:lineRule="auto"/>
    </w:pPr>
    <w:rPr>
      <w:rFonts w:cs="Times New Roman"/>
      <w:szCs w:val="24"/>
      <w:lang w:eastAsia="cs-CZ"/>
    </w:rPr>
  </w:style>
  <w:style w:type="paragraph" w:customStyle="1" w:styleId="Textpsmene">
    <w:name w:val="Text písmene"/>
    <w:basedOn w:val="Normln"/>
    <w:rsid w:val="008C1678"/>
    <w:pPr>
      <w:numPr>
        <w:ilvl w:val="1"/>
        <w:numId w:val="21"/>
      </w:numPr>
      <w:spacing w:line="240" w:lineRule="auto"/>
    </w:pPr>
    <w:rPr>
      <w:rFonts w:cs="Times New Roman"/>
      <w:szCs w:val="24"/>
      <w:lang w:eastAsia="cs-CZ"/>
    </w:rPr>
  </w:style>
  <w:style w:type="paragraph" w:customStyle="1" w:styleId="Textodstavce">
    <w:name w:val="Text odstavce"/>
    <w:basedOn w:val="Normln"/>
    <w:rsid w:val="008C1678"/>
    <w:pPr>
      <w:numPr>
        <w:numId w:val="21"/>
      </w:numPr>
      <w:spacing w:before="120" w:after="120" w:line="240" w:lineRule="auto"/>
      <w:ind w:left="0"/>
    </w:pPr>
    <w:rPr>
      <w:rFonts w:cs="Times New Roman"/>
      <w:szCs w:val="24"/>
      <w:lang w:eastAsia="cs-CZ"/>
    </w:rPr>
  </w:style>
  <w:style w:type="table" w:customStyle="1" w:styleId="Svtltabulkasmkou1zvraznn51">
    <w:name w:val="Světlá tabulka s mřížkou 1 – zvýraznění 51"/>
    <w:basedOn w:val="Normlntabulka"/>
    <w:next w:val="Svtltabulkasmkou1zvraznn5"/>
    <w:uiPriority w:val="46"/>
    <w:rsid w:val="00190F3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OdstavecseseznamemChar">
    <w:name w:val="Odstavec se seznamem Char"/>
    <w:aliases w:val="Fiche List Paragraph Char,Dot pt Char,List Paragraph Char Char Char Char,Indicator Text Char,Numbered Para 1 Char,List Paragraph à moi Char,Odsek zoznamu4 Char,LISTA Char,Listaszerű bekezdés2 Char,Listaszerű bekezdés3 Char"/>
    <w:link w:val="Odstavecseseznamem"/>
    <w:uiPriority w:val="34"/>
    <w:locked/>
    <w:rsid w:val="00CF4BB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CF4BB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CF4BB2"/>
    <w:rPr>
      <w:rFonts w:ascii="Times New Roman" w:hAnsi="Times New Roman"/>
      <w:sz w:val="20"/>
      <w:szCs w:val="20"/>
    </w:rPr>
  </w:style>
  <w:style w:type="character" w:styleId="Znakapoznpodarou">
    <w:name w:val="footnote reference"/>
    <w:basedOn w:val="Standardnpsmoodstavce"/>
    <w:uiPriority w:val="99"/>
    <w:semiHidden/>
    <w:unhideWhenUsed/>
    <w:rsid w:val="00CF4BB2"/>
    <w:rPr>
      <w:vertAlign w:val="superscript"/>
    </w:rPr>
  </w:style>
  <w:style w:type="table" w:customStyle="1" w:styleId="Svtltabulkasmkou1zvraznn52">
    <w:name w:val="Světlá tabulka s mřížkou 1 – zvýraznění 52"/>
    <w:basedOn w:val="Normlntabulka"/>
    <w:next w:val="Svtltabulkasmkou1zvraznn5"/>
    <w:uiPriority w:val="46"/>
    <w:rsid w:val="0091007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Textvysvtlivek">
    <w:name w:val="endnote text"/>
    <w:basedOn w:val="Normln"/>
    <w:link w:val="TextvysvtlivekChar"/>
    <w:uiPriority w:val="99"/>
    <w:semiHidden/>
    <w:unhideWhenUsed/>
    <w:rsid w:val="00316A6C"/>
    <w:pPr>
      <w:spacing w:line="240" w:lineRule="auto"/>
    </w:pPr>
    <w:rPr>
      <w:sz w:val="20"/>
      <w:szCs w:val="20"/>
    </w:rPr>
  </w:style>
  <w:style w:type="character" w:customStyle="1" w:styleId="TextvysvtlivekChar">
    <w:name w:val="Text vysvětlivek Char"/>
    <w:basedOn w:val="Standardnpsmoodstavce"/>
    <w:link w:val="Textvysvtlivek"/>
    <w:uiPriority w:val="99"/>
    <w:semiHidden/>
    <w:rsid w:val="00316A6C"/>
    <w:rPr>
      <w:rFonts w:ascii="Times New Roman" w:hAnsi="Times New Roman"/>
      <w:sz w:val="20"/>
      <w:szCs w:val="20"/>
    </w:rPr>
  </w:style>
  <w:style w:type="character" w:styleId="Odkaznavysvtlivky">
    <w:name w:val="endnote reference"/>
    <w:basedOn w:val="Standardnpsmoodstavce"/>
    <w:uiPriority w:val="99"/>
    <w:semiHidden/>
    <w:unhideWhenUsed/>
    <w:rsid w:val="00316A6C"/>
    <w:rPr>
      <w:vertAlign w:val="superscript"/>
    </w:rPr>
  </w:style>
  <w:style w:type="table" w:customStyle="1" w:styleId="Svtltabulkasmkou1zvraznn53">
    <w:name w:val="Světlá tabulka s mřížkou 1 – zvýraznění 53"/>
    <w:basedOn w:val="Normlntabulka"/>
    <w:next w:val="Svtltabulkasmkou1zvraznn5"/>
    <w:uiPriority w:val="46"/>
    <w:rsid w:val="004B2F7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Bezmezer">
    <w:name w:val="No Spacing"/>
    <w:uiPriority w:val="1"/>
    <w:qFormat/>
    <w:rsid w:val="00A4652C"/>
    <w:pPr>
      <w:spacing w:after="0" w:line="240" w:lineRule="auto"/>
      <w:jc w:val="both"/>
    </w:pPr>
    <w:rPr>
      <w:rFonts w:ascii="Times New Roman" w:hAnsi="Times New Roman"/>
      <w:sz w:val="24"/>
    </w:rPr>
  </w:style>
  <w:style w:type="paragraph" w:customStyle="1" w:styleId="Dopisspozdravem">
    <w:name w:val="Dopis s pozdravem"/>
    <w:basedOn w:val="Normln"/>
    <w:rsid w:val="00525069"/>
    <w:pPr>
      <w:spacing w:before="240" w:after="960" w:line="240" w:lineRule="auto"/>
      <w:jc w:val="left"/>
    </w:pPr>
    <w:rPr>
      <w:rFonts w:ascii="Arial" w:hAnsi="Arial" w:cs="Arial"/>
      <w:szCs w:val="24"/>
      <w:lang w:eastAsia="cs-CZ"/>
    </w:rPr>
  </w:style>
  <w:style w:type="paragraph" w:styleId="Rejstk1">
    <w:name w:val="index 1"/>
    <w:basedOn w:val="Normln"/>
    <w:next w:val="Normln"/>
    <w:autoRedefine/>
    <w:uiPriority w:val="99"/>
    <w:semiHidden/>
    <w:unhideWhenUsed/>
    <w:rsid w:val="00BB0B4E"/>
    <w:pPr>
      <w:spacing w:line="240" w:lineRule="auto"/>
      <w:ind w:left="240" w:hanging="240"/>
    </w:pPr>
  </w:style>
  <w:style w:type="table" w:customStyle="1" w:styleId="Svtltabulkasmkou1zvraznn1112">
    <w:name w:val="Světlá tabulka s mřížkou 1 – zvýraznění 1112"/>
    <w:basedOn w:val="Normlntabulka"/>
    <w:next w:val="Svtltabulkasmkou1zvraznn1"/>
    <w:uiPriority w:val="46"/>
    <w:rsid w:val="00F953B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MDSRChar">
    <w:name w:val="MDS ČR Char"/>
    <w:link w:val="MDSR"/>
    <w:locked/>
    <w:rsid w:val="00CA2F73"/>
    <w:rPr>
      <w:rFonts w:ascii="Times New Roman" w:eastAsia="Times New Roman" w:hAnsi="Times New Roman" w:cs="Times New Roman"/>
      <w:sz w:val="24"/>
      <w:szCs w:val="20"/>
      <w:lang w:eastAsia="cs-CZ"/>
    </w:rPr>
  </w:style>
  <w:style w:type="paragraph" w:styleId="Revize">
    <w:name w:val="Revision"/>
    <w:hidden/>
    <w:uiPriority w:val="99"/>
    <w:semiHidden/>
    <w:rsid w:val="00014DBC"/>
    <w:pPr>
      <w:spacing w:after="0" w:line="240" w:lineRule="auto"/>
    </w:pPr>
    <w:rPr>
      <w:rFonts w:ascii="Times New Roman" w:hAnsi="Times New Roman"/>
      <w:sz w:val="24"/>
    </w:rPr>
  </w:style>
  <w:style w:type="table" w:customStyle="1" w:styleId="Svtltabulkasmkou1zvraznn54">
    <w:name w:val="Světlá tabulka s mřížkou 1 – zvýraznění 54"/>
    <w:basedOn w:val="Normlntabulka"/>
    <w:next w:val="Svtltabulkasmkou1zvraznn5"/>
    <w:uiPriority w:val="46"/>
    <w:rsid w:val="002A440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normaltextrun">
    <w:name w:val="normaltextrun"/>
    <w:basedOn w:val="Standardnpsmoodstavce"/>
    <w:rsid w:val="00327798"/>
  </w:style>
  <w:style w:type="character" w:customStyle="1" w:styleId="scxw261567984">
    <w:name w:val="scxw261567984"/>
    <w:basedOn w:val="Standardnpsmoodstavce"/>
    <w:rsid w:val="00327798"/>
  </w:style>
  <w:style w:type="character" w:customStyle="1" w:styleId="contextualspellingandgrammarerror">
    <w:name w:val="contextualspellingandgrammarerror"/>
    <w:basedOn w:val="Standardnpsmoodstavce"/>
    <w:rsid w:val="00327798"/>
  </w:style>
  <w:style w:type="character" w:customStyle="1" w:styleId="spellingerror">
    <w:name w:val="spellingerror"/>
    <w:basedOn w:val="Standardnpsmoodstavce"/>
    <w:rsid w:val="00327798"/>
  </w:style>
  <w:style w:type="character" w:customStyle="1" w:styleId="eop">
    <w:name w:val="eop"/>
    <w:basedOn w:val="Standardnpsmoodstavce"/>
    <w:rsid w:val="00327798"/>
  </w:style>
  <w:style w:type="table" w:customStyle="1" w:styleId="Svtltabulkasmkou1zvraznn11121">
    <w:name w:val="Světlá tabulka s mřížkou 1 – zvýraznění 11121"/>
    <w:basedOn w:val="Normlntabulka"/>
    <w:next w:val="Svtltabulkasmkou1zvraznn1"/>
    <w:uiPriority w:val="46"/>
    <w:rsid w:val="00E44EB2"/>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4276">
      <w:bodyDiv w:val="1"/>
      <w:marLeft w:val="0"/>
      <w:marRight w:val="0"/>
      <w:marTop w:val="0"/>
      <w:marBottom w:val="0"/>
      <w:divBdr>
        <w:top w:val="none" w:sz="0" w:space="0" w:color="auto"/>
        <w:left w:val="none" w:sz="0" w:space="0" w:color="auto"/>
        <w:bottom w:val="none" w:sz="0" w:space="0" w:color="auto"/>
        <w:right w:val="none" w:sz="0" w:space="0" w:color="auto"/>
      </w:divBdr>
    </w:div>
    <w:div w:id="346055375">
      <w:bodyDiv w:val="1"/>
      <w:marLeft w:val="0"/>
      <w:marRight w:val="0"/>
      <w:marTop w:val="0"/>
      <w:marBottom w:val="0"/>
      <w:divBdr>
        <w:top w:val="none" w:sz="0" w:space="0" w:color="auto"/>
        <w:left w:val="none" w:sz="0" w:space="0" w:color="auto"/>
        <w:bottom w:val="none" w:sz="0" w:space="0" w:color="auto"/>
        <w:right w:val="none" w:sz="0" w:space="0" w:color="auto"/>
      </w:divBdr>
    </w:div>
    <w:div w:id="503054923">
      <w:bodyDiv w:val="1"/>
      <w:marLeft w:val="0"/>
      <w:marRight w:val="0"/>
      <w:marTop w:val="0"/>
      <w:marBottom w:val="0"/>
      <w:divBdr>
        <w:top w:val="none" w:sz="0" w:space="0" w:color="auto"/>
        <w:left w:val="none" w:sz="0" w:space="0" w:color="auto"/>
        <w:bottom w:val="none" w:sz="0" w:space="0" w:color="auto"/>
        <w:right w:val="none" w:sz="0" w:space="0" w:color="auto"/>
      </w:divBdr>
    </w:div>
    <w:div w:id="809711805">
      <w:bodyDiv w:val="1"/>
      <w:marLeft w:val="0"/>
      <w:marRight w:val="0"/>
      <w:marTop w:val="0"/>
      <w:marBottom w:val="0"/>
      <w:divBdr>
        <w:top w:val="none" w:sz="0" w:space="0" w:color="auto"/>
        <w:left w:val="none" w:sz="0" w:space="0" w:color="auto"/>
        <w:bottom w:val="none" w:sz="0" w:space="0" w:color="auto"/>
        <w:right w:val="none" w:sz="0" w:space="0" w:color="auto"/>
      </w:divBdr>
    </w:div>
    <w:div w:id="811826255">
      <w:bodyDiv w:val="1"/>
      <w:marLeft w:val="0"/>
      <w:marRight w:val="0"/>
      <w:marTop w:val="0"/>
      <w:marBottom w:val="0"/>
      <w:divBdr>
        <w:top w:val="none" w:sz="0" w:space="0" w:color="auto"/>
        <w:left w:val="none" w:sz="0" w:space="0" w:color="auto"/>
        <w:bottom w:val="none" w:sz="0" w:space="0" w:color="auto"/>
        <w:right w:val="none" w:sz="0" w:space="0" w:color="auto"/>
      </w:divBdr>
    </w:div>
    <w:div w:id="836577316">
      <w:bodyDiv w:val="1"/>
      <w:marLeft w:val="0"/>
      <w:marRight w:val="0"/>
      <w:marTop w:val="0"/>
      <w:marBottom w:val="0"/>
      <w:divBdr>
        <w:top w:val="none" w:sz="0" w:space="0" w:color="auto"/>
        <w:left w:val="none" w:sz="0" w:space="0" w:color="auto"/>
        <w:bottom w:val="none" w:sz="0" w:space="0" w:color="auto"/>
        <w:right w:val="none" w:sz="0" w:space="0" w:color="auto"/>
      </w:divBdr>
    </w:div>
    <w:div w:id="950238815">
      <w:bodyDiv w:val="1"/>
      <w:marLeft w:val="0"/>
      <w:marRight w:val="0"/>
      <w:marTop w:val="0"/>
      <w:marBottom w:val="0"/>
      <w:divBdr>
        <w:top w:val="none" w:sz="0" w:space="0" w:color="auto"/>
        <w:left w:val="none" w:sz="0" w:space="0" w:color="auto"/>
        <w:bottom w:val="none" w:sz="0" w:space="0" w:color="auto"/>
        <w:right w:val="none" w:sz="0" w:space="0" w:color="auto"/>
      </w:divBdr>
    </w:div>
    <w:div w:id="1039360931">
      <w:bodyDiv w:val="1"/>
      <w:marLeft w:val="0"/>
      <w:marRight w:val="0"/>
      <w:marTop w:val="0"/>
      <w:marBottom w:val="0"/>
      <w:divBdr>
        <w:top w:val="none" w:sz="0" w:space="0" w:color="auto"/>
        <w:left w:val="none" w:sz="0" w:space="0" w:color="auto"/>
        <w:bottom w:val="none" w:sz="0" w:space="0" w:color="auto"/>
        <w:right w:val="none" w:sz="0" w:space="0" w:color="auto"/>
      </w:divBdr>
    </w:div>
    <w:div w:id="1052003418">
      <w:bodyDiv w:val="1"/>
      <w:marLeft w:val="0"/>
      <w:marRight w:val="0"/>
      <w:marTop w:val="0"/>
      <w:marBottom w:val="0"/>
      <w:divBdr>
        <w:top w:val="none" w:sz="0" w:space="0" w:color="auto"/>
        <w:left w:val="none" w:sz="0" w:space="0" w:color="auto"/>
        <w:bottom w:val="none" w:sz="0" w:space="0" w:color="auto"/>
        <w:right w:val="none" w:sz="0" w:space="0" w:color="auto"/>
      </w:divBdr>
    </w:div>
    <w:div w:id="1398552705">
      <w:bodyDiv w:val="1"/>
      <w:marLeft w:val="0"/>
      <w:marRight w:val="0"/>
      <w:marTop w:val="0"/>
      <w:marBottom w:val="0"/>
      <w:divBdr>
        <w:top w:val="none" w:sz="0" w:space="0" w:color="auto"/>
        <w:left w:val="none" w:sz="0" w:space="0" w:color="auto"/>
        <w:bottom w:val="none" w:sz="0" w:space="0" w:color="auto"/>
        <w:right w:val="none" w:sz="0" w:space="0" w:color="auto"/>
      </w:divBdr>
    </w:div>
    <w:div w:id="1511025267">
      <w:bodyDiv w:val="1"/>
      <w:marLeft w:val="0"/>
      <w:marRight w:val="0"/>
      <w:marTop w:val="0"/>
      <w:marBottom w:val="0"/>
      <w:divBdr>
        <w:top w:val="none" w:sz="0" w:space="0" w:color="auto"/>
        <w:left w:val="none" w:sz="0" w:space="0" w:color="auto"/>
        <w:bottom w:val="none" w:sz="0" w:space="0" w:color="auto"/>
        <w:right w:val="none" w:sz="0" w:space="0" w:color="auto"/>
      </w:divBdr>
    </w:div>
    <w:div w:id="1675256741">
      <w:bodyDiv w:val="1"/>
      <w:marLeft w:val="0"/>
      <w:marRight w:val="0"/>
      <w:marTop w:val="0"/>
      <w:marBottom w:val="0"/>
      <w:divBdr>
        <w:top w:val="none" w:sz="0" w:space="0" w:color="auto"/>
        <w:left w:val="none" w:sz="0" w:space="0" w:color="auto"/>
        <w:bottom w:val="none" w:sz="0" w:space="0" w:color="auto"/>
        <w:right w:val="none" w:sz="0" w:space="0" w:color="auto"/>
      </w:divBdr>
    </w:div>
    <w:div w:id="1675959879">
      <w:bodyDiv w:val="1"/>
      <w:marLeft w:val="0"/>
      <w:marRight w:val="0"/>
      <w:marTop w:val="0"/>
      <w:marBottom w:val="0"/>
      <w:divBdr>
        <w:top w:val="none" w:sz="0" w:space="0" w:color="auto"/>
        <w:left w:val="none" w:sz="0" w:space="0" w:color="auto"/>
        <w:bottom w:val="none" w:sz="0" w:space="0" w:color="auto"/>
        <w:right w:val="none" w:sz="0" w:space="0" w:color="auto"/>
      </w:divBdr>
    </w:div>
    <w:div w:id="1711029377">
      <w:bodyDiv w:val="1"/>
      <w:marLeft w:val="0"/>
      <w:marRight w:val="0"/>
      <w:marTop w:val="0"/>
      <w:marBottom w:val="0"/>
      <w:divBdr>
        <w:top w:val="none" w:sz="0" w:space="0" w:color="auto"/>
        <w:left w:val="none" w:sz="0" w:space="0" w:color="auto"/>
        <w:bottom w:val="none" w:sz="0" w:space="0" w:color="auto"/>
        <w:right w:val="none" w:sz="0" w:space="0" w:color="auto"/>
      </w:divBdr>
    </w:div>
    <w:div w:id="1831601045">
      <w:bodyDiv w:val="1"/>
      <w:marLeft w:val="0"/>
      <w:marRight w:val="0"/>
      <w:marTop w:val="0"/>
      <w:marBottom w:val="0"/>
      <w:divBdr>
        <w:top w:val="none" w:sz="0" w:space="0" w:color="auto"/>
        <w:left w:val="none" w:sz="0" w:space="0" w:color="auto"/>
        <w:bottom w:val="none" w:sz="0" w:space="0" w:color="auto"/>
        <w:right w:val="none" w:sz="0" w:space="0" w:color="auto"/>
      </w:divBdr>
    </w:div>
    <w:div w:id="1902128835">
      <w:bodyDiv w:val="1"/>
      <w:marLeft w:val="0"/>
      <w:marRight w:val="0"/>
      <w:marTop w:val="0"/>
      <w:marBottom w:val="0"/>
      <w:divBdr>
        <w:top w:val="none" w:sz="0" w:space="0" w:color="auto"/>
        <w:left w:val="none" w:sz="0" w:space="0" w:color="auto"/>
        <w:bottom w:val="none" w:sz="0" w:space="0" w:color="auto"/>
        <w:right w:val="none" w:sz="0" w:space="0" w:color="auto"/>
      </w:divBdr>
    </w:div>
    <w:div w:id="2059544962">
      <w:bodyDiv w:val="1"/>
      <w:marLeft w:val="0"/>
      <w:marRight w:val="0"/>
      <w:marTop w:val="0"/>
      <w:marBottom w:val="0"/>
      <w:divBdr>
        <w:top w:val="none" w:sz="0" w:space="0" w:color="auto"/>
        <w:left w:val="none" w:sz="0" w:space="0" w:color="auto"/>
        <w:bottom w:val="none" w:sz="0" w:space="0" w:color="auto"/>
        <w:right w:val="none" w:sz="0" w:space="0" w:color="auto"/>
      </w:divBdr>
    </w:div>
    <w:div w:id="211878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3.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7.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2024</c:v>
                </c:pt>
              </c:strCache>
            </c:strRef>
          </c:tx>
          <c:spPr>
            <a:solidFill>
              <a:schemeClr val="accent1"/>
            </a:solidFill>
            <a:ln>
              <a:noFill/>
            </a:ln>
            <a:effectLst/>
          </c:spPr>
          <c:invertIfNegative val="0"/>
          <c:dLbls>
            <c:dLbl>
              <c:idx val="1"/>
              <c:layout>
                <c:manualLayout>
                  <c:x val="-6.615214994487321E-3"/>
                  <c:y val="2.454900516263535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CDC-45E3-B646-B4AFE616EAB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List1!$B$2:$B$3</c:f>
              <c:numCache>
                <c:formatCode>#,##0</c:formatCode>
                <c:ptCount val="2"/>
                <c:pt idx="0">
                  <c:v>25109487178</c:v>
                </c:pt>
                <c:pt idx="1">
                  <c:v>103673185639</c:v>
                </c:pt>
              </c:numCache>
            </c:numRef>
          </c:val>
          <c:extLst>
            <c:ext xmlns:c16="http://schemas.microsoft.com/office/drawing/2014/chart" uri="{C3380CC4-5D6E-409C-BE32-E72D297353CC}">
              <c16:uniqueId val="{00000000-4DAD-4D16-A582-585BF2393114}"/>
            </c:ext>
          </c:extLst>
        </c:ser>
        <c:ser>
          <c:idx val="1"/>
          <c:order val="1"/>
          <c:tx>
            <c:strRef>
              <c:f>List1!$C$1</c:f>
              <c:strCache>
                <c:ptCount val="1"/>
                <c:pt idx="0">
                  <c:v>2025</c:v>
                </c:pt>
              </c:strCache>
            </c:strRef>
          </c:tx>
          <c:spPr>
            <a:solidFill>
              <a:schemeClr val="accent2"/>
            </a:solidFill>
            <a:ln>
              <a:noFill/>
            </a:ln>
            <a:effectLst/>
          </c:spPr>
          <c:invertIfNegative val="0"/>
          <c:dLbls>
            <c:dLbl>
              <c:idx val="0"/>
              <c:layout>
                <c:manualLayout>
                  <c:x val="0"/>
                  <c:y val="1.446829033035929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4E6-45AE-8632-C7C7A7C5884D}"/>
                </c:ext>
              </c:extLst>
            </c:dLbl>
            <c:dLbl>
              <c:idx val="1"/>
              <c:layout>
                <c:manualLayout>
                  <c:x val="0"/>
                  <c:y val="1.446829033035928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AD-4D16-A582-585BF239311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List1!$C$2:$C$3</c:f>
              <c:numCache>
                <c:formatCode>#,##0</c:formatCode>
                <c:ptCount val="2"/>
                <c:pt idx="0">
                  <c:v>38678386351</c:v>
                </c:pt>
                <c:pt idx="1">
                  <c:v>139486810924</c:v>
                </c:pt>
              </c:numCache>
            </c:numRef>
          </c:val>
          <c:extLst>
            <c:ext xmlns:c16="http://schemas.microsoft.com/office/drawing/2014/chart" uri="{C3380CC4-5D6E-409C-BE32-E72D297353CC}">
              <c16:uniqueId val="{00000002-4DAD-4D16-A582-585BF2393114}"/>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2024</c:v>
                </c:pt>
              </c:strCache>
            </c:strRef>
          </c:tx>
          <c:spPr>
            <a:solidFill>
              <a:schemeClr val="accent1"/>
            </a:solidFill>
            <a:ln>
              <a:noFill/>
            </a:ln>
            <a:effectLst/>
          </c:spPr>
          <c:invertIfNegative val="0"/>
          <c:dLbls>
            <c:dLbl>
              <c:idx val="0"/>
              <c:layout>
                <c:manualLayout>
                  <c:x val="-2.2050716648291274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56D-4727-855A-85C8A5128D21}"/>
                </c:ext>
              </c:extLst>
            </c:dLbl>
            <c:dLbl>
              <c:idx val="1"/>
              <c:layout>
                <c:manualLayout>
                  <c:x val="-2.205071664829107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56D-4727-855A-85C8A5128D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List1!$B$2:$B$3</c:f>
              <c:numCache>
                <c:formatCode>#,##0</c:formatCode>
                <c:ptCount val="2"/>
                <c:pt idx="0">
                  <c:v>156443</c:v>
                </c:pt>
                <c:pt idx="1">
                  <c:v>24676044</c:v>
                </c:pt>
              </c:numCache>
            </c:numRef>
          </c:val>
          <c:extLst>
            <c:ext xmlns:c16="http://schemas.microsoft.com/office/drawing/2014/chart" uri="{C3380CC4-5D6E-409C-BE32-E72D297353CC}">
              <c16:uniqueId val="{00000002-356D-4727-855A-85C8A5128D21}"/>
            </c:ext>
          </c:extLst>
        </c:ser>
        <c:ser>
          <c:idx val="1"/>
          <c:order val="1"/>
          <c:tx>
            <c:strRef>
              <c:f>List1!$C$1</c:f>
              <c:strCache>
                <c:ptCount val="1"/>
                <c:pt idx="0">
                  <c:v>2025</c:v>
                </c:pt>
              </c:strCache>
            </c:strRef>
          </c:tx>
          <c:spPr>
            <a:solidFill>
              <a:schemeClr val="accent2"/>
            </a:solidFill>
            <a:ln>
              <a:noFill/>
            </a:ln>
            <a:effectLst/>
          </c:spPr>
          <c:invertIfNegative val="0"/>
          <c:dLbls>
            <c:dLbl>
              <c:idx val="0"/>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56D-4727-855A-85C8A5128D21}"/>
                </c:ext>
              </c:extLst>
            </c:dLbl>
            <c:dLbl>
              <c:idx val="1"/>
              <c:layout>
                <c:manualLayout>
                  <c:x val="4.410143329658214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56D-4727-855A-85C8A5128D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List1!$C$2:$C$3</c:f>
              <c:numCache>
                <c:formatCode>#,##0</c:formatCode>
                <c:ptCount val="2"/>
                <c:pt idx="0">
                  <c:v>155010</c:v>
                </c:pt>
                <c:pt idx="1">
                  <c:v>37336376</c:v>
                </c:pt>
              </c:numCache>
            </c:numRef>
          </c:val>
          <c:extLst>
            <c:ext xmlns:c16="http://schemas.microsoft.com/office/drawing/2014/chart" uri="{C3380CC4-5D6E-409C-BE32-E72D297353CC}">
              <c16:uniqueId val="{00000005-356D-4727-855A-85C8A5128D21}"/>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2024</c:v>
                </c:pt>
              </c:strCache>
            </c:strRef>
          </c:tx>
          <c:spPr>
            <a:solidFill>
              <a:schemeClr val="accent1"/>
            </a:solidFill>
            <a:ln>
              <a:noFill/>
            </a:ln>
            <a:effectLst/>
          </c:spPr>
          <c:invertIfNegative val="0"/>
          <c:dLbls>
            <c:dLbl>
              <c:idx val="0"/>
              <c:layout>
                <c:manualLayout>
                  <c:x val="-1.9845644983461964E-2"/>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3EE-4F04-9173-79FC6EC14F33}"/>
                </c:ext>
              </c:extLst>
            </c:dLbl>
            <c:dLbl>
              <c:idx val="1"/>
              <c:layout>
                <c:manualLayout>
                  <c:x val="-2.205071664829107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EE-4F04-9173-79FC6EC14F33}"/>
                </c:ext>
              </c:extLst>
            </c:dLbl>
            <c:dLbl>
              <c:idx val="2"/>
              <c:layout>
                <c:manualLayout>
                  <c:x val="-1.3230429988974642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3EE-4F04-9173-79FC6EC14F33}"/>
                </c:ext>
              </c:extLst>
            </c:dLbl>
            <c:dLbl>
              <c:idx val="3"/>
              <c:layout>
                <c:manualLayout>
                  <c:x val="-1.7640573318632856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3EE-4F04-9173-79FC6EC14F33}"/>
                </c:ext>
              </c:extLst>
            </c:dLbl>
            <c:spPr>
              <a:noFill/>
              <a:ln>
                <a:noFill/>
              </a:ln>
              <a:effectLst/>
            </c:spPr>
            <c:txPr>
              <a:bodyPr rot="-3600000" spcFirstLastPara="1" vertOverflow="ellipsis"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List1!$A$2:$A$9</c:f>
              <c:strCache>
                <c:ptCount val="8"/>
                <c:pt idx="0">
                  <c:v>Daňové příjmy - správní poplatky</c:v>
                </c:pt>
                <c:pt idx="1">
                  <c:v>Příjmy z pronájmu majetku</c:v>
                </c:pt>
                <c:pt idx="2">
                  <c:v>Příjmy z vlastní činnosti</c:v>
                </c:pt>
                <c:pt idx="3">
                  <c:v>Přijaté sankční platby a vratky transferů</c:v>
                </c:pt>
                <c:pt idx="4">
                  <c:v>Odvody přebytků organizací s přímým vztahem</c:v>
                </c:pt>
                <c:pt idx="5">
                  <c:v>Příjmy z odvodů příspěvkových organizací</c:v>
                </c:pt>
                <c:pt idx="6">
                  <c:v>Ostatní nedaňové příjmy</c:v>
                </c:pt>
                <c:pt idx="7">
                  <c:v>Vratky transferů a podobné příjmy</c:v>
                </c:pt>
              </c:strCache>
            </c:strRef>
          </c:cat>
          <c:val>
            <c:numRef>
              <c:f>List1!$B$2:$B$9</c:f>
              <c:numCache>
                <c:formatCode>#,##0</c:formatCode>
                <c:ptCount val="8"/>
                <c:pt idx="0">
                  <c:v>195000</c:v>
                </c:pt>
                <c:pt idx="1">
                  <c:v>32632</c:v>
                </c:pt>
                <c:pt idx="2">
                  <c:v>48300</c:v>
                </c:pt>
                <c:pt idx="3">
                  <c:v>1068</c:v>
                </c:pt>
                <c:pt idx="4">
                  <c:v>0</c:v>
                </c:pt>
                <c:pt idx="5">
                  <c:v>0</c:v>
                </c:pt>
                <c:pt idx="6">
                  <c:v>0</c:v>
                </c:pt>
                <c:pt idx="7">
                  <c:v>0</c:v>
                </c:pt>
              </c:numCache>
            </c:numRef>
          </c:val>
          <c:extLst>
            <c:ext xmlns:c16="http://schemas.microsoft.com/office/drawing/2014/chart" uri="{C3380CC4-5D6E-409C-BE32-E72D297353CC}">
              <c16:uniqueId val="{00000005-03EE-4F04-9173-79FC6EC14F33}"/>
            </c:ext>
          </c:extLst>
        </c:ser>
        <c:ser>
          <c:idx val="1"/>
          <c:order val="1"/>
          <c:tx>
            <c:strRef>
              <c:f>List1!$C$1</c:f>
              <c:strCache>
                <c:ptCount val="1"/>
                <c:pt idx="0">
                  <c:v>2025</c:v>
                </c:pt>
              </c:strCache>
            </c:strRef>
          </c:tx>
          <c:spPr>
            <a:solidFill>
              <a:schemeClr val="accent2"/>
            </a:solidFill>
            <a:ln>
              <a:noFill/>
            </a:ln>
            <a:effectLst/>
          </c:spPr>
          <c:invertIfNegative val="0"/>
          <c:dLbls>
            <c:dLbl>
              <c:idx val="0"/>
              <c:layout>
                <c:manualLayout>
                  <c:x val="8.8202866593164071E-3"/>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3EE-4F04-9173-79FC6EC14F33}"/>
                </c:ext>
              </c:extLst>
            </c:dLbl>
            <c:dLbl>
              <c:idx val="1"/>
              <c:layout>
                <c:manualLayout>
                  <c:x val="1.1025358324145534E-2"/>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3EE-4F04-9173-79FC6EC14F33}"/>
                </c:ext>
              </c:extLst>
            </c:dLbl>
            <c:dLbl>
              <c:idx val="2"/>
              <c:layout>
                <c:manualLayout>
                  <c:x val="8.820286659316427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3EE-4F04-9173-79FC6EC14F33}"/>
                </c:ext>
              </c:extLst>
            </c:dLbl>
            <c:dLbl>
              <c:idx val="3"/>
              <c:layout>
                <c:manualLayout>
                  <c:x val="1.1025358324145534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3EE-4F04-9173-79FC6EC14F33}"/>
                </c:ext>
              </c:extLst>
            </c:dLbl>
            <c:spPr>
              <a:noFill/>
              <a:ln>
                <a:noFill/>
              </a:ln>
              <a:effectLst/>
            </c:spPr>
            <c:txPr>
              <a:bodyPr rot="-3600000" spcFirstLastPara="1" vertOverflow="ellipsis"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List1!$A$2:$A$9</c:f>
              <c:strCache>
                <c:ptCount val="8"/>
                <c:pt idx="0">
                  <c:v>Daňové příjmy - správní poplatky</c:v>
                </c:pt>
                <c:pt idx="1">
                  <c:v>Příjmy z pronájmu majetku</c:v>
                </c:pt>
                <c:pt idx="2">
                  <c:v>Příjmy z vlastní činnosti</c:v>
                </c:pt>
                <c:pt idx="3">
                  <c:v>Přijaté sankční platby a vratky transferů</c:v>
                </c:pt>
                <c:pt idx="4">
                  <c:v>Odvody přebytků organizací s přímým vztahem</c:v>
                </c:pt>
                <c:pt idx="5">
                  <c:v>Příjmy z odvodů příspěvkových organizací</c:v>
                </c:pt>
                <c:pt idx="6">
                  <c:v>Ostatní nedaňové příjmy</c:v>
                </c:pt>
                <c:pt idx="7">
                  <c:v>Vratky transferů a podobné příjmy</c:v>
                </c:pt>
              </c:strCache>
            </c:strRef>
          </c:cat>
          <c:val>
            <c:numRef>
              <c:f>List1!$C$2:$C$9</c:f>
              <c:numCache>
                <c:formatCode>#,##0</c:formatCode>
                <c:ptCount val="8"/>
                <c:pt idx="0">
                  <c:v>225000</c:v>
                </c:pt>
                <c:pt idx="1">
                  <c:v>32632</c:v>
                </c:pt>
                <c:pt idx="2">
                  <c:v>50800</c:v>
                </c:pt>
                <c:pt idx="3">
                  <c:v>1068</c:v>
                </c:pt>
                <c:pt idx="4">
                  <c:v>800000</c:v>
                </c:pt>
                <c:pt idx="5">
                  <c:v>32000</c:v>
                </c:pt>
                <c:pt idx="6">
                  <c:v>20500</c:v>
                </c:pt>
                <c:pt idx="7">
                  <c:v>25000</c:v>
                </c:pt>
              </c:numCache>
            </c:numRef>
          </c:val>
          <c:extLst>
            <c:ext xmlns:c16="http://schemas.microsoft.com/office/drawing/2014/chart" uri="{C3380CC4-5D6E-409C-BE32-E72D297353CC}">
              <c16:uniqueId val="{0000000B-03EE-4F04-9173-79FC6EC14F33}"/>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manualLayout>
          <c:xMode val="edge"/>
          <c:yMode val="edge"/>
          <c:x val="0.88726232539565408"/>
          <c:y val="0.41494396113792226"/>
          <c:w val="0.1127376746043459"/>
          <c:h val="0.170112077724155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3752093802E-2"/>
          <c:y val="9.8859315589353611E-2"/>
          <c:w val="0.93589803327863996"/>
          <c:h val="0.69904219349230101"/>
        </c:manualLayout>
      </c:layout>
      <c:barChart>
        <c:barDir val="col"/>
        <c:grouping val="clustered"/>
        <c:varyColors val="0"/>
        <c:ser>
          <c:idx val="0"/>
          <c:order val="0"/>
          <c:tx>
            <c:strRef>
              <c:f>Sheet1!$A$2</c:f>
              <c:strCache>
                <c:ptCount val="1"/>
                <c:pt idx="0">
                  <c:v>2024</c:v>
                </c:pt>
              </c:strCache>
            </c:strRef>
          </c:tx>
          <c:spPr>
            <a:solidFill>
              <a:schemeClr val="accent1"/>
            </a:solidFill>
            <a:ln>
              <a:noFill/>
            </a:ln>
            <a:effectLst/>
          </c:spPr>
          <c:invertIfNegative val="0"/>
          <c:dLbls>
            <c:dLbl>
              <c:idx val="0"/>
              <c:layout>
                <c:manualLayout>
                  <c:x val="-7.6155006263892606E-3"/>
                  <c:y val="1.8403732752751291E-2"/>
                </c:manualLayout>
              </c:layout>
              <c:dLblPos val="outEnd"/>
              <c:showLegendKey val="0"/>
              <c:showVal val="1"/>
              <c:showCatName val="0"/>
              <c:showSerName val="0"/>
              <c:showPercent val="0"/>
              <c:showBubbleSize val="0"/>
              <c:extLst>
                <c:ext xmlns:c15="http://schemas.microsoft.com/office/drawing/2012/chart" uri="{CE6537A1-D6FC-4f65-9D91-7224C49458BB}">
                  <c15:layout>
                    <c:manualLayout>
                      <c:w val="0.13995783168990789"/>
                      <c:h val="0.24659093968896292"/>
                    </c:manualLayout>
                  </c15:layout>
                </c:ext>
                <c:ext xmlns:c16="http://schemas.microsoft.com/office/drawing/2014/chart" uri="{C3380CC4-5D6E-409C-BE32-E72D297353CC}">
                  <c16:uniqueId val="{00000000-369B-4D58-92E3-B154362331A2}"/>
                </c:ext>
              </c:extLst>
            </c:dLbl>
            <c:dLbl>
              <c:idx val="1"/>
              <c:layout>
                <c:manualLayout>
                  <c:x val="-4.2118563756975893E-3"/>
                  <c:y val="1.9540791402051783E-2"/>
                </c:manualLayout>
              </c:layout>
              <c:showLegendKey val="0"/>
              <c:showVal val="1"/>
              <c:showCatName val="0"/>
              <c:showSerName val="0"/>
              <c:showPercent val="0"/>
              <c:showBubbleSize val="0"/>
              <c:extLst>
                <c:ext xmlns:c15="http://schemas.microsoft.com/office/drawing/2012/chart" uri="{CE6537A1-D6FC-4f65-9D91-7224C49458BB}">
                  <c15:layout>
                    <c:manualLayout>
                      <c:w val="0.14416968806560546"/>
                      <c:h val="0.24659093968896292"/>
                    </c:manualLayout>
                  </c15:layout>
                </c:ext>
                <c:ext xmlns:c16="http://schemas.microsoft.com/office/drawing/2014/chart" uri="{C3380CC4-5D6E-409C-BE32-E72D297353CC}">
                  <c16:uniqueId val="{00000001-369B-4D58-92E3-B154362331A2}"/>
                </c:ext>
              </c:extLst>
            </c:dLbl>
            <c:dLbl>
              <c:idx val="3"/>
              <c:layout>
                <c:manualLayout>
                  <c:x val="-1.7772707336506596E-2"/>
                  <c:y val="3.462566690643875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69B-4D58-92E3-B154362331A2}"/>
                </c:ext>
              </c:extLst>
            </c:dLbl>
            <c:numFmt formatCode="#,##0" sourceLinked="0"/>
            <c:spPr>
              <a:noFill/>
              <a:ln>
                <a:noFill/>
              </a:ln>
              <a:effectLst/>
            </c:spPr>
            <c:txPr>
              <a:bodyPr rot="-1800000" spcFirstLastPara="1" vertOverflow="ellipsis"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Drážní a kombinovaná doprava</c:v>
                </c:pt>
                <c:pt idx="1">
                  <c:v>Dotace pro SFDI</c:v>
                </c:pt>
                <c:pt idx="2">
                  <c:v>Pozemní komunikace</c:v>
                </c:pt>
                <c:pt idx="3">
                  <c:v>Ostatní výdaje spojené s dopr.pol.státu</c:v>
                </c:pt>
              </c:strCache>
            </c:strRef>
          </c:cat>
          <c:val>
            <c:numRef>
              <c:f>Sheet1!$B$2:$E$2</c:f>
              <c:numCache>
                <c:formatCode>#,##0</c:formatCode>
                <c:ptCount val="4"/>
                <c:pt idx="0">
                  <c:v>12549397863</c:v>
                </c:pt>
                <c:pt idx="1">
                  <c:v>81509223660</c:v>
                </c:pt>
                <c:pt idx="2">
                  <c:v>0</c:v>
                </c:pt>
                <c:pt idx="3">
                  <c:v>9614564116</c:v>
                </c:pt>
              </c:numCache>
            </c:numRef>
          </c:val>
          <c:extLst>
            <c:ext xmlns:c16="http://schemas.microsoft.com/office/drawing/2014/chart" uri="{C3380CC4-5D6E-409C-BE32-E72D297353CC}">
              <c16:uniqueId val="{00000004-369B-4D58-92E3-B154362331A2}"/>
            </c:ext>
          </c:extLst>
        </c:ser>
        <c:ser>
          <c:idx val="1"/>
          <c:order val="1"/>
          <c:tx>
            <c:strRef>
              <c:f>Sheet1!$A$3</c:f>
              <c:strCache>
                <c:ptCount val="1"/>
                <c:pt idx="0">
                  <c:v>2025</c:v>
                </c:pt>
              </c:strCache>
            </c:strRef>
          </c:tx>
          <c:spPr>
            <a:solidFill>
              <a:schemeClr val="accent2"/>
            </a:solidFill>
            <a:ln>
              <a:noFill/>
            </a:ln>
            <a:effectLst/>
          </c:spPr>
          <c:invertIfNegative val="0"/>
          <c:dLbls>
            <c:dLbl>
              <c:idx val="0"/>
              <c:layout>
                <c:manualLayout>
                  <c:x val="2.2079081748981662E-2"/>
                  <c:y val="-1.6241167216091149E-2"/>
                </c:manualLayout>
              </c:layout>
              <c:dLblPos val="outEnd"/>
              <c:showLegendKey val="0"/>
              <c:showVal val="1"/>
              <c:showCatName val="0"/>
              <c:showSerName val="0"/>
              <c:showPercent val="0"/>
              <c:showBubbleSize val="0"/>
              <c:extLst>
                <c:ext xmlns:c15="http://schemas.microsoft.com/office/drawing/2012/chart" uri="{CE6537A1-D6FC-4f65-9D91-7224C49458BB}">
                  <c15:layout>
                    <c:manualLayout>
                      <c:w val="0.13995783168990789"/>
                      <c:h val="0.24659093968896292"/>
                    </c:manualLayout>
                  </c15:layout>
                </c:ext>
                <c:ext xmlns:c16="http://schemas.microsoft.com/office/drawing/2014/chart" uri="{C3380CC4-5D6E-409C-BE32-E72D297353CC}">
                  <c16:uniqueId val="{00000005-369B-4D58-92E3-B154362331A2}"/>
                </c:ext>
              </c:extLst>
            </c:dLbl>
            <c:dLbl>
              <c:idx val="1"/>
              <c:layout>
                <c:manualLayout>
                  <c:x val="6.528377382331263E-2"/>
                  <c:y val="6.106497313141182E-2"/>
                </c:manualLayout>
              </c:layout>
              <c:showLegendKey val="0"/>
              <c:showVal val="1"/>
              <c:showCatName val="0"/>
              <c:showSerName val="0"/>
              <c:showPercent val="0"/>
              <c:showBubbleSize val="0"/>
              <c:extLst>
                <c:ext xmlns:c15="http://schemas.microsoft.com/office/drawing/2012/chart" uri="{CE6537A1-D6FC-4f65-9D91-7224C49458BB}">
                  <c15:layout>
                    <c:manualLayout>
                      <c:w val="0.15259340081700065"/>
                      <c:h val="0.17331297193126874"/>
                    </c:manualLayout>
                  </c15:layout>
                </c:ext>
                <c:ext xmlns:c16="http://schemas.microsoft.com/office/drawing/2014/chart" uri="{C3380CC4-5D6E-409C-BE32-E72D297353CC}">
                  <c16:uniqueId val="{00000006-369B-4D58-92E3-B154362331A2}"/>
                </c:ext>
              </c:extLst>
            </c:dLbl>
            <c:dLbl>
              <c:idx val="3"/>
              <c:layout>
                <c:manualLayout>
                  <c:x val="1.8908747810124735E-2"/>
                  <c:y val="-1.4128222980432297E-2"/>
                </c:manualLayout>
              </c:layout>
              <c:dLblPos val="outEnd"/>
              <c:showLegendKey val="0"/>
              <c:showVal val="1"/>
              <c:showCatName val="0"/>
              <c:showSerName val="0"/>
              <c:showPercent val="0"/>
              <c:showBubbleSize val="0"/>
              <c:extLst>
                <c:ext xmlns:c15="http://schemas.microsoft.com/office/drawing/2012/chart" uri="{CE6537A1-D6FC-4f65-9D91-7224C49458BB}">
                  <c15:layout>
                    <c:manualLayout>
                      <c:w val="0.13681485823538145"/>
                      <c:h val="0.2050017502086787"/>
                    </c:manualLayout>
                  </c15:layout>
                </c:ext>
                <c:ext xmlns:c16="http://schemas.microsoft.com/office/drawing/2014/chart" uri="{C3380CC4-5D6E-409C-BE32-E72D297353CC}">
                  <c16:uniqueId val="{00000007-369B-4D58-92E3-B154362331A2}"/>
                </c:ext>
              </c:extLst>
            </c:dLbl>
            <c:numFmt formatCode="#,##0" sourceLinked="0"/>
            <c:spPr>
              <a:noFill/>
              <a:ln>
                <a:noFill/>
              </a:ln>
              <a:effectLst/>
            </c:spPr>
            <c:txPr>
              <a:bodyPr rot="-1800000" spcFirstLastPara="1" vertOverflow="ellipsis"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Drážní a kombinovaná doprava</c:v>
                </c:pt>
                <c:pt idx="1">
                  <c:v>Dotace pro SFDI</c:v>
                </c:pt>
                <c:pt idx="2">
                  <c:v>Pozemní komunikace</c:v>
                </c:pt>
                <c:pt idx="3">
                  <c:v>Ostatní výdaje spojené s dopr.pol.státu</c:v>
                </c:pt>
              </c:strCache>
            </c:strRef>
          </c:cat>
          <c:val>
            <c:numRef>
              <c:f>Sheet1!$B$3:$E$3</c:f>
              <c:numCache>
                <c:formatCode>#,##0</c:formatCode>
                <c:ptCount val="4"/>
                <c:pt idx="0">
                  <c:v>11056914641</c:v>
                </c:pt>
                <c:pt idx="1">
                  <c:v>119202233820</c:v>
                </c:pt>
                <c:pt idx="2">
                  <c:v>0</c:v>
                </c:pt>
                <c:pt idx="3">
                  <c:v>9227662463</c:v>
                </c:pt>
              </c:numCache>
            </c:numRef>
          </c:val>
          <c:extLst>
            <c:ext xmlns:c16="http://schemas.microsoft.com/office/drawing/2014/chart" uri="{C3380CC4-5D6E-409C-BE32-E72D297353CC}">
              <c16:uniqueId val="{00000009-369B-4D58-92E3-B154362331A2}"/>
            </c:ext>
          </c:extLst>
        </c:ser>
        <c:dLbls>
          <c:showLegendKey val="0"/>
          <c:showVal val="0"/>
          <c:showCatName val="0"/>
          <c:showSerName val="0"/>
          <c:showPercent val="0"/>
          <c:showBubbleSize val="0"/>
        </c:dLbls>
        <c:gapWidth val="267"/>
        <c:overlap val="-43"/>
        <c:axId val="422713248"/>
        <c:axId val="422713640"/>
      </c:barChart>
      <c:catAx>
        <c:axId val="4227132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solidFill>
                <a:latin typeface="+mn-lt"/>
                <a:ea typeface="+mn-ea"/>
                <a:cs typeface="+mn-cs"/>
              </a:defRPr>
            </a:pPr>
            <a:endParaRPr lang="cs-CZ"/>
          </a:p>
        </c:txPr>
        <c:crossAx val="422713640"/>
        <c:crosses val="autoZero"/>
        <c:auto val="1"/>
        <c:lblAlgn val="ctr"/>
        <c:lblOffset val="100"/>
        <c:tickLblSkip val="1"/>
        <c:tickMarkSkip val="1"/>
        <c:noMultiLvlLbl val="0"/>
      </c:catAx>
      <c:valAx>
        <c:axId val="42271364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crossAx val="4227132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42396388451443567"/>
          <c:y val="0.87848012647661833"/>
          <c:w val="0.14827813739098097"/>
          <c:h val="8.243829071927807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legend>
    <c:plotVisOnly val="1"/>
    <c:dispBlanksAs val="gap"/>
    <c:showDLblsOverMax val="0"/>
  </c:chart>
  <c:spPr>
    <a:solidFill>
      <a:schemeClr val="lt1"/>
    </a:solidFill>
    <a:ln w="12700" cap="flat" cmpd="sng" algn="ctr">
      <a:solidFill>
        <a:schemeClr val="bg1">
          <a:lumMod val="85000"/>
        </a:schemeClr>
      </a:solidFill>
      <a:prstDash val="solid"/>
      <a:miter lim="800000"/>
    </a:ln>
    <a:effectLst/>
  </c:spPr>
  <c:txPr>
    <a:bodyPr/>
    <a:lstStyle/>
    <a:p>
      <a:pPr>
        <a:defRPr>
          <a:solidFill>
            <a:schemeClr val="dk1"/>
          </a:solidFill>
          <a:latin typeface="+mn-lt"/>
          <a:ea typeface="+mn-ea"/>
          <a:cs typeface="+mn-cs"/>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běžných výdajů 2024</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E84-44BD-AB92-B935A81BB0D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E84-44BD-AB92-B935A81BB0D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E84-44BD-AB92-B935A81BB0D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E84-44BD-AB92-B935A81BB0D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EE84-44BD-AB92-B935A81BB0D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EE84-44BD-AB92-B935A81BB0DA}"/>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EE84-44BD-AB92-B935A81BB0DA}"/>
              </c:ext>
            </c:extLst>
          </c:dPt>
          <c:dLbls>
            <c:dLbl>
              <c:idx val="0"/>
              <c:layout>
                <c:manualLayout>
                  <c:x val="-7.098765432098765E-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E84-44BD-AB92-B935A81BB0DA}"/>
                </c:ext>
              </c:extLst>
            </c:dLbl>
            <c:dLbl>
              <c:idx val="1"/>
              <c:layout>
                <c:manualLayout>
                  <c:x val="1.8738977072310405E-3"/>
                  <c:y val="-0.1595274479186925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E84-44BD-AB92-B935A81BB0DA}"/>
                </c:ext>
              </c:extLst>
            </c:dLbl>
            <c:dLbl>
              <c:idx val="2"/>
              <c:layout>
                <c:manualLayout>
                  <c:x val="0.16601240817120083"/>
                  <c:y val="-0.1406924169764594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E84-44BD-AB92-B935A81BB0DA}"/>
                </c:ext>
              </c:extLst>
            </c:dLbl>
            <c:dLbl>
              <c:idx val="3"/>
              <c:layout>
                <c:manualLayout>
                  <c:x val="8.0493757724728859E-2"/>
                  <c:y val="5.2158547224645573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E84-44BD-AB92-B935A81BB0DA}"/>
                </c:ext>
              </c:extLst>
            </c:dLbl>
            <c:dLbl>
              <c:idx val="4"/>
              <c:layout>
                <c:manualLayout>
                  <c:x val="7.1777312558152423E-2"/>
                  <c:y val="0.15737992172291099"/>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E84-44BD-AB92-B935A81BB0DA}"/>
                </c:ext>
              </c:extLst>
            </c:dLbl>
            <c:dLbl>
              <c:idx val="5"/>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B-EE84-44BD-AB92-B935A81BB0DA}"/>
                </c:ext>
              </c:extLst>
            </c:dLbl>
            <c:dLbl>
              <c:idx val="6"/>
              <c:layout>
                <c:manualLayout>
                  <c:x val="-2.7998236331569625E-2"/>
                  <c:y val="-3.29334274288402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EE84-44BD-AB92-B935A81BB0DA}"/>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List1!$A$2:$A$8</c:f>
              <c:strCache>
                <c:ptCount val="7"/>
                <c:pt idx="0">
                  <c:v>Běžné výdaje organizačních složek státu</c:v>
                </c:pt>
                <c:pt idx="1">
                  <c:v>Transfery příspěvkovým a podobným organizacím</c:v>
                </c:pt>
                <c:pt idx="2">
                  <c:v>Dotace neziskovým a podobným organizacím</c:v>
                </c:pt>
                <c:pt idx="3">
                  <c:v>Transfery veřejným rozpočtům územní úrovně</c:v>
                </c:pt>
                <c:pt idx="4">
                  <c:v>Dotace podnikatelským subjektům</c:v>
                </c:pt>
                <c:pt idx="5">
                  <c:v>Dotace státním fondům</c:v>
                </c:pt>
                <c:pt idx="6">
                  <c:v>Transfery do zahraničí</c:v>
                </c:pt>
              </c:strCache>
            </c:strRef>
          </c:cat>
          <c:val>
            <c:numRef>
              <c:f>List1!$B$2:$B$8</c:f>
              <c:numCache>
                <c:formatCode>#,##0</c:formatCode>
                <c:ptCount val="7"/>
                <c:pt idx="0">
                  <c:v>7529860</c:v>
                </c:pt>
                <c:pt idx="1">
                  <c:v>197620</c:v>
                </c:pt>
                <c:pt idx="2">
                  <c:v>10340</c:v>
                </c:pt>
                <c:pt idx="3">
                  <c:v>4507084</c:v>
                </c:pt>
                <c:pt idx="4">
                  <c:v>6665688</c:v>
                </c:pt>
                <c:pt idx="5">
                  <c:v>26060912</c:v>
                </c:pt>
                <c:pt idx="6">
                  <c:v>1221466</c:v>
                </c:pt>
              </c:numCache>
            </c:numRef>
          </c:val>
          <c:extLst>
            <c:ext xmlns:c16="http://schemas.microsoft.com/office/drawing/2014/chart" uri="{C3380CC4-5D6E-409C-BE32-E72D297353CC}">
              <c16:uniqueId val="{0000000E-EE84-44BD-AB92-B935A81BB0DA}"/>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26"/>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089070208892753"/>
          <c:y val="0.22053149606299213"/>
          <c:w val="0.53908087877904154"/>
          <c:h val="0.55598952736367013"/>
        </c:manualLayout>
      </c:layout>
      <c:pie3DChart>
        <c:varyColors val="1"/>
        <c:ser>
          <c:idx val="0"/>
          <c:order val="0"/>
          <c:tx>
            <c:strRef>
              <c:f>Sheet1!$A$2</c:f>
              <c:strCache>
                <c:ptCount val="1"/>
              </c:strCache>
            </c:strRef>
          </c:tx>
          <c:explosion val="1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1-E585-4061-A135-FA35E7DCB1E0}"/>
                </c:ext>
              </c:extLst>
            </c:dLbl>
            <c:dLbl>
              <c:idx val="1"/>
              <c:layout>
                <c:manualLayout>
                  <c:x val="-4.4091710758377423E-3"/>
                  <c:y val="-0.219822599305823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585-4061-A135-FA35E7DCB1E0}"/>
                </c:ext>
              </c:extLst>
            </c:dLbl>
            <c:dLbl>
              <c:idx val="2"/>
              <c:delete val="1"/>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5-E585-4061-A135-FA35E7DCB1E0}"/>
                </c:ext>
              </c:extLst>
            </c:dLbl>
            <c:dLbl>
              <c:idx val="3"/>
              <c:delete val="1"/>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7-E585-4061-A135-FA35E7DCB1E0}"/>
                </c:ext>
              </c:extLst>
            </c:dLbl>
            <c:spPr>
              <a:solidFill>
                <a:sysClr val="window" lastClr="FFFFFF"/>
              </a:solidFill>
              <a:ln>
                <a:solidFill>
                  <a:srgbClr val="5B9BD5"/>
                </a:solid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Sheet1!$B$1:$E$1</c:f>
              <c:strCache>
                <c:ptCount val="2"/>
                <c:pt idx="0">
                  <c:v>úhrada ztráty dopravce z provozu veř. osobní drážní dopravy</c:v>
                </c:pt>
                <c:pt idx="1">
                  <c:v>úhrada poplatků vybíraných za LPS poskyt. ve vzdušném prostoru </c:v>
                </c:pt>
              </c:strCache>
            </c:strRef>
          </c:cat>
          <c:val>
            <c:numRef>
              <c:f>Sheet1!$B$2:$E$2</c:f>
              <c:numCache>
                <c:formatCode>#,##0</c:formatCode>
                <c:ptCount val="4"/>
                <c:pt idx="0">
                  <c:v>6551451</c:v>
                </c:pt>
                <c:pt idx="1">
                  <c:v>114237</c:v>
                </c:pt>
              </c:numCache>
            </c:numRef>
          </c:val>
          <c:extLst>
            <c:ext xmlns:c16="http://schemas.microsoft.com/office/drawing/2014/chart" uri="{C3380CC4-5D6E-409C-BE32-E72D297353CC}">
              <c16:uniqueId val="{00000008-E585-4061-A135-FA35E7DCB1E0}"/>
            </c:ext>
          </c:extLst>
        </c:ser>
        <c:dLbls>
          <c:dLblPos val="bestFit"/>
          <c:showLegendKey val="0"/>
          <c:showVal val="0"/>
          <c:showCatName val="0"/>
          <c:showSerName val="0"/>
          <c:showPercent val="1"/>
          <c:showBubbleSize val="0"/>
          <c:showLeaderLines val="0"/>
        </c:dLbls>
        <c:extLst>
          <c:ext xmlns:c15="http://schemas.microsoft.com/office/drawing/2012/chart" uri="{02D57815-91ED-43cb-92C2-25804820EDAC}">
            <c15:filteredPieSeries>
              <c15:ser>
                <c:idx val="1"/>
                <c:order val="1"/>
                <c:tx>
                  <c:strRef>
                    <c:extLst>
                      <c:ext uri="{02D57815-91ED-43cb-92C2-25804820EDAC}">
                        <c15:formulaRef>
                          <c15:sqref>Sheet1!$A$3</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A-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C-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E-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0A-E585-4061-A135-FA35E7DCB1E0}"/>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0C-E585-4061-A135-FA35E7DCB1E0}"/>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0E-E585-4061-A135-FA35E7DCB1E0}"/>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6="http://schemas.microsoft.com/office/drawing/2014/chart" uri="{C3380CC4-5D6E-409C-BE32-E72D297353CC}">
                        <c16:uniqueId val="{00000010-E585-4061-A135-FA35E7DCB1E0}"/>
                      </c:ext>
                    </c:extLst>
                  </c:dLbl>
                  <c:numFmt formatCode="0%" sourceLinked="0"/>
                  <c:spPr>
                    <a:noFill/>
                    <a:ln>
                      <a:noFill/>
                    </a:ln>
                    <a:effectLst/>
                  </c:sp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Sheet1!$B$1:$E$1</c15:sqref>
                        </c15:formulaRef>
                      </c:ext>
                    </c:extLst>
                    <c:strCache>
                      <c:ptCount val="2"/>
                      <c:pt idx="0">
                        <c:v>úhrada ztráty dopravce z provozu veř. osobní drážní dopravy</c:v>
                      </c:pt>
                      <c:pt idx="1">
                        <c:v>úhrada poplatků vybíraných za LPS poskyt. ve vzdušném prostoru </c:v>
                      </c:pt>
                    </c:strCache>
                  </c:strRef>
                </c:cat>
                <c:val>
                  <c:numRef>
                    <c:extLst>
                      <c:ext uri="{02D57815-91ED-43cb-92C2-25804820EDAC}">
                        <c15:formulaRef>
                          <c15:sqref>Sheet1!$B$3:$E$3</c15:sqref>
                        </c15:formulaRef>
                      </c:ext>
                    </c:extLst>
                    <c:numCache>
                      <c:formatCode>General</c:formatCode>
                      <c:ptCount val="4"/>
                    </c:numCache>
                  </c:numRef>
                </c:val>
                <c:extLst>
                  <c:ext xmlns:c16="http://schemas.microsoft.com/office/drawing/2014/chart" uri="{C3380CC4-5D6E-409C-BE32-E72D297353CC}">
                    <c16:uniqueId val="{00000011-E585-4061-A135-FA35E7DCB1E0}"/>
                  </c:ext>
                </c:extLst>
              </c15:ser>
            </c15:filteredPieSeries>
            <c15:filteredPie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3-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5-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7-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9-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3-E585-4061-A135-FA35E7DCB1E0}"/>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5-E585-4061-A135-FA35E7DCB1E0}"/>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7-E585-4061-A135-FA35E7DCB1E0}"/>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9-E585-4061-A135-FA35E7DCB1E0}"/>
                      </c:ext>
                    </c:extLst>
                  </c:dLbl>
                  <c:numFmt formatCode="0%" sourceLinked="0"/>
                  <c:spPr>
                    <a:noFill/>
                    <a:ln>
                      <a:noFill/>
                    </a:ln>
                    <a:effectLst/>
                  </c:sp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2"/>
                      <c:pt idx="0">
                        <c:v>úhrada ztráty dopravce z provozu veř. osobní drážní dopravy</c:v>
                      </c:pt>
                      <c:pt idx="1">
                        <c:v>úhrada poplatků vybíraných za LPS poskyt. ve vzdušném prostoru </c:v>
                      </c:pt>
                    </c:strCache>
                  </c:strRef>
                </c:cat>
                <c:val>
                  <c:numRef>
                    <c:extLst xmlns:c15="http://schemas.microsoft.com/office/drawing/2012/chart">
                      <c:ext xmlns:c15="http://schemas.microsoft.com/office/drawing/2012/chart" uri="{02D57815-91ED-43cb-92C2-25804820EDAC}">
                        <c15:formulaRef>
                          <c15:sqref>Sheet1!$B$4:$E$4</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1A-E585-4061-A135-FA35E7DCB1E0}"/>
                  </c:ext>
                </c:extLst>
              </c15:ser>
            </c15:filteredPieSeries>
            <c15:filteredPieSeries>
              <c15:ser>
                <c:idx val="3"/>
                <c:order val="3"/>
                <c:tx>
                  <c:strRef>
                    <c:extLst xmlns:c15="http://schemas.microsoft.com/office/drawing/2012/chart">
                      <c:ext xmlns:c15="http://schemas.microsoft.com/office/drawing/2012/chart" uri="{02D57815-91ED-43cb-92C2-25804820EDAC}">
                        <c15:formulaRef>
                          <c15:sqref>Sheet1!$A$5</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C-E585-4061-A135-FA35E7DCB1E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E-E585-4061-A135-FA35E7DCB1E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0-E585-4061-A135-FA35E7DCB1E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2-E585-4061-A135-FA35E7DCB1E0}"/>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C-E585-4061-A135-FA35E7DCB1E0}"/>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E-E585-4061-A135-FA35E7DCB1E0}"/>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0-E585-4061-A135-FA35E7DCB1E0}"/>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2-E585-4061-A135-FA35E7DCB1E0}"/>
                      </c:ext>
                    </c:extLst>
                  </c:dLbl>
                  <c:numFmt formatCode="0%" sourceLinked="0"/>
                  <c:spPr>
                    <a:noFill/>
                    <a:ln>
                      <a:noFill/>
                    </a:ln>
                    <a:effectLst/>
                  </c:sp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2"/>
                      <c:pt idx="0">
                        <c:v>úhrada ztráty dopravce z provozu veř. osobní drážní dopravy</c:v>
                      </c:pt>
                      <c:pt idx="1">
                        <c:v>úhrada poplatků vybíraných za LPS poskyt. ve vzdušném prostoru </c:v>
                      </c:pt>
                    </c:strCache>
                  </c:strRef>
                </c:cat>
                <c:val>
                  <c:numRef>
                    <c:extLst xmlns:c15="http://schemas.microsoft.com/office/drawing/2012/chart">
                      <c:ext xmlns:c15="http://schemas.microsoft.com/office/drawing/2012/chart" uri="{02D57815-91ED-43cb-92C2-25804820EDAC}">
                        <c15:formulaRef>
                          <c15:sqref>Sheet1!$B$5:$E$5</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23-E585-4061-A135-FA35E7DCB1E0}"/>
                  </c:ext>
                </c:extLst>
              </c15:ser>
            </c15:filteredPieSeries>
          </c:ext>
        </c:extLst>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707482993197279E-2"/>
          <c:y val="4.5643153526970952E-2"/>
          <c:w val="0.8311076467790518"/>
          <c:h val="0.8149420167100625"/>
        </c:manualLayout>
      </c:layout>
      <c:barChart>
        <c:barDir val="col"/>
        <c:grouping val="clustered"/>
        <c:varyColors val="0"/>
        <c:ser>
          <c:idx val="0"/>
          <c:order val="0"/>
          <c:tx>
            <c:strRef>
              <c:f>Sheet1!$A$2</c:f>
              <c:strCache>
                <c:ptCount val="1"/>
                <c:pt idx="0">
                  <c:v>2024</c:v>
                </c:pt>
              </c:strCache>
            </c:strRef>
          </c:tx>
          <c:spPr>
            <a:solidFill>
              <a:schemeClr val="accent1"/>
            </a:solidFill>
            <a:ln>
              <a:noFill/>
            </a:ln>
            <a:effectLst/>
          </c:spPr>
          <c:invertIfNegative val="0"/>
          <c:dLbls>
            <c:dLbl>
              <c:idx val="1"/>
              <c:numFmt formatCode="#,##0" sourceLinked="0"/>
              <c:spPr>
                <a:no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0-3209-451C-99C1-FD0F0888348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Sheet1!$B$1:$C$1</c:f>
              <c:strCache>
                <c:ptCount val="2"/>
                <c:pt idx="0">
                  <c:v>Obce</c:v>
                </c:pt>
                <c:pt idx="1">
                  <c:v>Kraje</c:v>
                </c:pt>
              </c:strCache>
            </c:strRef>
          </c:cat>
          <c:val>
            <c:numRef>
              <c:f>Sheet1!$B$2:$C$2</c:f>
              <c:numCache>
                <c:formatCode>#,##0</c:formatCode>
                <c:ptCount val="2"/>
                <c:pt idx="0">
                  <c:v>353732</c:v>
                </c:pt>
                <c:pt idx="1">
                  <c:v>3756145</c:v>
                </c:pt>
              </c:numCache>
            </c:numRef>
          </c:val>
          <c:extLst>
            <c:ext xmlns:c16="http://schemas.microsoft.com/office/drawing/2014/chart" uri="{C3380CC4-5D6E-409C-BE32-E72D297353CC}">
              <c16:uniqueId val="{00000001-3209-451C-99C1-FD0F0888348D}"/>
            </c:ext>
          </c:extLst>
        </c:ser>
        <c:ser>
          <c:idx val="1"/>
          <c:order val="1"/>
          <c:tx>
            <c:strRef>
              <c:f>Sheet1!$A$3</c:f>
              <c:strCache>
                <c:ptCount val="1"/>
                <c:pt idx="0">
                  <c:v>2025</c:v>
                </c:pt>
              </c:strCache>
            </c:strRef>
          </c:tx>
          <c:spPr>
            <a:solidFill>
              <a:schemeClr val="accent2"/>
            </a:solidFill>
            <a:ln>
              <a:noFill/>
            </a:ln>
            <a:effectLst/>
          </c:spPr>
          <c:invertIfNegative val="0"/>
          <c:dLbls>
            <c:dLbl>
              <c:idx val="1"/>
              <c:layout>
                <c:manualLayout>
                  <c:x val="-8.2027389474491224E-17"/>
                  <c:y val="9.947774185525988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DF6-4C14-9771-1D7C42DD6A24}"/>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Sheet1!$B$3:$C$3</c:f>
              <c:numCache>
                <c:formatCode>#,##0</c:formatCode>
                <c:ptCount val="2"/>
                <c:pt idx="0">
                  <c:v>385555</c:v>
                </c:pt>
                <c:pt idx="1">
                  <c:v>4121529</c:v>
                </c:pt>
              </c:numCache>
            </c:numRef>
          </c:val>
          <c:extLst>
            <c:ext xmlns:c16="http://schemas.microsoft.com/office/drawing/2014/chart" uri="{C3380CC4-5D6E-409C-BE32-E72D297353CC}">
              <c16:uniqueId val="{00000002-3209-451C-99C1-FD0F0888348D}"/>
            </c:ext>
          </c:extLst>
        </c:ser>
        <c:dLbls>
          <c:dLblPos val="outEnd"/>
          <c:showLegendKey val="0"/>
          <c:showVal val="1"/>
          <c:showCatName val="0"/>
          <c:showSerName val="0"/>
          <c:showPercent val="0"/>
          <c:showBubbleSize val="0"/>
        </c:dLbls>
        <c:gapWidth val="267"/>
        <c:overlap val="-43"/>
        <c:axId val="410611672"/>
        <c:axId val="477084872"/>
      </c:barChart>
      <c:catAx>
        <c:axId val="4106116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084872"/>
        <c:crosses val="autoZero"/>
        <c:auto val="1"/>
        <c:lblAlgn val="ctr"/>
        <c:lblOffset val="100"/>
        <c:tickLblSkip val="1"/>
        <c:tickMarkSkip val="1"/>
        <c:noMultiLvlLbl val="0"/>
      </c:catAx>
      <c:valAx>
        <c:axId val="477084872"/>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10611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731138473462631"/>
          <c:y val="0.43857190693739756"/>
          <c:w val="0.15101481442336487"/>
          <c:h val="8.39349321573549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29501173464428"/>
          <c:y val="0.31516985376827894"/>
          <c:w val="0.64094557624741344"/>
          <c:h val="0.5524657093131129"/>
        </c:manualLayout>
      </c:layout>
      <c:pie3DChart>
        <c:varyColors val="1"/>
        <c:ser>
          <c:idx val="0"/>
          <c:order val="0"/>
          <c:tx>
            <c:strRef>
              <c:f>Sheet1!$A$2</c:f>
              <c:strCache>
                <c:ptCount val="1"/>
              </c:strCache>
            </c:strRef>
          </c:tx>
          <c:dPt>
            <c:idx val="0"/>
            <c:bubble3D val="0"/>
            <c:spPr>
              <a:solidFill>
                <a:schemeClr val="accent2">
                  <a:lumMod val="40000"/>
                  <a:lumOff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7F1-4F68-BE03-B6923721DA1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7F1-4F68-BE03-B6923721DA19}"/>
              </c:ext>
            </c:extLst>
          </c:dPt>
          <c:dPt>
            <c:idx val="2"/>
            <c:bubble3D val="0"/>
            <c:explosion val="43"/>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F7F1-4F68-BE03-B6923721DA19}"/>
              </c:ext>
            </c:extLst>
          </c:dPt>
          <c:dPt>
            <c:idx val="3"/>
            <c:bubble3D val="0"/>
            <c:explosion val="22"/>
            <c:spPr>
              <a:solidFill>
                <a:schemeClr val="accent1">
                  <a:lumMod val="60000"/>
                  <a:lumOff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F7F1-4F68-BE03-B6923721DA19}"/>
              </c:ext>
            </c:extLst>
          </c:dPt>
          <c:dLbls>
            <c:dLbl>
              <c:idx val="0"/>
              <c:layout>
                <c:manualLayout>
                  <c:x val="0.13083331235563364"/>
                  <c:y val="0.27598539866982641"/>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7F1-4F68-BE03-B6923721DA19}"/>
                </c:ext>
              </c:extLst>
            </c:dLbl>
            <c:dLbl>
              <c:idx val="1"/>
              <c:layout>
                <c:manualLayout>
                  <c:x val="-0.17797254728011827"/>
                  <c:y val="-9.708737864077676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17739188851393572"/>
                      <c:h val="0.31170905243465796"/>
                    </c:manualLayout>
                  </c15:layout>
                </c:ext>
                <c:ext xmlns:c16="http://schemas.microsoft.com/office/drawing/2014/chart" uri="{C3380CC4-5D6E-409C-BE32-E72D297353CC}">
                  <c16:uniqueId val="{00000003-F7F1-4F68-BE03-B6923721DA19}"/>
                </c:ext>
              </c:extLst>
            </c:dLbl>
            <c:dLbl>
              <c:idx val="2"/>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5-F7F1-4F68-BE03-B6923721DA19}"/>
                </c:ext>
              </c:extLst>
            </c:dLbl>
            <c:dLbl>
              <c:idx val="3"/>
              <c:delete val="1"/>
              <c:extLst>
                <c:ext xmlns:c15="http://schemas.microsoft.com/office/drawing/2012/chart" uri="{CE6537A1-D6FC-4f65-9D91-7224C49458BB}"/>
                <c:ext xmlns:c16="http://schemas.microsoft.com/office/drawing/2014/chart" uri="{C3380CC4-5D6E-409C-BE32-E72D297353CC}">
                  <c16:uniqueId val="{00000007-F7F1-4F68-BE03-B6923721DA19}"/>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3"/>
                <c:pt idx="0">
                  <c:v>nákupy a související výdaje organizačních složek státu</c:v>
                </c:pt>
                <c:pt idx="1">
                  <c:v>transfery příspěvkovým a podobným organizacím</c:v>
                </c:pt>
                <c:pt idx="2">
                  <c:v>transfery státním fondům</c:v>
                </c:pt>
              </c:strCache>
            </c:strRef>
          </c:cat>
          <c:val>
            <c:numRef>
              <c:f>Sheet1!$B$2:$E$2</c:f>
              <c:numCache>
                <c:formatCode>#,##0</c:formatCode>
                <c:ptCount val="4"/>
                <c:pt idx="0">
                  <c:v>132314</c:v>
                </c:pt>
                <c:pt idx="1">
                  <c:v>20205</c:v>
                </c:pt>
                <c:pt idx="2">
                  <c:v>93141322</c:v>
                </c:pt>
              </c:numCache>
            </c:numRef>
          </c:val>
          <c:extLst>
            <c:ext xmlns:c16="http://schemas.microsoft.com/office/drawing/2014/chart" uri="{C3380CC4-5D6E-409C-BE32-E72D297353CC}">
              <c16:uniqueId val="{00000008-F7F1-4F68-BE03-B6923721DA19}"/>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výdajů 2025</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51C-4C64-8154-D614AD00F8D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51C-4C64-8154-D614AD00F8D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51C-4C64-8154-D614AD00F8D5}"/>
              </c:ext>
            </c:extLst>
          </c:dPt>
          <c:dLbls>
            <c:dLbl>
              <c:idx val="0"/>
              <c:layout>
                <c:manualLayout>
                  <c:x val="-1.3227513227513308E-2"/>
                  <c:y val="7.0571630204657815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51C-4C64-8154-D614AD00F8D5}"/>
                </c:ext>
              </c:extLst>
            </c:dLbl>
            <c:dLbl>
              <c:idx val="1"/>
              <c:layout>
                <c:manualLayout>
                  <c:x val="-4.6296296296296294E-2"/>
                  <c:y val="-4.312660914502185E-17"/>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51C-4C64-8154-D614AD00F8D5}"/>
                </c:ext>
              </c:extLst>
            </c:dLbl>
            <c:dLbl>
              <c:idx val="2"/>
              <c:layout>
                <c:manualLayout>
                  <c:x val="-2.8659611992945325E-2"/>
                  <c:y val="-2.3675763183095464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51C-4C64-8154-D614AD00F8D5}"/>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List1!$A$2:$A$4</c:f>
              <c:strCache>
                <c:ptCount val="3"/>
                <c:pt idx="0">
                  <c:v>OP Doprava 2021 - 2027</c:v>
                </c:pt>
                <c:pt idx="1">
                  <c:v>Komunitární programy 2021+</c:v>
                </c:pt>
                <c:pt idx="2">
                  <c:v>Národní plán obnovy</c:v>
                </c:pt>
              </c:strCache>
            </c:strRef>
          </c:cat>
          <c:val>
            <c:numRef>
              <c:f>List1!$B$2:$B$4</c:f>
              <c:numCache>
                <c:formatCode>#,##0</c:formatCode>
                <c:ptCount val="3"/>
                <c:pt idx="0">
                  <c:v>30372735</c:v>
                </c:pt>
                <c:pt idx="1">
                  <c:v>7127009</c:v>
                </c:pt>
                <c:pt idx="2">
                  <c:v>7717</c:v>
                </c:pt>
              </c:numCache>
            </c:numRef>
          </c:val>
          <c:extLst>
            <c:ext xmlns:c16="http://schemas.microsoft.com/office/drawing/2014/chart" uri="{C3380CC4-5D6E-409C-BE32-E72D297353CC}">
              <c16:uniqueId val="{0000000E-A51C-4C64-8154-D614AD00F8D5}"/>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3CFD-BD3F-491D-ACA3-542E9D0E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67</Pages>
  <Words>28145</Words>
  <Characters>166057</Characters>
  <Application>Microsoft Office Word</Application>
  <DocSecurity>0</DocSecurity>
  <Lines>1383</Lines>
  <Paragraphs>387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MD</Company>
  <LinksUpToDate>false</LinksUpToDate>
  <CharactersWithSpaces>193815</CharactersWithSpaces>
  <SharedDoc>false</SharedDoc>
  <HLinks>
    <vt:vector size="282" baseType="variant">
      <vt:variant>
        <vt:i4>1572924</vt:i4>
      </vt:variant>
      <vt:variant>
        <vt:i4>281</vt:i4>
      </vt:variant>
      <vt:variant>
        <vt:i4>0</vt:i4>
      </vt:variant>
      <vt:variant>
        <vt:i4>5</vt:i4>
      </vt:variant>
      <vt:variant>
        <vt:lpwstr/>
      </vt:variant>
      <vt:variant>
        <vt:lpwstr>_Toc115788017</vt:lpwstr>
      </vt:variant>
      <vt:variant>
        <vt:i4>1572924</vt:i4>
      </vt:variant>
      <vt:variant>
        <vt:i4>275</vt:i4>
      </vt:variant>
      <vt:variant>
        <vt:i4>0</vt:i4>
      </vt:variant>
      <vt:variant>
        <vt:i4>5</vt:i4>
      </vt:variant>
      <vt:variant>
        <vt:lpwstr/>
      </vt:variant>
      <vt:variant>
        <vt:lpwstr>_Toc115788016</vt:lpwstr>
      </vt:variant>
      <vt:variant>
        <vt:i4>1572924</vt:i4>
      </vt:variant>
      <vt:variant>
        <vt:i4>269</vt:i4>
      </vt:variant>
      <vt:variant>
        <vt:i4>0</vt:i4>
      </vt:variant>
      <vt:variant>
        <vt:i4>5</vt:i4>
      </vt:variant>
      <vt:variant>
        <vt:lpwstr/>
      </vt:variant>
      <vt:variant>
        <vt:lpwstr>_Toc115788015</vt:lpwstr>
      </vt:variant>
      <vt:variant>
        <vt:i4>1572924</vt:i4>
      </vt:variant>
      <vt:variant>
        <vt:i4>263</vt:i4>
      </vt:variant>
      <vt:variant>
        <vt:i4>0</vt:i4>
      </vt:variant>
      <vt:variant>
        <vt:i4>5</vt:i4>
      </vt:variant>
      <vt:variant>
        <vt:lpwstr/>
      </vt:variant>
      <vt:variant>
        <vt:lpwstr>_Toc115788014</vt:lpwstr>
      </vt:variant>
      <vt:variant>
        <vt:i4>1572924</vt:i4>
      </vt:variant>
      <vt:variant>
        <vt:i4>257</vt:i4>
      </vt:variant>
      <vt:variant>
        <vt:i4>0</vt:i4>
      </vt:variant>
      <vt:variant>
        <vt:i4>5</vt:i4>
      </vt:variant>
      <vt:variant>
        <vt:lpwstr/>
      </vt:variant>
      <vt:variant>
        <vt:lpwstr>_Toc115788013</vt:lpwstr>
      </vt:variant>
      <vt:variant>
        <vt:i4>1572924</vt:i4>
      </vt:variant>
      <vt:variant>
        <vt:i4>251</vt:i4>
      </vt:variant>
      <vt:variant>
        <vt:i4>0</vt:i4>
      </vt:variant>
      <vt:variant>
        <vt:i4>5</vt:i4>
      </vt:variant>
      <vt:variant>
        <vt:lpwstr/>
      </vt:variant>
      <vt:variant>
        <vt:lpwstr>_Toc115788012</vt:lpwstr>
      </vt:variant>
      <vt:variant>
        <vt:i4>1572924</vt:i4>
      </vt:variant>
      <vt:variant>
        <vt:i4>245</vt:i4>
      </vt:variant>
      <vt:variant>
        <vt:i4>0</vt:i4>
      </vt:variant>
      <vt:variant>
        <vt:i4>5</vt:i4>
      </vt:variant>
      <vt:variant>
        <vt:lpwstr/>
      </vt:variant>
      <vt:variant>
        <vt:lpwstr>_Toc115788011</vt:lpwstr>
      </vt:variant>
      <vt:variant>
        <vt:i4>1572924</vt:i4>
      </vt:variant>
      <vt:variant>
        <vt:i4>239</vt:i4>
      </vt:variant>
      <vt:variant>
        <vt:i4>0</vt:i4>
      </vt:variant>
      <vt:variant>
        <vt:i4>5</vt:i4>
      </vt:variant>
      <vt:variant>
        <vt:lpwstr/>
      </vt:variant>
      <vt:variant>
        <vt:lpwstr>_Toc115788010</vt:lpwstr>
      </vt:variant>
      <vt:variant>
        <vt:i4>1638460</vt:i4>
      </vt:variant>
      <vt:variant>
        <vt:i4>233</vt:i4>
      </vt:variant>
      <vt:variant>
        <vt:i4>0</vt:i4>
      </vt:variant>
      <vt:variant>
        <vt:i4>5</vt:i4>
      </vt:variant>
      <vt:variant>
        <vt:lpwstr/>
      </vt:variant>
      <vt:variant>
        <vt:lpwstr>_Toc115788009</vt:lpwstr>
      </vt:variant>
      <vt:variant>
        <vt:i4>1638460</vt:i4>
      </vt:variant>
      <vt:variant>
        <vt:i4>224</vt:i4>
      </vt:variant>
      <vt:variant>
        <vt:i4>0</vt:i4>
      </vt:variant>
      <vt:variant>
        <vt:i4>5</vt:i4>
      </vt:variant>
      <vt:variant>
        <vt:lpwstr/>
      </vt:variant>
      <vt:variant>
        <vt:lpwstr>_Toc115788008</vt:lpwstr>
      </vt:variant>
      <vt:variant>
        <vt:i4>1638460</vt:i4>
      </vt:variant>
      <vt:variant>
        <vt:i4>218</vt:i4>
      </vt:variant>
      <vt:variant>
        <vt:i4>0</vt:i4>
      </vt:variant>
      <vt:variant>
        <vt:i4>5</vt:i4>
      </vt:variant>
      <vt:variant>
        <vt:lpwstr/>
      </vt:variant>
      <vt:variant>
        <vt:lpwstr>_Toc115788007</vt:lpwstr>
      </vt:variant>
      <vt:variant>
        <vt:i4>1638460</vt:i4>
      </vt:variant>
      <vt:variant>
        <vt:i4>212</vt:i4>
      </vt:variant>
      <vt:variant>
        <vt:i4>0</vt:i4>
      </vt:variant>
      <vt:variant>
        <vt:i4>5</vt:i4>
      </vt:variant>
      <vt:variant>
        <vt:lpwstr/>
      </vt:variant>
      <vt:variant>
        <vt:lpwstr>_Toc115788006</vt:lpwstr>
      </vt:variant>
      <vt:variant>
        <vt:i4>1638460</vt:i4>
      </vt:variant>
      <vt:variant>
        <vt:i4>206</vt:i4>
      </vt:variant>
      <vt:variant>
        <vt:i4>0</vt:i4>
      </vt:variant>
      <vt:variant>
        <vt:i4>5</vt:i4>
      </vt:variant>
      <vt:variant>
        <vt:lpwstr/>
      </vt:variant>
      <vt:variant>
        <vt:lpwstr>_Toc115788003</vt:lpwstr>
      </vt:variant>
      <vt:variant>
        <vt:i4>1638460</vt:i4>
      </vt:variant>
      <vt:variant>
        <vt:i4>200</vt:i4>
      </vt:variant>
      <vt:variant>
        <vt:i4>0</vt:i4>
      </vt:variant>
      <vt:variant>
        <vt:i4>5</vt:i4>
      </vt:variant>
      <vt:variant>
        <vt:lpwstr/>
      </vt:variant>
      <vt:variant>
        <vt:lpwstr>_Toc115788002</vt:lpwstr>
      </vt:variant>
      <vt:variant>
        <vt:i4>1638460</vt:i4>
      </vt:variant>
      <vt:variant>
        <vt:i4>194</vt:i4>
      </vt:variant>
      <vt:variant>
        <vt:i4>0</vt:i4>
      </vt:variant>
      <vt:variant>
        <vt:i4>5</vt:i4>
      </vt:variant>
      <vt:variant>
        <vt:lpwstr/>
      </vt:variant>
      <vt:variant>
        <vt:lpwstr>_Toc115788001</vt:lpwstr>
      </vt:variant>
      <vt:variant>
        <vt:i4>1638460</vt:i4>
      </vt:variant>
      <vt:variant>
        <vt:i4>188</vt:i4>
      </vt:variant>
      <vt:variant>
        <vt:i4>0</vt:i4>
      </vt:variant>
      <vt:variant>
        <vt:i4>5</vt:i4>
      </vt:variant>
      <vt:variant>
        <vt:lpwstr/>
      </vt:variant>
      <vt:variant>
        <vt:lpwstr>_Toc115788000</vt:lpwstr>
      </vt:variant>
      <vt:variant>
        <vt:i4>2031669</vt:i4>
      </vt:variant>
      <vt:variant>
        <vt:i4>182</vt:i4>
      </vt:variant>
      <vt:variant>
        <vt:i4>0</vt:i4>
      </vt:variant>
      <vt:variant>
        <vt:i4>5</vt:i4>
      </vt:variant>
      <vt:variant>
        <vt:lpwstr/>
      </vt:variant>
      <vt:variant>
        <vt:lpwstr>_Toc115787999</vt:lpwstr>
      </vt:variant>
      <vt:variant>
        <vt:i4>2031669</vt:i4>
      </vt:variant>
      <vt:variant>
        <vt:i4>176</vt:i4>
      </vt:variant>
      <vt:variant>
        <vt:i4>0</vt:i4>
      </vt:variant>
      <vt:variant>
        <vt:i4>5</vt:i4>
      </vt:variant>
      <vt:variant>
        <vt:lpwstr/>
      </vt:variant>
      <vt:variant>
        <vt:lpwstr>_Toc115787998</vt:lpwstr>
      </vt:variant>
      <vt:variant>
        <vt:i4>2031669</vt:i4>
      </vt:variant>
      <vt:variant>
        <vt:i4>170</vt:i4>
      </vt:variant>
      <vt:variant>
        <vt:i4>0</vt:i4>
      </vt:variant>
      <vt:variant>
        <vt:i4>5</vt:i4>
      </vt:variant>
      <vt:variant>
        <vt:lpwstr/>
      </vt:variant>
      <vt:variant>
        <vt:lpwstr>_Toc115787997</vt:lpwstr>
      </vt:variant>
      <vt:variant>
        <vt:i4>2031669</vt:i4>
      </vt:variant>
      <vt:variant>
        <vt:i4>164</vt:i4>
      </vt:variant>
      <vt:variant>
        <vt:i4>0</vt:i4>
      </vt:variant>
      <vt:variant>
        <vt:i4>5</vt:i4>
      </vt:variant>
      <vt:variant>
        <vt:lpwstr/>
      </vt:variant>
      <vt:variant>
        <vt:lpwstr>_Toc115787996</vt:lpwstr>
      </vt:variant>
      <vt:variant>
        <vt:i4>1507381</vt:i4>
      </vt:variant>
      <vt:variant>
        <vt:i4>158</vt:i4>
      </vt:variant>
      <vt:variant>
        <vt:i4>0</vt:i4>
      </vt:variant>
      <vt:variant>
        <vt:i4>5</vt:i4>
      </vt:variant>
      <vt:variant>
        <vt:lpwstr/>
      </vt:variant>
      <vt:variant>
        <vt:lpwstr>_Toc115787916</vt:lpwstr>
      </vt:variant>
      <vt:variant>
        <vt:i4>1441845</vt:i4>
      </vt:variant>
      <vt:variant>
        <vt:i4>152</vt:i4>
      </vt:variant>
      <vt:variant>
        <vt:i4>0</vt:i4>
      </vt:variant>
      <vt:variant>
        <vt:i4>5</vt:i4>
      </vt:variant>
      <vt:variant>
        <vt:lpwstr/>
      </vt:variant>
      <vt:variant>
        <vt:lpwstr>_Toc115787907</vt:lpwstr>
      </vt:variant>
      <vt:variant>
        <vt:i4>1441845</vt:i4>
      </vt:variant>
      <vt:variant>
        <vt:i4>146</vt:i4>
      </vt:variant>
      <vt:variant>
        <vt:i4>0</vt:i4>
      </vt:variant>
      <vt:variant>
        <vt:i4>5</vt:i4>
      </vt:variant>
      <vt:variant>
        <vt:lpwstr/>
      </vt:variant>
      <vt:variant>
        <vt:lpwstr>_Toc115787906</vt:lpwstr>
      </vt:variant>
      <vt:variant>
        <vt:i4>1441845</vt:i4>
      </vt:variant>
      <vt:variant>
        <vt:i4>140</vt:i4>
      </vt:variant>
      <vt:variant>
        <vt:i4>0</vt:i4>
      </vt:variant>
      <vt:variant>
        <vt:i4>5</vt:i4>
      </vt:variant>
      <vt:variant>
        <vt:lpwstr/>
      </vt:variant>
      <vt:variant>
        <vt:lpwstr>_Toc115787905</vt:lpwstr>
      </vt:variant>
      <vt:variant>
        <vt:i4>1441845</vt:i4>
      </vt:variant>
      <vt:variant>
        <vt:i4>134</vt:i4>
      </vt:variant>
      <vt:variant>
        <vt:i4>0</vt:i4>
      </vt:variant>
      <vt:variant>
        <vt:i4>5</vt:i4>
      </vt:variant>
      <vt:variant>
        <vt:lpwstr/>
      </vt:variant>
      <vt:variant>
        <vt:lpwstr>_Toc115787901</vt:lpwstr>
      </vt:variant>
      <vt:variant>
        <vt:i4>1376308</vt:i4>
      </vt:variant>
      <vt:variant>
        <vt:i4>128</vt:i4>
      </vt:variant>
      <vt:variant>
        <vt:i4>0</vt:i4>
      </vt:variant>
      <vt:variant>
        <vt:i4>5</vt:i4>
      </vt:variant>
      <vt:variant>
        <vt:lpwstr/>
      </vt:variant>
      <vt:variant>
        <vt:lpwstr>_Toc115787839</vt:lpwstr>
      </vt:variant>
      <vt:variant>
        <vt:i4>1376308</vt:i4>
      </vt:variant>
      <vt:variant>
        <vt:i4>122</vt:i4>
      </vt:variant>
      <vt:variant>
        <vt:i4>0</vt:i4>
      </vt:variant>
      <vt:variant>
        <vt:i4>5</vt:i4>
      </vt:variant>
      <vt:variant>
        <vt:lpwstr/>
      </vt:variant>
      <vt:variant>
        <vt:lpwstr>_Toc115787837</vt:lpwstr>
      </vt:variant>
      <vt:variant>
        <vt:i4>1441844</vt:i4>
      </vt:variant>
      <vt:variant>
        <vt:i4>116</vt:i4>
      </vt:variant>
      <vt:variant>
        <vt:i4>0</vt:i4>
      </vt:variant>
      <vt:variant>
        <vt:i4>5</vt:i4>
      </vt:variant>
      <vt:variant>
        <vt:lpwstr/>
      </vt:variant>
      <vt:variant>
        <vt:lpwstr>_Toc115787801</vt:lpwstr>
      </vt:variant>
      <vt:variant>
        <vt:i4>1441844</vt:i4>
      </vt:variant>
      <vt:variant>
        <vt:i4>110</vt:i4>
      </vt:variant>
      <vt:variant>
        <vt:i4>0</vt:i4>
      </vt:variant>
      <vt:variant>
        <vt:i4>5</vt:i4>
      </vt:variant>
      <vt:variant>
        <vt:lpwstr/>
      </vt:variant>
      <vt:variant>
        <vt:lpwstr>_Toc115787800</vt:lpwstr>
      </vt:variant>
      <vt:variant>
        <vt:i4>2031675</vt:i4>
      </vt:variant>
      <vt:variant>
        <vt:i4>104</vt:i4>
      </vt:variant>
      <vt:variant>
        <vt:i4>0</vt:i4>
      </vt:variant>
      <vt:variant>
        <vt:i4>5</vt:i4>
      </vt:variant>
      <vt:variant>
        <vt:lpwstr/>
      </vt:variant>
      <vt:variant>
        <vt:lpwstr>_Toc115787799</vt:lpwstr>
      </vt:variant>
      <vt:variant>
        <vt:i4>2031675</vt:i4>
      </vt:variant>
      <vt:variant>
        <vt:i4>98</vt:i4>
      </vt:variant>
      <vt:variant>
        <vt:i4>0</vt:i4>
      </vt:variant>
      <vt:variant>
        <vt:i4>5</vt:i4>
      </vt:variant>
      <vt:variant>
        <vt:lpwstr/>
      </vt:variant>
      <vt:variant>
        <vt:lpwstr>_Toc115787798</vt:lpwstr>
      </vt:variant>
      <vt:variant>
        <vt:i4>2031675</vt:i4>
      </vt:variant>
      <vt:variant>
        <vt:i4>92</vt:i4>
      </vt:variant>
      <vt:variant>
        <vt:i4>0</vt:i4>
      </vt:variant>
      <vt:variant>
        <vt:i4>5</vt:i4>
      </vt:variant>
      <vt:variant>
        <vt:lpwstr/>
      </vt:variant>
      <vt:variant>
        <vt:lpwstr>_Toc115787797</vt:lpwstr>
      </vt:variant>
      <vt:variant>
        <vt:i4>2031675</vt:i4>
      </vt:variant>
      <vt:variant>
        <vt:i4>86</vt:i4>
      </vt:variant>
      <vt:variant>
        <vt:i4>0</vt:i4>
      </vt:variant>
      <vt:variant>
        <vt:i4>5</vt:i4>
      </vt:variant>
      <vt:variant>
        <vt:lpwstr/>
      </vt:variant>
      <vt:variant>
        <vt:lpwstr>_Toc115787796</vt:lpwstr>
      </vt:variant>
      <vt:variant>
        <vt:i4>2031675</vt:i4>
      </vt:variant>
      <vt:variant>
        <vt:i4>80</vt:i4>
      </vt:variant>
      <vt:variant>
        <vt:i4>0</vt:i4>
      </vt:variant>
      <vt:variant>
        <vt:i4>5</vt:i4>
      </vt:variant>
      <vt:variant>
        <vt:lpwstr/>
      </vt:variant>
      <vt:variant>
        <vt:lpwstr>_Toc115787795</vt:lpwstr>
      </vt:variant>
      <vt:variant>
        <vt:i4>2031675</vt:i4>
      </vt:variant>
      <vt:variant>
        <vt:i4>74</vt:i4>
      </vt:variant>
      <vt:variant>
        <vt:i4>0</vt:i4>
      </vt:variant>
      <vt:variant>
        <vt:i4>5</vt:i4>
      </vt:variant>
      <vt:variant>
        <vt:lpwstr/>
      </vt:variant>
      <vt:variant>
        <vt:lpwstr>_Toc115787794</vt:lpwstr>
      </vt:variant>
      <vt:variant>
        <vt:i4>1179707</vt:i4>
      </vt:variant>
      <vt:variant>
        <vt:i4>68</vt:i4>
      </vt:variant>
      <vt:variant>
        <vt:i4>0</vt:i4>
      </vt:variant>
      <vt:variant>
        <vt:i4>5</vt:i4>
      </vt:variant>
      <vt:variant>
        <vt:lpwstr/>
      </vt:variant>
      <vt:variant>
        <vt:lpwstr>_Toc115787742</vt:lpwstr>
      </vt:variant>
      <vt:variant>
        <vt:i4>1179707</vt:i4>
      </vt:variant>
      <vt:variant>
        <vt:i4>62</vt:i4>
      </vt:variant>
      <vt:variant>
        <vt:i4>0</vt:i4>
      </vt:variant>
      <vt:variant>
        <vt:i4>5</vt:i4>
      </vt:variant>
      <vt:variant>
        <vt:lpwstr/>
      </vt:variant>
      <vt:variant>
        <vt:lpwstr>_Toc115787741</vt:lpwstr>
      </vt:variant>
      <vt:variant>
        <vt:i4>1179707</vt:i4>
      </vt:variant>
      <vt:variant>
        <vt:i4>56</vt:i4>
      </vt:variant>
      <vt:variant>
        <vt:i4>0</vt:i4>
      </vt:variant>
      <vt:variant>
        <vt:i4>5</vt:i4>
      </vt:variant>
      <vt:variant>
        <vt:lpwstr/>
      </vt:variant>
      <vt:variant>
        <vt:lpwstr>_Toc115787740</vt:lpwstr>
      </vt:variant>
      <vt:variant>
        <vt:i4>1376315</vt:i4>
      </vt:variant>
      <vt:variant>
        <vt:i4>50</vt:i4>
      </vt:variant>
      <vt:variant>
        <vt:i4>0</vt:i4>
      </vt:variant>
      <vt:variant>
        <vt:i4>5</vt:i4>
      </vt:variant>
      <vt:variant>
        <vt:lpwstr/>
      </vt:variant>
      <vt:variant>
        <vt:lpwstr>_Toc115787739</vt:lpwstr>
      </vt:variant>
      <vt:variant>
        <vt:i4>1376315</vt:i4>
      </vt:variant>
      <vt:variant>
        <vt:i4>44</vt:i4>
      </vt:variant>
      <vt:variant>
        <vt:i4>0</vt:i4>
      </vt:variant>
      <vt:variant>
        <vt:i4>5</vt:i4>
      </vt:variant>
      <vt:variant>
        <vt:lpwstr/>
      </vt:variant>
      <vt:variant>
        <vt:lpwstr>_Toc115787738</vt:lpwstr>
      </vt:variant>
      <vt:variant>
        <vt:i4>1376313</vt:i4>
      </vt:variant>
      <vt:variant>
        <vt:i4>38</vt:i4>
      </vt:variant>
      <vt:variant>
        <vt:i4>0</vt:i4>
      </vt:variant>
      <vt:variant>
        <vt:i4>5</vt:i4>
      </vt:variant>
      <vt:variant>
        <vt:lpwstr/>
      </vt:variant>
      <vt:variant>
        <vt:lpwstr>_Toc115787533</vt:lpwstr>
      </vt:variant>
      <vt:variant>
        <vt:i4>1310776</vt:i4>
      </vt:variant>
      <vt:variant>
        <vt:i4>32</vt:i4>
      </vt:variant>
      <vt:variant>
        <vt:i4>0</vt:i4>
      </vt:variant>
      <vt:variant>
        <vt:i4>5</vt:i4>
      </vt:variant>
      <vt:variant>
        <vt:lpwstr/>
      </vt:variant>
      <vt:variant>
        <vt:lpwstr>_Toc115787427</vt:lpwstr>
      </vt:variant>
      <vt:variant>
        <vt:i4>1310776</vt:i4>
      </vt:variant>
      <vt:variant>
        <vt:i4>26</vt:i4>
      </vt:variant>
      <vt:variant>
        <vt:i4>0</vt:i4>
      </vt:variant>
      <vt:variant>
        <vt:i4>5</vt:i4>
      </vt:variant>
      <vt:variant>
        <vt:lpwstr/>
      </vt:variant>
      <vt:variant>
        <vt:lpwstr>_Toc115787426</vt:lpwstr>
      </vt:variant>
      <vt:variant>
        <vt:i4>1310776</vt:i4>
      </vt:variant>
      <vt:variant>
        <vt:i4>20</vt:i4>
      </vt:variant>
      <vt:variant>
        <vt:i4>0</vt:i4>
      </vt:variant>
      <vt:variant>
        <vt:i4>5</vt:i4>
      </vt:variant>
      <vt:variant>
        <vt:lpwstr/>
      </vt:variant>
      <vt:variant>
        <vt:lpwstr>_Toc115787425</vt:lpwstr>
      </vt:variant>
      <vt:variant>
        <vt:i4>1310776</vt:i4>
      </vt:variant>
      <vt:variant>
        <vt:i4>14</vt:i4>
      </vt:variant>
      <vt:variant>
        <vt:i4>0</vt:i4>
      </vt:variant>
      <vt:variant>
        <vt:i4>5</vt:i4>
      </vt:variant>
      <vt:variant>
        <vt:lpwstr/>
      </vt:variant>
      <vt:variant>
        <vt:lpwstr>_Toc115787424</vt:lpwstr>
      </vt:variant>
      <vt:variant>
        <vt:i4>1310776</vt:i4>
      </vt:variant>
      <vt:variant>
        <vt:i4>8</vt:i4>
      </vt:variant>
      <vt:variant>
        <vt:i4>0</vt:i4>
      </vt:variant>
      <vt:variant>
        <vt:i4>5</vt:i4>
      </vt:variant>
      <vt:variant>
        <vt:lpwstr/>
      </vt:variant>
      <vt:variant>
        <vt:lpwstr>_Toc115787423</vt:lpwstr>
      </vt:variant>
      <vt:variant>
        <vt:i4>1310776</vt:i4>
      </vt:variant>
      <vt:variant>
        <vt:i4>2</vt:i4>
      </vt:variant>
      <vt:variant>
        <vt:i4>0</vt:i4>
      </vt:variant>
      <vt:variant>
        <vt:i4>5</vt:i4>
      </vt:variant>
      <vt:variant>
        <vt:lpwstr/>
      </vt:variant>
      <vt:variant>
        <vt:lpwstr>_Toc115787421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Topenčíková Marcela Ing.</dc:creator>
  <cp:keywords/>
  <dc:description/>
  <cp:lastModifiedBy>Vrkoslav Marcel Ing.</cp:lastModifiedBy>
  <cp:revision>29</cp:revision>
  <cp:lastPrinted>2023-10-16T15:42:00Z</cp:lastPrinted>
  <dcterms:created xsi:type="dcterms:W3CDTF">2024-10-16T07:42:00Z</dcterms:created>
  <dcterms:modified xsi:type="dcterms:W3CDTF">2024-10-16T12:24:00Z</dcterms:modified>
</cp:coreProperties>
</file>