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7"/>
        <w:gridCol w:w="1495"/>
      </w:tblGrid>
      <w:tr w:rsidR="00012BA8" w:rsidRPr="00012BA8" w:rsidTr="00012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BA8" w:rsidRPr="00012BA8" w:rsidRDefault="00012BA8" w:rsidP="0001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2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BMW Specifications for exhaust test 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12BA8" w:rsidRPr="00012BA8" w:rsidRDefault="00012BA8" w:rsidP="0001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427355" cy="427355"/>
                  <wp:effectExtent l="0" t="0" r="0" b="0"/>
                  <wp:docPr id="3" name="Obrázek 3" descr="https://asapdealer.bmwgroup.com/ausoll/graphics/bmw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sapdealer.bmwgroup.com/ausoll/graphics/bmw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BA8" w:rsidRPr="00012BA8" w:rsidTr="00012BA8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75"/>
              <w:gridCol w:w="3717"/>
            </w:tblGrid>
            <w:tr w:rsidR="00012BA8" w:rsidRPr="00012B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2BA8" w:rsidRPr="00012BA8" w:rsidRDefault="00012BA8" w:rsidP="00012BA8">
                  <w:pPr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012BA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Data record: 120 (ECE)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2BA8" w:rsidRPr="00012BA8" w:rsidRDefault="00012BA8" w:rsidP="00012BA8">
                  <w:pPr>
                    <w:spacing w:after="0" w:line="240" w:lineRule="auto"/>
                    <w:jc w:val="right"/>
                    <w:outlineLvl w:val="2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012BA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Date of issue: 11/2017</w:t>
                  </w:r>
                </w:p>
              </w:tc>
            </w:tr>
          </w:tbl>
          <w:p w:rsidR="00012BA8" w:rsidRPr="00012BA8" w:rsidRDefault="00012BA8" w:rsidP="0001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2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pict>
                <v:rect id="_x0000_i1026" style="width:0;height:1.5pt" o:hralign="center" o:hrstd="t" o:hr="t" fillcolor="#a0a0a0" stroked="f"/>
              </w:pict>
            </w:r>
          </w:p>
        </w:tc>
        <w:tc>
          <w:tcPr>
            <w:tcW w:w="0" w:type="auto"/>
            <w:vMerge/>
            <w:vAlign w:val="center"/>
            <w:hideMark/>
          </w:tcPr>
          <w:p w:rsidR="00012BA8" w:rsidRPr="00012BA8" w:rsidRDefault="00012BA8" w:rsidP="0001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012BA8" w:rsidRPr="00012BA8" w:rsidRDefault="00012BA8" w:rsidP="00012BA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012BA8" w:rsidRPr="00012BA8" w:rsidTr="00012BA8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012BA8" w:rsidRPr="00012BA8" w:rsidRDefault="00012BA8" w:rsidP="00012BA8">
            <w:pPr>
              <w:spacing w:before="100" w:beforeAutospacing="1" w:after="15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12BA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1. Vehicle data </w:t>
            </w:r>
          </w:p>
        </w:tc>
      </w:tr>
      <w:tr w:rsidR="00012BA8" w:rsidRPr="00012BA8" w:rsidTr="00012BA8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12BA8" w:rsidRPr="00012BA8">
              <w:trPr>
                <w:tblCellSpacing w:w="15" w:type="dxa"/>
              </w:trPr>
              <w:tc>
                <w:tcPr>
                  <w:tcW w:w="2500" w:type="pct"/>
                  <w:hideMark/>
                </w:tcPr>
                <w:tbl>
                  <w:tblPr>
                    <w:tblW w:w="0" w:type="auto"/>
                    <w:tblCellSpacing w:w="3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26"/>
                    <w:gridCol w:w="1879"/>
                  </w:tblGrid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jc w:val="right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E series: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I01 </w:t>
                        </w:r>
                      </w:p>
                    </w:tc>
                  </w:tr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jc w:val="right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Model: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i3 94 (+REX) </w:t>
                        </w:r>
                      </w:p>
                    </w:tc>
                  </w:tr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jc w:val="right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Vehicle version: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saloon </w:t>
                        </w:r>
                      </w:p>
                    </w:tc>
                  </w:tr>
                  <w:tr w:rsidR="00012BA8" w:rsidRPr="00012BA8">
                    <w:trPr>
                      <w:trHeight w:val="150"/>
                      <w:tblCellSpacing w:w="3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jc w:val="right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Engine model: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IB1P25B </w:t>
                        </w:r>
                      </w:p>
                    </w:tc>
                  </w:tr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jc w:val="right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Registration number: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IB1 </w:t>
                        </w:r>
                      </w:p>
                    </w:tc>
                  </w:tr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jc w:val="right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Displacement: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647 cc </w:t>
                        </w:r>
                      </w:p>
                    </w:tc>
                  </w:tr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jc w:val="right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Engine power: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55 kW / 4300 rpm </w:t>
                        </w:r>
                      </w:p>
                    </w:tc>
                  </w:tr>
                  <w:tr w:rsidR="00012BA8" w:rsidRPr="00012BA8">
                    <w:trPr>
                      <w:trHeight w:val="150"/>
                      <w:tblCellSpacing w:w="3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jc w:val="right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EC homologation number: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e1*2007/46*1213*-- </w:t>
                        </w:r>
                      </w:p>
                    </w:tc>
                  </w:tr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jc w:val="right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EU emission approval number: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EG 715/2007*2015/45ZA </w:t>
                        </w:r>
                      </w:p>
                    </w:tc>
                  </w:tr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jc w:val="right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Europ. exhaust emission stage and code: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Euro 6 W </w:t>
                        </w:r>
                      </w:p>
                    </w:tc>
                  </w:tr>
                  <w:tr w:rsidR="00012BA8" w:rsidRPr="00012BA8">
                    <w:trPr>
                      <w:trHeight w:val="150"/>
                      <w:tblCellSpacing w:w="3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jc w:val="right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Special technical features: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Range Extender </w:t>
                        </w:r>
                      </w:p>
                    </w:tc>
                  </w:tr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jc w:val="right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Status: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03/2016 </w:t>
                        </w:r>
                      </w:p>
                    </w:tc>
                  </w:tr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jc w:val="right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manufacturer's key number: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0005 </w:t>
                        </w:r>
                      </w:p>
                    </w:tc>
                  </w:tr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jc w:val="right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BMW type code number: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1Z81 </w:t>
                        </w:r>
                      </w:p>
                    </w:tc>
                  </w:tr>
                </w:tbl>
                <w:p w:rsidR="00012BA8" w:rsidRPr="00012BA8" w:rsidRDefault="00012BA8" w:rsidP="00012B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12BA8" w:rsidRPr="00012BA8" w:rsidRDefault="00012BA8" w:rsidP="0001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012BA8" w:rsidRPr="00012BA8" w:rsidRDefault="00012BA8" w:rsidP="00012BA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012BA8" w:rsidRPr="00012BA8" w:rsidTr="00012BA8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012BA8" w:rsidRPr="00012BA8" w:rsidRDefault="00012BA8" w:rsidP="00012BA8">
            <w:pPr>
              <w:spacing w:before="100" w:beforeAutospacing="1" w:after="15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12BA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2a. OBD method </w:t>
            </w:r>
          </w:p>
        </w:tc>
      </w:tr>
      <w:tr w:rsidR="00012BA8" w:rsidRPr="00012BA8" w:rsidTr="00012BA8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12BA8" w:rsidRPr="00012BA8">
              <w:trPr>
                <w:tblCellSpacing w:w="15" w:type="dxa"/>
              </w:trPr>
              <w:tc>
                <w:tcPr>
                  <w:tcW w:w="2500" w:type="pct"/>
                  <w:hideMark/>
                </w:tcPr>
                <w:tbl>
                  <w:tblPr>
                    <w:tblW w:w="0" w:type="auto"/>
                    <w:tblCellSpacing w:w="3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"/>
                    <w:gridCol w:w="8160"/>
                  </w:tblGrid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jc w:val="right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OBD method: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OBD signal readout: MIL status + readiness codes + P-codes </w:t>
                        </w:r>
                      </w:p>
                    </w:tc>
                  </w:tr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jc w:val="right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Note: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Petrol engines from exhaust emission stage EURO 6 Code W: At least 5 readiness codes must be set (value=0)' Readiness codes KATALYSATOR (CATALYSATOR) and SEKUNDÄRLUFTSYSTEM (SECONDARY AIR SYSTEM) may have value '1',</w:t>
                        </w: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br/>
                          <w:t xml:space="preserve">i.e., not checked yet, as these require 'long time needed' test procedures. </w:t>
                        </w:r>
                      </w:p>
                    </w:tc>
                  </w:tr>
                </w:tbl>
                <w:p w:rsidR="00012BA8" w:rsidRPr="00012BA8" w:rsidRDefault="00012BA8" w:rsidP="00012B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12BA8" w:rsidRPr="00012BA8" w:rsidRDefault="00012BA8" w:rsidP="0001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012BA8" w:rsidRPr="00012BA8" w:rsidRDefault="00012BA8" w:rsidP="00012BA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012BA8" w:rsidRPr="00012BA8" w:rsidTr="00012BA8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012BA8" w:rsidRPr="00012BA8" w:rsidRDefault="00012BA8" w:rsidP="00012BA8">
            <w:pPr>
              <w:spacing w:before="100" w:beforeAutospacing="1" w:after="15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12BA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2b. Nominal values (SI engine w. cat. converter) </w:t>
            </w:r>
          </w:p>
        </w:tc>
      </w:tr>
      <w:tr w:rsidR="00012BA8" w:rsidRPr="00012BA8" w:rsidTr="00012BA8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12BA8" w:rsidRPr="00012BA8">
              <w:trPr>
                <w:tblCellSpacing w:w="15" w:type="dxa"/>
              </w:trPr>
              <w:tc>
                <w:tcPr>
                  <w:tcW w:w="2500" w:type="pct"/>
                  <w:hideMark/>
                </w:tcPr>
                <w:tbl>
                  <w:tblPr>
                    <w:tblW w:w="0" w:type="auto"/>
                    <w:tblCellSpacing w:w="3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22"/>
                    <w:gridCol w:w="7260"/>
                  </w:tblGrid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jc w:val="right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Shifting: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Automatic gearshift </w:t>
                        </w:r>
                      </w:p>
                    </w:tc>
                  </w:tr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jc w:val="right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Catalytic converter conditioning: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jc w:val="right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Engine temperature: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70 °C / alternatively: oil temperature 60 °C </w:t>
                        </w:r>
                      </w:p>
                    </w:tc>
                  </w:tr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jc w:val="right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Idle speed: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2000 rpm - 2500 rpm </w:t>
                        </w:r>
                      </w:p>
                    </w:tc>
                  </w:tr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jc w:val="right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Part-load engine speed: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2600 rpm - 3000 rpm </w:t>
                        </w:r>
                      </w:p>
                    </w:tc>
                  </w:tr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jc w:val="right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CO content, idle speed: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0.3 % v/v </w:t>
                        </w:r>
                      </w:p>
                    </w:tc>
                  </w:tr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jc w:val="right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CO content, part load: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0.2 % v/v </w:t>
                        </w:r>
                      </w:p>
                    </w:tc>
                  </w:tr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jc w:val="right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Lambda value: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0.97-1.03 </w:t>
                        </w:r>
                      </w:p>
                    </w:tc>
                  </w:tr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jc w:val="right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Probe type: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Broad-band probe </w:t>
                        </w:r>
                      </w:p>
                    </w:tc>
                  </w:tr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jc w:val="right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Current min.: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-0.115 mA </w:t>
                        </w:r>
                      </w:p>
                    </w:tc>
                  </w:tr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jc w:val="right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Current max.: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+0.077 mA </w:t>
                        </w:r>
                      </w:p>
                    </w:tc>
                  </w:tr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jc w:val="right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Voltage increase min.: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jc w:val="right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Voltage min.: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jc w:val="right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Voltage max.: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jc w:val="right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Exhaust extraction point: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Measurement at tailpipe </w:t>
                        </w:r>
                      </w:p>
                    </w:tc>
                  </w:tr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jc w:val="right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Number of exhaust systems: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1 </w:t>
                        </w:r>
                      </w:p>
                    </w:tc>
                  </w:tr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jc w:val="right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HC content, idle speed*: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200 ppm </w:t>
                        </w:r>
                      </w:p>
                    </w:tc>
                  </w:tr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jc w:val="right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HC content, part load*: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100 ppm </w:t>
                        </w:r>
                      </w:p>
                    </w:tc>
                  </w:tr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jc w:val="right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Note: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HC values do not apply to exhaust inspections in Germany and in countries of the European </w:t>
                        </w: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lastRenderedPageBreak/>
                          <w:t xml:space="preserve">Community </w:t>
                        </w:r>
                      </w:p>
                    </w:tc>
                  </w:tr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More detailed information can be found in the BMW Service Information Testing instruction for exhaust-gas test on BMW vehicles with alternative drives.</w:t>
                        </w: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br/>
                        </w: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br/>
                          <w:t>Exhaust-gas test mode for forced running of the combustion engine:</w:t>
                        </w: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br/>
                          <w:t>- Raise bonnet.</w:t>
                        </w: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br/>
                          <w:t xml:space="preserve">- Establish operating readiness by pressing the brake pedal and operating the start/stop button at the same time. - The display of the instrument cluster (KOMBI) is set to "Ready". </w:t>
                        </w: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br/>
                          <w:t>- Move selector lever to "P" position.</w:t>
                        </w: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br/>
                          <w:t>- Operate accelerator pedal: Combustion engine starts and can be kept idle or in increased idle position depending on the accelerator pedal position.</w:t>
                        </w: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br/>
                          <w:t>- End: Press the start/stop button.</w:t>
                        </w:r>
                      </w:p>
                    </w:tc>
                  </w:tr>
                </w:tbl>
                <w:p w:rsidR="00012BA8" w:rsidRPr="00012BA8" w:rsidRDefault="00012BA8" w:rsidP="00012B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12BA8" w:rsidRPr="00012BA8" w:rsidRDefault="00012BA8" w:rsidP="0001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012BA8" w:rsidRPr="00012BA8" w:rsidRDefault="00012BA8" w:rsidP="00012BA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012BA8" w:rsidRPr="00012BA8" w:rsidTr="00012BA8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012BA8" w:rsidRPr="00012BA8" w:rsidRDefault="00012BA8" w:rsidP="00012BA8">
            <w:pPr>
              <w:spacing w:before="100" w:beforeAutospacing="1" w:after="15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12BA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3. Engine-speed pickoff </w:t>
            </w:r>
          </w:p>
        </w:tc>
      </w:tr>
      <w:tr w:rsidR="00012BA8" w:rsidRPr="00012BA8" w:rsidTr="00012BA8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12BA8" w:rsidRPr="00012BA8">
              <w:trPr>
                <w:tblCellSpacing w:w="15" w:type="dxa"/>
              </w:trPr>
              <w:tc>
                <w:tcPr>
                  <w:tcW w:w="2500" w:type="pct"/>
                  <w:hideMark/>
                </w:tcPr>
                <w:tbl>
                  <w:tblPr>
                    <w:tblW w:w="0" w:type="auto"/>
                    <w:tblCellSpacing w:w="3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29"/>
                    <w:gridCol w:w="2020"/>
                  </w:tblGrid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jc w:val="right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Engine-speed pickoff: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16-pin OBD socket </w:t>
                        </w:r>
                      </w:p>
                    </w:tc>
                  </w:tr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jc w:val="right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Installation location: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At the bottom of left A-pillar </w:t>
                        </w:r>
                      </w:p>
                    </w:tc>
                  </w:tr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jc w:val="right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Type of OBD: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EOBD </w:t>
                        </w:r>
                      </w:p>
                    </w:tc>
                  </w:tr>
                </w:tbl>
                <w:p w:rsidR="00012BA8" w:rsidRPr="00012BA8" w:rsidRDefault="00012BA8" w:rsidP="00012B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12BA8" w:rsidRPr="00012BA8" w:rsidRDefault="00012BA8" w:rsidP="0001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012BA8" w:rsidRPr="00012BA8" w:rsidRDefault="00012BA8" w:rsidP="00012BA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012BA8" w:rsidRPr="00012BA8" w:rsidTr="00012BA8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012BA8" w:rsidRPr="00012BA8" w:rsidRDefault="00012BA8" w:rsidP="00012BA8">
            <w:pPr>
              <w:spacing w:before="100" w:beforeAutospacing="1" w:after="15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12BA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4. Visual inspections </w:t>
            </w:r>
          </w:p>
        </w:tc>
      </w:tr>
      <w:tr w:rsidR="00012BA8" w:rsidRPr="00012BA8" w:rsidTr="00012BA8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12BA8" w:rsidRPr="00012BA8">
              <w:trPr>
                <w:tblCellSpacing w:w="15" w:type="dxa"/>
              </w:trPr>
              <w:tc>
                <w:tcPr>
                  <w:tcW w:w="2500" w:type="pct"/>
                  <w:hideMark/>
                </w:tcPr>
                <w:tbl>
                  <w:tblPr>
                    <w:tblW w:w="0" w:type="auto"/>
                    <w:tblCellSpacing w:w="3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  <w:gridCol w:w="8886"/>
                  </w:tblGrid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012BA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Exhaust gas-relevant components (catalytic converters / particulate filter / SCR system / oxygen / NOx / particle sensors) are checked within the scope of the PTI. </w:t>
                        </w:r>
                      </w:p>
                    </w:tc>
                  </w:tr>
                </w:tbl>
                <w:p w:rsidR="00012BA8" w:rsidRPr="00012BA8" w:rsidRDefault="00012BA8" w:rsidP="00012B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12BA8" w:rsidRPr="00012BA8" w:rsidRDefault="00012BA8" w:rsidP="0001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012BA8" w:rsidRPr="00012BA8" w:rsidRDefault="00012BA8" w:rsidP="00012BA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012BA8" w:rsidRPr="00012BA8" w:rsidTr="00012BA8">
        <w:trPr>
          <w:tblCellSpacing w:w="15" w:type="dxa"/>
        </w:trPr>
        <w:tc>
          <w:tcPr>
            <w:tcW w:w="5000" w:type="pct"/>
            <w:vAlign w:val="center"/>
          </w:tcPr>
          <w:p w:rsidR="00012BA8" w:rsidRPr="00012BA8" w:rsidRDefault="00012BA8" w:rsidP="00012BA8">
            <w:pPr>
              <w:spacing w:before="100" w:beforeAutospacing="1" w:after="15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</w:tr>
      <w:tr w:rsidR="00012BA8" w:rsidRPr="00012BA8" w:rsidTr="00012BA8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12BA8" w:rsidRPr="00012BA8">
              <w:trPr>
                <w:tblCellSpacing w:w="15" w:type="dxa"/>
              </w:trPr>
              <w:tc>
                <w:tcPr>
                  <w:tcW w:w="2500" w:type="pct"/>
                  <w:hideMark/>
                </w:tcPr>
                <w:tbl>
                  <w:tblPr>
                    <w:tblW w:w="0" w:type="auto"/>
                    <w:tblCellSpacing w:w="3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  <w:gridCol w:w="96"/>
                  </w:tblGrid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012BA8" w:rsidRPr="00012BA8">
                    <w:trPr>
                      <w:tblCellSpacing w:w="30" w:type="dxa"/>
                    </w:trPr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2BA8" w:rsidRPr="00012BA8" w:rsidRDefault="00012BA8" w:rsidP="00012B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12BA8" w:rsidRPr="00012BA8" w:rsidRDefault="00012BA8" w:rsidP="00012B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12BA8" w:rsidRPr="00012BA8" w:rsidRDefault="00012BA8" w:rsidP="0001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AA2D2A" w:rsidRDefault="00AA2D2A"/>
    <w:sectPr w:rsidR="00AA2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BA8"/>
    <w:rsid w:val="00012BA8"/>
    <w:rsid w:val="00AA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12BA8"/>
    <w:pPr>
      <w:spacing w:before="100" w:beforeAutospacing="1" w:after="150" w:line="240" w:lineRule="auto"/>
      <w:outlineLvl w:val="1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12BA8"/>
    <w:pPr>
      <w:spacing w:after="0" w:line="240" w:lineRule="auto"/>
      <w:outlineLvl w:val="2"/>
    </w:pPr>
    <w:rPr>
      <w:rFonts w:ascii="Arial" w:eastAsia="Times New Roman" w:hAnsi="Arial" w:cs="Arial"/>
      <w:color w:val="000000"/>
      <w:sz w:val="16"/>
      <w:szCs w:val="1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12BA8"/>
    <w:rPr>
      <w:rFonts w:ascii="Arial" w:eastAsia="Times New Roman" w:hAnsi="Arial" w:cs="Arial"/>
      <w:color w:val="000000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12BA8"/>
    <w:rPr>
      <w:rFonts w:ascii="Arial" w:eastAsia="Times New Roman" w:hAnsi="Arial" w:cs="Arial"/>
      <w:color w:val="000000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2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2B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12BA8"/>
    <w:pPr>
      <w:spacing w:before="100" w:beforeAutospacing="1" w:after="150" w:line="240" w:lineRule="auto"/>
      <w:outlineLvl w:val="1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12BA8"/>
    <w:pPr>
      <w:spacing w:after="0" w:line="240" w:lineRule="auto"/>
      <w:outlineLvl w:val="2"/>
    </w:pPr>
    <w:rPr>
      <w:rFonts w:ascii="Arial" w:eastAsia="Times New Roman" w:hAnsi="Arial" w:cs="Arial"/>
      <w:color w:val="000000"/>
      <w:sz w:val="16"/>
      <w:szCs w:val="1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12BA8"/>
    <w:rPr>
      <w:rFonts w:ascii="Arial" w:eastAsia="Times New Roman" w:hAnsi="Arial" w:cs="Arial"/>
      <w:color w:val="000000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12BA8"/>
    <w:rPr>
      <w:rFonts w:ascii="Arial" w:eastAsia="Times New Roman" w:hAnsi="Arial" w:cs="Arial"/>
      <w:color w:val="000000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2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2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1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Brezinský Vladislav</dc:creator>
  <cp:lastModifiedBy>Brezinský Vladislav</cp:lastModifiedBy>
  <cp:revision>1</cp:revision>
  <dcterms:created xsi:type="dcterms:W3CDTF">2018-03-12T15:50:00Z</dcterms:created>
  <dcterms:modified xsi:type="dcterms:W3CDTF">2018-03-12T15:51:00Z</dcterms:modified>
</cp:coreProperties>
</file>