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CC4A0" w14:textId="77777777" w:rsidR="004C67AA" w:rsidRPr="005605E0" w:rsidRDefault="00C11995" w:rsidP="005605E0">
      <w:pPr>
        <w:jc w:val="center"/>
        <w:rPr>
          <w:b/>
          <w:sz w:val="28"/>
        </w:rPr>
      </w:pPr>
      <w:r>
        <w:rPr>
          <w:b/>
          <w:sz w:val="28"/>
        </w:rPr>
        <w:t>Program</w:t>
      </w:r>
      <w:r w:rsidR="0078588E" w:rsidRPr="005605E0">
        <w:rPr>
          <w:b/>
          <w:sz w:val="28"/>
        </w:rPr>
        <w:t xml:space="preserve"> rozvoje rychlých železničních spojení v ČR</w:t>
      </w:r>
    </w:p>
    <w:p w14:paraId="5C23FF09" w14:textId="77777777" w:rsidR="0078588E" w:rsidRPr="005605E0" w:rsidRDefault="0078588E" w:rsidP="005605E0">
      <w:pPr>
        <w:jc w:val="center"/>
        <w:rPr>
          <w:b/>
          <w:sz w:val="28"/>
        </w:rPr>
      </w:pPr>
      <w:r w:rsidRPr="005605E0">
        <w:rPr>
          <w:b/>
          <w:sz w:val="28"/>
        </w:rPr>
        <w:t>Manažerské shrnutí</w:t>
      </w:r>
    </w:p>
    <w:p w14:paraId="7AEA677C" w14:textId="118FA605" w:rsidR="00B727FD" w:rsidRDefault="00B727FD" w:rsidP="00B727FD">
      <w:pPr>
        <w:jc w:val="both"/>
      </w:pPr>
      <w:r>
        <w:t>Ministerstvem dopravy byl vytvořen materiál „Program rozvoje Rychlých železničních spojení v ČR“. Důvodem vytvoření tohoto materiálu byla potřeba jednoznačně na vládní úrovni rozhodnout o stanovení základních koncepčních předpokladů pro budoucí možný rozvoj železniční dopravní infrastruktury, včetně zajištění potřebných řešení novostaveb vysokorychlostních tratí.</w:t>
      </w:r>
      <w:r w:rsidRPr="00B727FD">
        <w:t xml:space="preserve"> </w:t>
      </w:r>
      <w:r>
        <w:t>Bez takového rozhodnutí není zahájení dalších procesů nezbytných k realizaci záměru smysluplné</w:t>
      </w:r>
      <w:r w:rsidR="007274C2">
        <w:t xml:space="preserve"> a finančně obhajitelné</w:t>
      </w:r>
      <w:r>
        <w:t>.</w:t>
      </w:r>
    </w:p>
    <w:p w14:paraId="6EF84078" w14:textId="4ABCC2C4" w:rsidR="009D2DD4" w:rsidRPr="009D2DD4" w:rsidRDefault="009D2DD4" w:rsidP="009D2DD4">
      <w:pPr>
        <w:autoSpaceDE w:val="0"/>
        <w:autoSpaceDN w:val="0"/>
        <w:adjustRightInd w:val="0"/>
        <w:spacing w:after="0" w:line="240" w:lineRule="auto"/>
        <w:jc w:val="both"/>
      </w:pPr>
      <w:r w:rsidRPr="009D2DD4">
        <w:t>Materiál usiluje o řešení nezdravého vývoje v oblasti sociální geografie, spočívajícího ve</w:t>
      </w:r>
      <w:r>
        <w:t xml:space="preserve"> vysídlování </w:t>
      </w:r>
      <w:r w:rsidRPr="009D2DD4">
        <w:t>odlehlých regionů cestou vytvoření polycentrické s</w:t>
      </w:r>
      <w:r>
        <w:t xml:space="preserve">truktury s efekty po celé ploše </w:t>
      </w:r>
      <w:r w:rsidRPr="009D2DD4">
        <w:t>území státu. Tato potenciální další centra v ČR (krajská města) je třeba propojit s centrem, dále</w:t>
      </w:r>
      <w:r>
        <w:t xml:space="preserve"> </w:t>
      </w:r>
      <w:r w:rsidRPr="009D2DD4">
        <w:t>navzájem a se zahraničím výkonnou, rychlou a pohodlnou dopravou.</w:t>
      </w:r>
    </w:p>
    <w:p w14:paraId="2BEBE8E4" w14:textId="77777777" w:rsidR="009D2DD4" w:rsidRDefault="009D2DD4" w:rsidP="009D2DD4">
      <w:pPr>
        <w:autoSpaceDE w:val="0"/>
        <w:autoSpaceDN w:val="0"/>
        <w:adjustRightInd w:val="0"/>
        <w:spacing w:after="0" w:line="240" w:lineRule="auto"/>
        <w:jc w:val="both"/>
      </w:pPr>
    </w:p>
    <w:p w14:paraId="171E91BD" w14:textId="74459181" w:rsidR="009D2DD4" w:rsidRPr="009D2DD4" w:rsidRDefault="009D2DD4" w:rsidP="009D2DD4">
      <w:pPr>
        <w:autoSpaceDE w:val="0"/>
        <w:autoSpaceDN w:val="0"/>
        <w:adjustRightInd w:val="0"/>
        <w:spacing w:after="0" w:line="240" w:lineRule="auto"/>
        <w:jc w:val="both"/>
      </w:pPr>
      <w:r w:rsidRPr="009D2DD4">
        <w:t>Musí jít o veřejnou hromadnou dopravu a to v udržitelné fo</w:t>
      </w:r>
      <w:r>
        <w:t xml:space="preserve">rmě bez závislosti na fosilních </w:t>
      </w:r>
      <w:r w:rsidRPr="009D2DD4">
        <w:t>palivech. Takovým dopravním systémem je vysokorychlostní že</w:t>
      </w:r>
      <w:r>
        <w:t xml:space="preserve">leznice jakožto jeden z vrcholů </w:t>
      </w:r>
      <w:r w:rsidRPr="009D2DD4">
        <w:t>multimodální mobility v osobní dopravě (letecká doprava - vysokor</w:t>
      </w:r>
      <w:r>
        <w:t xml:space="preserve">ychlostní železnice – konvenční </w:t>
      </w:r>
      <w:r w:rsidRPr="009D2DD4">
        <w:t>železnice – autobus – automobil – jízdní kolo – pěší chůze). Pro vy</w:t>
      </w:r>
      <w:r>
        <w:t xml:space="preserve">sokorychlostní železnici hovoří </w:t>
      </w:r>
      <w:r w:rsidRPr="009D2DD4">
        <w:t xml:space="preserve">krátké přepravní časy plynoucí z vysoké cestovní rychlosti (nad </w:t>
      </w:r>
      <w:r>
        <w:t xml:space="preserve">200 km/h), možnost využití času </w:t>
      </w:r>
      <w:r w:rsidRPr="009D2DD4">
        <w:t>stráveného cestováním, nízká energetická náročnost, nezávislost na fosilních palivech a síťovos</w:t>
      </w:r>
      <w:r>
        <w:t xml:space="preserve">t, </w:t>
      </w:r>
      <w:r w:rsidRPr="009D2DD4">
        <w:t>daná přechodností vysokorychlostních vlaků i na konvenční tratě.</w:t>
      </w:r>
    </w:p>
    <w:p w14:paraId="5893A08D" w14:textId="77777777" w:rsidR="009D2DD4" w:rsidRDefault="009D2DD4" w:rsidP="009D2DD4">
      <w:pPr>
        <w:autoSpaceDE w:val="0"/>
        <w:autoSpaceDN w:val="0"/>
        <w:adjustRightInd w:val="0"/>
        <w:spacing w:after="0" w:line="240" w:lineRule="auto"/>
        <w:jc w:val="both"/>
      </w:pPr>
    </w:p>
    <w:p w14:paraId="4EE0CDF4" w14:textId="73EFFB96" w:rsidR="00FC438E" w:rsidRDefault="009D2DD4" w:rsidP="009D2DD4">
      <w:pPr>
        <w:autoSpaceDE w:val="0"/>
        <w:autoSpaceDN w:val="0"/>
        <w:adjustRightInd w:val="0"/>
        <w:spacing w:after="0" w:line="240" w:lineRule="auto"/>
        <w:jc w:val="both"/>
      </w:pPr>
      <w:r w:rsidRPr="009D2DD4">
        <w:t>Připravovaná síť vysokorychlostních a konvenčních železnic, naz</w:t>
      </w:r>
      <w:r>
        <w:t xml:space="preserve">vaná Rychlá spojení, je schopna </w:t>
      </w:r>
      <w:r w:rsidRPr="009D2DD4">
        <w:t>plnit jak vnitřní přepravní vztahy v ČR (propojení krajských měst), tak i mezinárodní přeprav</w:t>
      </w:r>
      <w:r>
        <w:t xml:space="preserve">ní </w:t>
      </w:r>
      <w:r w:rsidRPr="009D2DD4">
        <w:t>vztahy v rámci EU. Na železničních expresních a rychlíkových l</w:t>
      </w:r>
      <w:r>
        <w:t xml:space="preserve">inkách narůstají již dnes počty </w:t>
      </w:r>
      <w:r w:rsidRPr="009D2DD4">
        <w:t>cestujících meziročně o více než 10 %. To na jedné straně</w:t>
      </w:r>
      <w:r>
        <w:t xml:space="preserve"> potvrzuje zájem obyvatelstva o </w:t>
      </w:r>
      <w:r w:rsidRPr="009D2DD4">
        <w:t>moderní železnici a správnost vynaložených investic, avšak na druhé st</w:t>
      </w:r>
      <w:r>
        <w:t xml:space="preserve">raně to vede ke </w:t>
      </w:r>
      <w:r w:rsidRPr="009D2DD4">
        <w:t>kapacitním problémům, které je nutno řešit výstavbou nových tratí, a to vysokorychlostních.</w:t>
      </w:r>
    </w:p>
    <w:p w14:paraId="101924C3" w14:textId="77777777" w:rsidR="009D2DD4" w:rsidRDefault="009D2DD4" w:rsidP="009D2DD4">
      <w:pPr>
        <w:autoSpaceDE w:val="0"/>
        <w:autoSpaceDN w:val="0"/>
        <w:adjustRightInd w:val="0"/>
        <w:spacing w:after="0" w:line="240" w:lineRule="auto"/>
        <w:jc w:val="both"/>
      </w:pPr>
    </w:p>
    <w:p w14:paraId="5F0E83F0" w14:textId="77777777" w:rsidR="00B727FD" w:rsidRPr="004C1FE7" w:rsidRDefault="00B727FD" w:rsidP="00B727FD">
      <w:pPr>
        <w:tabs>
          <w:tab w:val="left" w:pos="2880"/>
        </w:tabs>
        <w:spacing w:before="120"/>
        <w:ind w:left="2880" w:hanging="2880"/>
        <w:jc w:val="center"/>
        <w:rPr>
          <w:rFonts w:ascii="Corbel" w:hAnsi="Corbel"/>
        </w:rPr>
      </w:pPr>
      <w:r w:rsidRPr="00CE334F">
        <w:rPr>
          <w:b/>
          <w:u w:val="single"/>
        </w:rPr>
        <w:t>Rychlá spojení (RS)</w:t>
      </w:r>
    </w:p>
    <w:p w14:paraId="75CA4172" w14:textId="77777777" w:rsidR="00EC181E" w:rsidRPr="00981AC5" w:rsidRDefault="00EC181E" w:rsidP="00EC181E">
      <w:pPr>
        <w:jc w:val="center"/>
        <w:rPr>
          <w:rFonts w:ascii="Arial" w:hAnsi="Arial"/>
          <w:b/>
          <w:sz w:val="28"/>
        </w:rPr>
      </w:pPr>
      <w:r w:rsidRPr="00981AC5">
        <w:rPr>
          <w:b/>
        </w:rPr>
        <w:t xml:space="preserve">provozně-infrastrukturní systém rychlé železnice na území ČR zahrnující novostavby vysokorychlostních tratí (VRT), tratě </w:t>
      </w:r>
      <w:r>
        <w:rPr>
          <w:b/>
        </w:rPr>
        <w:t>konvenční</w:t>
      </w:r>
      <w:r w:rsidRPr="00981AC5">
        <w:rPr>
          <w:b/>
        </w:rPr>
        <w:t xml:space="preserve"> modernizované </w:t>
      </w:r>
      <w:r>
        <w:rPr>
          <w:b/>
        </w:rPr>
        <w:t xml:space="preserve">s vysokorychlostními parametry </w:t>
      </w:r>
      <w:r w:rsidRPr="00981AC5">
        <w:rPr>
          <w:b/>
        </w:rPr>
        <w:t>i modernizované konvenční tratě vyšších parametrů včetně vozidlového parku a provozního konceptu</w:t>
      </w:r>
    </w:p>
    <w:p w14:paraId="0E30CF85" w14:textId="1B1AB95F" w:rsidR="00B727FD" w:rsidRDefault="00B727FD" w:rsidP="00B727FD">
      <w:pPr>
        <w:jc w:val="both"/>
      </w:pPr>
      <w:r>
        <w:t xml:space="preserve">Stanovení dalšího koncepčního postupu v rozvoji železniční dopravy je nutné s ohledem na postupné dokončování již dříve stanovených priorit v podobě zajištění modernizace tranzitních železničních koridorů. Aktuálně je již většina modernizačních akcí na těchto tratích dokončena, případně v realizaci, či pokročilém stádiu přípravy. Zároveň již bylo stanoveno koncepční řešení pro modernizaci podstatně části konvenční železniční sítě formou studií proveditelnosti pro jednotlivé modernizované úseky. Po dokončení této modernizace </w:t>
      </w:r>
      <w:r w:rsidRPr="007F7FED">
        <w:rPr>
          <w:b/>
        </w:rPr>
        <w:t>je však vhodné stanovit další předpoklady pro budoucí vývoj</w:t>
      </w:r>
      <w:r>
        <w:t xml:space="preserve"> železniční sítě i celého dopravního odvětví. V tomto pohledu </w:t>
      </w:r>
      <w:r w:rsidRPr="00B727FD">
        <w:t xml:space="preserve">lze za vhodný podnět k dalšímu rozvoji </w:t>
      </w:r>
      <w:r>
        <w:t>považovat zřízení nových vysokorychlostních tratí, obdobných těm, které jsou již v současné době běžně provozovány v dalších zemích Evropské unie i jiných částech světa. Tento systém v budoucnu zajistí zásadní zlepšení dopravní obsluhy České republiky železniční dopravou.</w:t>
      </w:r>
    </w:p>
    <w:p w14:paraId="089BA39F" w14:textId="77777777" w:rsidR="00B727FD" w:rsidRDefault="00B727FD" w:rsidP="00B727FD">
      <w:pPr>
        <w:jc w:val="both"/>
      </w:pPr>
      <w:r>
        <w:t xml:space="preserve">V rámci samotného materiálu je popsáno navrhované řešení konceptu Rychlých spojení s návrhem novostaveb vysokorychlostních tratí </w:t>
      </w:r>
      <w:r w:rsidRPr="00B727FD">
        <w:rPr>
          <w:b/>
        </w:rPr>
        <w:t xml:space="preserve">Praha – Dresden, Praha – Beroun/Hořovice, Praha – Brno – </w:t>
      </w:r>
      <w:r w:rsidRPr="00B727FD">
        <w:rPr>
          <w:b/>
        </w:rPr>
        <w:lastRenderedPageBreak/>
        <w:t>Vranovice a Přerov – Ostrava</w:t>
      </w:r>
      <w:r>
        <w:t>. Dále je popsán možný další vývoj na trati Praha – Wroclaw. Tento návrh je plně v souladu s platným nařízením č. 1315/2013 o transevropské dopravní síti (TEN-T).</w:t>
      </w:r>
    </w:p>
    <w:p w14:paraId="5FB3268A" w14:textId="70CD21EE" w:rsidR="00B727FD" w:rsidRDefault="00B727FD" w:rsidP="00B727FD">
      <w:pPr>
        <w:jc w:val="both"/>
      </w:pPr>
      <w:r>
        <w:t xml:space="preserve">Navrženy jsou rovněž </w:t>
      </w:r>
      <w:r w:rsidRPr="00B727FD">
        <w:rPr>
          <w:b/>
        </w:rPr>
        <w:t>základní provozní parametry dopravní obsluhy vysokorychlostní železniční dopravy v jednotlivých směrech</w:t>
      </w:r>
      <w:r>
        <w:t xml:space="preserve"> formou předpokládaného rozsahu počtu spojů a přepravní kapacity. Jízdní doby mezi jednotlivými městy jsou předpokládány na základě zpracovaných územně-technických studií.</w:t>
      </w:r>
    </w:p>
    <w:p w14:paraId="0195E6B4" w14:textId="7B1E1534" w:rsidR="00B727FD" w:rsidRDefault="00B727FD" w:rsidP="00B727FD">
      <w:pPr>
        <w:jc w:val="both"/>
      </w:pPr>
      <w:r>
        <w:t>Detailní určení technického řešení bude předmětem zpracování navazujících studií proveditelnosti</w:t>
      </w:r>
      <w:r w:rsidR="009D2DD4">
        <w:t>, které posoudí případné relevantní varianty i nad rozsah dosavadních územně-technických studií. B</w:t>
      </w:r>
      <w:r>
        <w:t xml:space="preserve">ude záviset na porovnání investičních nákladů a přínosů v podobě zajištění kratších cestovních </w:t>
      </w:r>
      <w:r w:rsidR="00420F24">
        <w:t>dob</w:t>
      </w:r>
      <w:r>
        <w:t xml:space="preserve"> a dalších přínosů (dopad dopravy na životní prostředí, zvýšení bezpečnosti dopravy, </w:t>
      </w:r>
      <w:r w:rsidR="009D2DD4">
        <w:t xml:space="preserve">napojení na ostatní formy veřejné dopravy, </w:t>
      </w:r>
      <w:r>
        <w:t xml:space="preserve">apod.). Přibližná investiční náročnost obsažená v materiálu byla stanovena na základě dosud známých údajů z již zpracovaných územně-technických studií, kde bylo navrženo technické řešení včetně stanovení jeho nákladů. Aktuální </w:t>
      </w:r>
      <w:r w:rsidRPr="003C2712">
        <w:rPr>
          <w:b/>
        </w:rPr>
        <w:t>předpoklad investičních nákladů včetně započtení rizik je 650 mld. Kč</w:t>
      </w:r>
      <w:r>
        <w:t xml:space="preserve">. V dalším postupu se předpokládá zpracování studií proveditelnosti pro jednotlivé vysokorychlostní tratě s cílem </w:t>
      </w:r>
      <w:r w:rsidR="003C2712">
        <w:t>posouzení</w:t>
      </w:r>
      <w:r>
        <w:t xml:space="preserve"> ekonomické efektivity zřízení novostaveb těchto tratí. V případě prokázání ekonomické efektivity novostaveb vysokorychlostních tratí a dalších potřebných úprav železniční sítě bude zajištěno pokračování postupu projektové přípravy v souladu s aktuálně platnými předpisy.</w:t>
      </w:r>
    </w:p>
    <w:p w14:paraId="41E845DC" w14:textId="3179EE6D" w:rsidR="00FC438E" w:rsidRDefault="00B727FD" w:rsidP="00065CD2">
      <w:pPr>
        <w:jc w:val="both"/>
      </w:pPr>
      <w:r>
        <w:t>Pro zajištění dalšího postupu prací v návaznosti na Program rozvoje Rychlých železničních spojení v ČR byla zřízena pracovní skupina pod vedením ministra dopravy, jejímž cílem je sdílení informací o aktuálním stavu přípravy novostaveb vysokorychlostních tratí a zajištění vstřícného postupu přípravy s ohledem na věcnou působnost resortů při snaze o naleze</w:t>
      </w:r>
      <w:r w:rsidR="003C2712">
        <w:t>ní vhodného technického řešení.</w:t>
      </w:r>
    </w:p>
    <w:p w14:paraId="2DBC9F98" w14:textId="7E55F98E" w:rsidR="009D2DD4" w:rsidRDefault="009D2DD4" w:rsidP="00065CD2">
      <w:pPr>
        <w:jc w:val="both"/>
      </w:pPr>
    </w:p>
    <w:p w14:paraId="4353AD81" w14:textId="7F21BE90" w:rsidR="009D2DD4" w:rsidRDefault="009D2DD4" w:rsidP="00065CD2">
      <w:pPr>
        <w:jc w:val="both"/>
      </w:pPr>
    </w:p>
    <w:p w14:paraId="4C989D83" w14:textId="31D9CCC5" w:rsidR="009D2DD4" w:rsidRDefault="009D2DD4" w:rsidP="00065CD2">
      <w:pPr>
        <w:jc w:val="both"/>
      </w:pPr>
    </w:p>
    <w:p w14:paraId="0B9177BD" w14:textId="134FFA6D" w:rsidR="009D2DD4" w:rsidRDefault="009D2DD4" w:rsidP="00065CD2">
      <w:pPr>
        <w:jc w:val="both"/>
      </w:pPr>
    </w:p>
    <w:p w14:paraId="7E46E64F" w14:textId="454848B9" w:rsidR="009D2DD4" w:rsidRDefault="009D2DD4" w:rsidP="00065CD2">
      <w:pPr>
        <w:jc w:val="both"/>
      </w:pPr>
    </w:p>
    <w:p w14:paraId="011AA8D8" w14:textId="007096EE" w:rsidR="009D2DD4" w:rsidRDefault="009D2DD4" w:rsidP="00065CD2">
      <w:pPr>
        <w:jc w:val="both"/>
      </w:pPr>
    </w:p>
    <w:p w14:paraId="7A5AE680" w14:textId="2C67E97E" w:rsidR="009D2DD4" w:rsidRDefault="009D2DD4" w:rsidP="00065CD2">
      <w:pPr>
        <w:jc w:val="both"/>
      </w:pPr>
    </w:p>
    <w:p w14:paraId="29754D35" w14:textId="2B8FAB04" w:rsidR="009D2DD4" w:rsidRDefault="009D2DD4" w:rsidP="00065CD2">
      <w:pPr>
        <w:jc w:val="both"/>
      </w:pPr>
    </w:p>
    <w:p w14:paraId="41A092AB" w14:textId="262E155A" w:rsidR="009D2DD4" w:rsidRDefault="009D2DD4" w:rsidP="00065CD2">
      <w:pPr>
        <w:jc w:val="both"/>
      </w:pPr>
    </w:p>
    <w:p w14:paraId="50F5ED32" w14:textId="07A510CA" w:rsidR="009D2DD4" w:rsidRDefault="009D2DD4" w:rsidP="00065CD2">
      <w:pPr>
        <w:jc w:val="both"/>
      </w:pPr>
    </w:p>
    <w:p w14:paraId="6281CDCD" w14:textId="66DC913C" w:rsidR="009D2DD4" w:rsidRDefault="009D2DD4" w:rsidP="00065CD2">
      <w:pPr>
        <w:jc w:val="both"/>
      </w:pPr>
    </w:p>
    <w:p w14:paraId="36BCA42E" w14:textId="046B1251" w:rsidR="009D2DD4" w:rsidRDefault="009D2DD4" w:rsidP="00065CD2">
      <w:pPr>
        <w:jc w:val="both"/>
      </w:pPr>
    </w:p>
    <w:p w14:paraId="1AAA6207" w14:textId="1163E148" w:rsidR="009D2DD4" w:rsidRDefault="009D2DD4" w:rsidP="00065CD2">
      <w:pPr>
        <w:jc w:val="both"/>
      </w:pPr>
    </w:p>
    <w:p w14:paraId="3FC63EAE" w14:textId="6B9AFD35" w:rsidR="009D2DD4" w:rsidRDefault="009D2DD4" w:rsidP="00065CD2">
      <w:pPr>
        <w:jc w:val="both"/>
      </w:pPr>
    </w:p>
    <w:p w14:paraId="073100F2" w14:textId="77777777" w:rsidR="009D2DD4" w:rsidRDefault="009D2DD4" w:rsidP="00065CD2">
      <w:pPr>
        <w:jc w:val="both"/>
      </w:pPr>
    </w:p>
    <w:p w14:paraId="78450584" w14:textId="537694A3" w:rsidR="003C2712" w:rsidRPr="003C2712" w:rsidRDefault="003C2712" w:rsidP="00065CD2">
      <w:pPr>
        <w:jc w:val="both"/>
        <w:rPr>
          <w:b/>
        </w:rPr>
      </w:pPr>
      <w:r w:rsidRPr="003C2712">
        <w:rPr>
          <w:b/>
          <w:i/>
        </w:rPr>
        <w:lastRenderedPageBreak/>
        <w:t>Výchozí stav – porovnání cestovních dob</w:t>
      </w:r>
      <w:r>
        <w:rPr>
          <w:b/>
          <w:i/>
        </w:rPr>
        <w:t xml:space="preserve"> po dokončení již schválených modernizačních akcí</w:t>
      </w:r>
    </w:p>
    <w:p w14:paraId="623227BF" w14:textId="609ACA96" w:rsidR="00CE334F" w:rsidRDefault="00065CD2" w:rsidP="00065CD2">
      <w:pPr>
        <w:jc w:val="both"/>
      </w:pPr>
      <w:r>
        <w:t xml:space="preserve">Ještě před zahájením </w:t>
      </w:r>
      <w:r w:rsidR="00420F24">
        <w:t xml:space="preserve">vlastních </w:t>
      </w:r>
      <w:r>
        <w:t xml:space="preserve">staveb vysokorychlostních tratí se předpokládá další rozvoj dopravní sítě v rámci jednotlivých dopravních módů. Zejména se tedy předpokládá další rozvoj silniční </w:t>
      </w:r>
      <w:r w:rsidR="00CE334F">
        <w:t xml:space="preserve">a dálniční sítě </w:t>
      </w:r>
      <w:r>
        <w:t>a úpravy na konvenční železniční síti zlepšuj</w:t>
      </w:r>
      <w:r w:rsidR="003C2712">
        <w:t>ící její výkonnost.</w:t>
      </w:r>
      <w:r w:rsidR="00420F24">
        <w:t xml:space="preserve"> Níže uvedená tabulka nabízí jednoduchý přehled budoucích cestovních dob, který zohledňuje předpokládaný rozvoj železniční sítě dle vybraných variant ze schválených studií proveditelnosti.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240D53" w14:paraId="1E50AC33" w14:textId="77777777" w:rsidTr="00BA66CA">
        <w:tc>
          <w:tcPr>
            <w:tcW w:w="9212" w:type="dxa"/>
          </w:tcPr>
          <w:p w14:paraId="4FB077DB" w14:textId="3C757F5A" w:rsidR="00CE334F" w:rsidRDefault="00CE334F" w:rsidP="005605E0">
            <w:pPr>
              <w:jc w:val="both"/>
            </w:pPr>
          </w:p>
          <w:tbl>
            <w:tblPr>
              <w:tblpPr w:leftFromText="141" w:rightFromText="141" w:vertAnchor="text" w:horzAnchor="margin" w:tblpY="82"/>
              <w:tblW w:w="4422" w:type="pct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27"/>
              <w:gridCol w:w="415"/>
              <w:gridCol w:w="415"/>
              <w:gridCol w:w="415"/>
              <w:gridCol w:w="415"/>
              <w:gridCol w:w="415"/>
              <w:gridCol w:w="415"/>
              <w:gridCol w:w="415"/>
              <w:gridCol w:w="415"/>
              <w:gridCol w:w="415"/>
              <w:gridCol w:w="415"/>
              <w:gridCol w:w="415"/>
              <w:gridCol w:w="415"/>
              <w:gridCol w:w="415"/>
              <w:gridCol w:w="415"/>
              <w:gridCol w:w="415"/>
            </w:tblGrid>
            <w:tr w:rsidR="003C2712" w:rsidRPr="006B4ADA" w14:paraId="13A1F283" w14:textId="77777777" w:rsidTr="003C2712">
              <w:trPr>
                <w:cantSplit/>
                <w:trHeight w:val="1587"/>
              </w:trPr>
              <w:tc>
                <w:tcPr>
                  <w:tcW w:w="1086" w:type="pct"/>
                  <w:tcBorders>
                    <w:top w:val="nil"/>
                    <w:left w:val="nil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vAlign w:val="center"/>
                  <w:hideMark/>
                </w:tcPr>
                <w:p w14:paraId="3FF2E3DA" w14:textId="77777777" w:rsidR="003C2712" w:rsidRPr="000E073C" w:rsidRDefault="003C2712" w:rsidP="00CE334F">
                  <w:pPr>
                    <w:pStyle w:val="Bezmezer"/>
                    <w:rPr>
                      <w:b/>
                      <w:color w:val="035D8D"/>
                      <w:sz w:val="20"/>
                      <w:szCs w:val="20"/>
                    </w:rPr>
                  </w:pP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textDirection w:val="btLr"/>
                  <w:vAlign w:val="center"/>
                  <w:hideMark/>
                </w:tcPr>
                <w:p w14:paraId="641BED1F" w14:textId="50CDAA0C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Praha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textDirection w:val="btLr"/>
                  <w:vAlign w:val="center"/>
                  <w:hideMark/>
                </w:tcPr>
                <w:p w14:paraId="1E64B0AE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Brno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textDirection w:val="btLr"/>
                  <w:vAlign w:val="center"/>
                  <w:hideMark/>
                </w:tcPr>
                <w:p w14:paraId="17DAC4B3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Ostrava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textDirection w:val="btLr"/>
                  <w:vAlign w:val="center"/>
                  <w:hideMark/>
                </w:tcPr>
                <w:p w14:paraId="3EB8D76D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Olomouc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textDirection w:val="btLr"/>
                  <w:vAlign w:val="center"/>
                  <w:hideMark/>
                </w:tcPr>
                <w:p w14:paraId="542D469D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Plzeň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textDirection w:val="btLr"/>
                  <w:vAlign w:val="center"/>
                  <w:hideMark/>
                </w:tcPr>
                <w:p w14:paraId="67FAE2F4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Pardubice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textDirection w:val="btLr"/>
                  <w:vAlign w:val="center"/>
                  <w:hideMark/>
                </w:tcPr>
                <w:p w14:paraId="1EE19664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Hradec Králové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textDirection w:val="btLr"/>
                  <w:vAlign w:val="center"/>
                  <w:hideMark/>
                </w:tcPr>
                <w:p w14:paraId="4F533572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Liberec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textDirection w:val="btLr"/>
                  <w:vAlign w:val="center"/>
                  <w:hideMark/>
                </w:tcPr>
                <w:p w14:paraId="46363C51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Ústí nad Labem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textDirection w:val="btLr"/>
                  <w:vAlign w:val="center"/>
                  <w:hideMark/>
                </w:tcPr>
                <w:p w14:paraId="29B4CA77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Karlovy Vary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textDirection w:val="btLr"/>
                  <w:vAlign w:val="center"/>
                  <w:hideMark/>
                </w:tcPr>
                <w:p w14:paraId="17C8054F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České Budějovice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textDirection w:val="btLr"/>
                  <w:vAlign w:val="center"/>
                  <w:hideMark/>
                </w:tcPr>
                <w:p w14:paraId="6F806583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Jihlava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textDirection w:val="btLr"/>
                  <w:vAlign w:val="center"/>
                  <w:hideMark/>
                </w:tcPr>
                <w:p w14:paraId="2BC34D2D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Zlín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textDirection w:val="btLr"/>
                  <w:vAlign w:val="center"/>
                  <w:hideMark/>
                </w:tcPr>
                <w:p w14:paraId="7E74711D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Chomutov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textDirection w:val="btLr"/>
                  <w:vAlign w:val="center"/>
                  <w:hideMark/>
                </w:tcPr>
                <w:p w14:paraId="54246776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Tábor</w:t>
                  </w:r>
                </w:p>
              </w:tc>
            </w:tr>
            <w:tr w:rsidR="003C2712" w:rsidRPr="006B4ADA" w14:paraId="6F1525A7" w14:textId="77777777" w:rsidTr="003C2712">
              <w:trPr>
                <w:trHeight w:val="20"/>
              </w:trPr>
              <w:tc>
                <w:tcPr>
                  <w:tcW w:w="1086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vAlign w:val="center"/>
                  <w:hideMark/>
                </w:tcPr>
                <w:p w14:paraId="46E13A7F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Trutnov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498DE8BC" w14:textId="3BC4CA2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642662E4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2FACA291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0CE55112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5463E273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16F3377D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0BA4647F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3CB00473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47A77EFA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7FBF166E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60CC8374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20DBDEF8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2E05A42A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2977B175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6FDF92F1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2712" w:rsidRPr="006B4ADA" w14:paraId="003C8B56" w14:textId="77777777" w:rsidTr="003C2712">
              <w:trPr>
                <w:trHeight w:val="20"/>
              </w:trPr>
              <w:tc>
                <w:tcPr>
                  <w:tcW w:w="1086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vAlign w:val="center"/>
                  <w:hideMark/>
                </w:tcPr>
                <w:p w14:paraId="19526C7C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Tábor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0A188B6B" w14:textId="25DC8BE6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6AA94E74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7C339606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620F54DF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0137D00C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00B050"/>
                  <w:noWrap/>
                  <w:vAlign w:val="bottom"/>
                  <w:hideMark/>
                </w:tcPr>
                <w:p w14:paraId="55351873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70F7E78A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717A96C9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06F78E64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621E3F0F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00B050"/>
                  <w:noWrap/>
                  <w:vAlign w:val="bottom"/>
                  <w:hideMark/>
                </w:tcPr>
                <w:p w14:paraId="3D660D26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0F133776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6F43565F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055576AC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</w:tcBorders>
                  <w:shd w:val="clear" w:color="auto" w:fill="auto"/>
                  <w:noWrap/>
                  <w:vAlign w:val="bottom"/>
                  <w:hideMark/>
                </w:tcPr>
                <w:p w14:paraId="3AB65736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2712" w:rsidRPr="006B4ADA" w14:paraId="249373DC" w14:textId="77777777" w:rsidTr="003C2712">
              <w:trPr>
                <w:trHeight w:val="20"/>
              </w:trPr>
              <w:tc>
                <w:tcPr>
                  <w:tcW w:w="1086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vAlign w:val="center"/>
                  <w:hideMark/>
                </w:tcPr>
                <w:p w14:paraId="2DBA181E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Chomutov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573C0161" w14:textId="3F0FB2EC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340DBD3B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0E2155DB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2FE768BC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5BA9B449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18763302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098F8914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628A8454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77036FF7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59EB54AF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341CA474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49DDB8AD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5A02AA13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</w:tcBorders>
                  <w:shd w:val="clear" w:color="auto" w:fill="auto"/>
                  <w:noWrap/>
                  <w:vAlign w:val="bottom"/>
                  <w:hideMark/>
                </w:tcPr>
                <w:p w14:paraId="334383F4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29F471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2712" w:rsidRPr="006B4ADA" w14:paraId="6B91286C" w14:textId="77777777" w:rsidTr="003C2712">
              <w:trPr>
                <w:trHeight w:val="20"/>
              </w:trPr>
              <w:tc>
                <w:tcPr>
                  <w:tcW w:w="1086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vAlign w:val="center"/>
                  <w:hideMark/>
                </w:tcPr>
                <w:p w14:paraId="47D08C79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Zlín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26A9D7B9" w14:textId="09996C95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5CC59EE9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246E2E28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00B050"/>
                  <w:noWrap/>
                  <w:vAlign w:val="bottom"/>
                  <w:hideMark/>
                </w:tcPr>
                <w:p w14:paraId="31ED8262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7FAFB8DF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135449F6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23A61B17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366A0817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1CC51FD1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51625703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44B0EFDF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52EF196C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</w:tcBorders>
                  <w:shd w:val="clear" w:color="auto" w:fill="auto"/>
                  <w:noWrap/>
                  <w:vAlign w:val="bottom"/>
                  <w:hideMark/>
                </w:tcPr>
                <w:p w14:paraId="39AF3527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96E8BF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6B971D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2712" w:rsidRPr="006B4ADA" w14:paraId="5A300BFC" w14:textId="77777777" w:rsidTr="003C2712">
              <w:trPr>
                <w:trHeight w:val="20"/>
              </w:trPr>
              <w:tc>
                <w:tcPr>
                  <w:tcW w:w="1086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vAlign w:val="center"/>
                  <w:hideMark/>
                </w:tcPr>
                <w:p w14:paraId="3AC89EDC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Jihlava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3D833FDB" w14:textId="0A41F832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6F35778B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7137F82B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0B388063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11A205B3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0FC14C31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0594B511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34F308AB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6AA06A80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27229D4C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75F93C8E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</w:tcBorders>
                  <w:shd w:val="clear" w:color="auto" w:fill="auto"/>
                  <w:noWrap/>
                  <w:vAlign w:val="bottom"/>
                  <w:hideMark/>
                </w:tcPr>
                <w:p w14:paraId="75950C84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0E2ABF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8AD8E6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AFBE9A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2712" w:rsidRPr="006B4ADA" w14:paraId="20E78644" w14:textId="77777777" w:rsidTr="003C2712">
              <w:trPr>
                <w:trHeight w:val="20"/>
              </w:trPr>
              <w:tc>
                <w:tcPr>
                  <w:tcW w:w="1086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vAlign w:val="center"/>
                  <w:hideMark/>
                </w:tcPr>
                <w:p w14:paraId="0048AE13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České Budějovice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7F4AB51D" w14:textId="38604460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70130BCD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25B89FDA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36D922B9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00B050"/>
                  <w:noWrap/>
                  <w:vAlign w:val="bottom"/>
                  <w:hideMark/>
                </w:tcPr>
                <w:p w14:paraId="4315D359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3759C364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09A9A6CD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4C70C749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1D9A19EE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3BE19435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</w:tcBorders>
                  <w:shd w:val="clear" w:color="auto" w:fill="auto"/>
                  <w:noWrap/>
                  <w:vAlign w:val="bottom"/>
                  <w:hideMark/>
                </w:tcPr>
                <w:p w14:paraId="57FF7970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E2A2C3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8B1451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973C79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F7A7A6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2712" w:rsidRPr="006B4ADA" w14:paraId="22BAFE55" w14:textId="77777777" w:rsidTr="003C2712">
              <w:trPr>
                <w:trHeight w:val="20"/>
              </w:trPr>
              <w:tc>
                <w:tcPr>
                  <w:tcW w:w="1086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vAlign w:val="center"/>
                  <w:hideMark/>
                </w:tcPr>
                <w:p w14:paraId="6D169506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Karlovy Vary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165FFB79" w14:textId="0EF282D9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7B3F00D5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3B0FEE34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6D32206C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3712BFC7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65540889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63D86867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002A2232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6B6E856B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</w:tcBorders>
                  <w:shd w:val="clear" w:color="auto" w:fill="auto"/>
                  <w:noWrap/>
                  <w:vAlign w:val="bottom"/>
                  <w:hideMark/>
                </w:tcPr>
                <w:p w14:paraId="0A014EFD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3FFE2C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06DC05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334D02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1E317A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5CD097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2712" w:rsidRPr="006B4ADA" w14:paraId="12F2A100" w14:textId="77777777" w:rsidTr="003C2712">
              <w:trPr>
                <w:trHeight w:val="20"/>
              </w:trPr>
              <w:tc>
                <w:tcPr>
                  <w:tcW w:w="1086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vAlign w:val="center"/>
                  <w:hideMark/>
                </w:tcPr>
                <w:p w14:paraId="7ABBD5AC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Ústí nad Labem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13011CAD" w14:textId="763AC6BB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2CB5CF9F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55EAD822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2D72743C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1AE1DA25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657A87B2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28B491BB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32477326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</w:tcBorders>
                  <w:shd w:val="clear" w:color="auto" w:fill="auto"/>
                  <w:noWrap/>
                  <w:vAlign w:val="bottom"/>
                  <w:hideMark/>
                </w:tcPr>
                <w:p w14:paraId="7A1945D4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98CBBB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CC8633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450E06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37B833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A242F6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EFA750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2712" w:rsidRPr="006B4ADA" w14:paraId="76E6526C" w14:textId="77777777" w:rsidTr="003C2712">
              <w:trPr>
                <w:trHeight w:val="20"/>
              </w:trPr>
              <w:tc>
                <w:tcPr>
                  <w:tcW w:w="1086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vAlign w:val="center"/>
                  <w:hideMark/>
                </w:tcPr>
                <w:p w14:paraId="011736EC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Liberec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72A2BEDE" w14:textId="7E4861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68814142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41B17B09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50C9DDFD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6B5604F4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5E0900DF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  <w:hideMark/>
                </w:tcPr>
                <w:p w14:paraId="1A734B26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</w:tcBorders>
                  <w:shd w:val="clear" w:color="auto" w:fill="auto"/>
                  <w:noWrap/>
                  <w:vAlign w:val="bottom"/>
                  <w:hideMark/>
                </w:tcPr>
                <w:p w14:paraId="5416A601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EB4CDC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F034E3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29E5AC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5CBF0A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19CE61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0F40B7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32B8BF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2712" w:rsidRPr="006B4ADA" w14:paraId="6EAB6EAE" w14:textId="77777777" w:rsidTr="003C2712">
              <w:trPr>
                <w:trHeight w:val="20"/>
              </w:trPr>
              <w:tc>
                <w:tcPr>
                  <w:tcW w:w="1086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vAlign w:val="center"/>
                  <w:hideMark/>
                </w:tcPr>
                <w:p w14:paraId="7CF4EDAB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Hradec Králové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00B050"/>
                  <w:noWrap/>
                  <w:vAlign w:val="bottom"/>
                  <w:hideMark/>
                </w:tcPr>
                <w:p w14:paraId="5B4EC3D0" w14:textId="7BCDBBC2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77BAE4CA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57E81E9B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7EEAF8A5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1751D811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00B050"/>
                  <w:noWrap/>
                  <w:vAlign w:val="bottom"/>
                  <w:hideMark/>
                </w:tcPr>
                <w:p w14:paraId="39DABD0C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</w:tcBorders>
                  <w:shd w:val="clear" w:color="auto" w:fill="auto"/>
                  <w:noWrap/>
                  <w:vAlign w:val="bottom"/>
                  <w:hideMark/>
                </w:tcPr>
                <w:p w14:paraId="17934A08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8BD220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08D875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65019B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FB6FF3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02928C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BCD376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091E19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D482D1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2712" w:rsidRPr="006B4ADA" w14:paraId="64B64387" w14:textId="77777777" w:rsidTr="003C2712">
              <w:trPr>
                <w:trHeight w:val="20"/>
              </w:trPr>
              <w:tc>
                <w:tcPr>
                  <w:tcW w:w="1086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vAlign w:val="center"/>
                  <w:hideMark/>
                </w:tcPr>
                <w:p w14:paraId="41C1F27C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Pardubice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00B050"/>
                  <w:noWrap/>
                  <w:vAlign w:val="bottom"/>
                  <w:hideMark/>
                </w:tcPr>
                <w:p w14:paraId="488060D4" w14:textId="546A6544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000F806F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00B050"/>
                  <w:noWrap/>
                  <w:vAlign w:val="bottom"/>
                  <w:hideMark/>
                </w:tcPr>
                <w:p w14:paraId="6DBEC683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00B050"/>
                  <w:noWrap/>
                  <w:vAlign w:val="bottom"/>
                  <w:hideMark/>
                </w:tcPr>
                <w:p w14:paraId="4AD28587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09596FED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</w:tcBorders>
                  <w:shd w:val="clear" w:color="auto" w:fill="auto"/>
                  <w:noWrap/>
                  <w:vAlign w:val="bottom"/>
                  <w:hideMark/>
                </w:tcPr>
                <w:p w14:paraId="47278F72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B6D2AB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BCC430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BF25A8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1444B2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9C3004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EACAA5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6CD077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864BBC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14315B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2712" w:rsidRPr="006B4ADA" w14:paraId="04548D57" w14:textId="77777777" w:rsidTr="003C2712">
              <w:trPr>
                <w:trHeight w:val="20"/>
              </w:trPr>
              <w:tc>
                <w:tcPr>
                  <w:tcW w:w="1086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vAlign w:val="center"/>
                  <w:hideMark/>
                </w:tcPr>
                <w:p w14:paraId="3F497938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Plzeň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00BC37C2" w14:textId="0D4D32B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4FB3BBDB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00B050"/>
                  <w:noWrap/>
                  <w:vAlign w:val="bottom"/>
                  <w:hideMark/>
                </w:tcPr>
                <w:p w14:paraId="3D3AAB1C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00B050"/>
                  <w:noWrap/>
                  <w:vAlign w:val="bottom"/>
                  <w:hideMark/>
                </w:tcPr>
                <w:p w14:paraId="0EC31B5B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</w:tcBorders>
                  <w:shd w:val="clear" w:color="auto" w:fill="auto"/>
                  <w:noWrap/>
                  <w:vAlign w:val="bottom"/>
                  <w:hideMark/>
                </w:tcPr>
                <w:p w14:paraId="6DFD1ECA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931615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C2F047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88CD06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2E5B7C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788B12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7C2860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25C803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76EC76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5A4EBF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8BD418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2712" w:rsidRPr="006B4ADA" w14:paraId="361F89DC" w14:textId="77777777" w:rsidTr="003C2712">
              <w:trPr>
                <w:trHeight w:val="20"/>
              </w:trPr>
              <w:tc>
                <w:tcPr>
                  <w:tcW w:w="1086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vAlign w:val="center"/>
                  <w:hideMark/>
                </w:tcPr>
                <w:p w14:paraId="3ABEF662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Olomouc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00B050"/>
                  <w:noWrap/>
                  <w:vAlign w:val="bottom"/>
                  <w:hideMark/>
                </w:tcPr>
                <w:p w14:paraId="4AFED4C8" w14:textId="2A97712B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00B050"/>
                  <w:noWrap/>
                  <w:vAlign w:val="bottom"/>
                  <w:hideMark/>
                </w:tcPr>
                <w:p w14:paraId="2D35EBED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00B050"/>
                  <w:noWrap/>
                  <w:vAlign w:val="bottom"/>
                  <w:hideMark/>
                </w:tcPr>
                <w:p w14:paraId="08A8B2D3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</w:tcBorders>
                  <w:shd w:val="clear" w:color="auto" w:fill="auto"/>
                  <w:noWrap/>
                  <w:vAlign w:val="bottom"/>
                  <w:hideMark/>
                </w:tcPr>
                <w:p w14:paraId="4AE10651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BC3E13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A620EB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498BD3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85D6D2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8F26D5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D18C9F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0CA866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A5159D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3B0998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EBD2BA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00007C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2712" w:rsidRPr="006B4ADA" w14:paraId="699D6B12" w14:textId="77777777" w:rsidTr="003C2712">
              <w:trPr>
                <w:trHeight w:val="20"/>
              </w:trPr>
              <w:tc>
                <w:tcPr>
                  <w:tcW w:w="1086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vAlign w:val="center"/>
                  <w:hideMark/>
                </w:tcPr>
                <w:p w14:paraId="72F89D94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Ostrava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00B050"/>
                  <w:noWrap/>
                  <w:vAlign w:val="bottom"/>
                  <w:hideMark/>
                </w:tcPr>
                <w:p w14:paraId="46C21CBE" w14:textId="5BF39FE9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00B050"/>
                  <w:noWrap/>
                  <w:vAlign w:val="bottom"/>
                  <w:hideMark/>
                </w:tcPr>
                <w:p w14:paraId="1FD5871B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</w:tcBorders>
                  <w:shd w:val="clear" w:color="auto" w:fill="auto"/>
                  <w:noWrap/>
                  <w:vAlign w:val="bottom"/>
                  <w:hideMark/>
                </w:tcPr>
                <w:p w14:paraId="5DACE7BB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42D15E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66D439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E856B6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537350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7B8CD2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D61613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19C32C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615AF5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EB391A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FA7AF4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4BBAAE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458F75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2712" w:rsidRPr="006B4ADA" w14:paraId="796478F2" w14:textId="77777777" w:rsidTr="003C2712">
              <w:trPr>
                <w:trHeight w:val="20"/>
              </w:trPr>
              <w:tc>
                <w:tcPr>
                  <w:tcW w:w="1086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auto" w:fill="auto"/>
                  <w:noWrap/>
                  <w:vAlign w:val="center"/>
                  <w:hideMark/>
                </w:tcPr>
                <w:p w14:paraId="57217D23" w14:textId="77777777" w:rsidR="003C2712" w:rsidRPr="003C2712" w:rsidRDefault="003C2712" w:rsidP="00CE334F">
                  <w:pPr>
                    <w:pStyle w:val="Bezmezer"/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</w:pPr>
                  <w:r w:rsidRPr="003C2712">
                    <w:rPr>
                      <w:rFonts w:asciiTheme="minorHAnsi" w:hAnsiTheme="minorHAnsi" w:cstheme="minorHAnsi"/>
                      <w:b/>
                      <w:color w:val="035D8D"/>
                      <w:sz w:val="22"/>
                      <w:szCs w:val="22"/>
                    </w:rPr>
                    <w:t>Brno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  <w:hideMark/>
                </w:tcPr>
                <w:p w14:paraId="3ACA7B43" w14:textId="42E04A59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single" w:sz="4" w:space="0" w:color="035D8D"/>
                    <w:left w:val="single" w:sz="4" w:space="0" w:color="035D8D"/>
                  </w:tcBorders>
                  <w:shd w:val="clear" w:color="auto" w:fill="auto"/>
                  <w:noWrap/>
                  <w:vAlign w:val="bottom"/>
                  <w:hideMark/>
                </w:tcPr>
                <w:p w14:paraId="04E78120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515C8D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586258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C18AA2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F03953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D40224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62E284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98A7B7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66CF14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230391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4C9F3B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854DD6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07D573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1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9453EC" w14:textId="77777777" w:rsidR="003C2712" w:rsidRPr="000E073C" w:rsidRDefault="003C2712" w:rsidP="00CE334F">
                  <w:pPr>
                    <w:pStyle w:val="Bezmezer"/>
                    <w:rPr>
                      <w:color w:val="000000"/>
                      <w:sz w:val="20"/>
                      <w:szCs w:val="20"/>
                    </w:rPr>
                  </w:pPr>
                  <w:r w:rsidRPr="000E073C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2712" w14:paraId="6D667D9B" w14:textId="77777777" w:rsidTr="003C2712">
              <w:trPr>
                <w:trHeight w:val="20"/>
              </w:trPr>
              <w:tc>
                <w:tcPr>
                  <w:tcW w:w="1086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00B050"/>
                  <w:noWrap/>
                  <w:vAlign w:val="bottom"/>
                </w:tcPr>
                <w:p w14:paraId="1E80D1A1" w14:textId="77777777" w:rsidR="003C2712" w:rsidRPr="000E073C" w:rsidRDefault="003C2712" w:rsidP="00CE334F">
                  <w:pPr>
                    <w:pStyle w:val="Bezmezer"/>
                    <w:rPr>
                      <w:sz w:val="20"/>
                      <w:szCs w:val="20"/>
                    </w:rPr>
                  </w:pPr>
                  <w:r w:rsidRPr="000E073C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914" w:type="pct"/>
                  <w:gridSpan w:val="15"/>
                  <w:tcBorders>
                    <w:top w:val="nil"/>
                    <w:left w:val="single" w:sz="4" w:space="0" w:color="035D8D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EF6CEC0" w14:textId="24AC9C95" w:rsidR="003C2712" w:rsidRPr="003C2712" w:rsidRDefault="003C2712" w:rsidP="00CE334F">
                  <w:pPr>
                    <w:pStyle w:val="Bezmezer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  <w:r w:rsidRPr="003C2712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>Vlak je v dané relaci rychlejší než auto</w:t>
                  </w:r>
                </w:p>
              </w:tc>
            </w:tr>
            <w:tr w:rsidR="003C2712" w14:paraId="6568E51D" w14:textId="77777777" w:rsidTr="003C2712">
              <w:trPr>
                <w:trHeight w:val="20"/>
              </w:trPr>
              <w:tc>
                <w:tcPr>
                  <w:tcW w:w="1086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FF00"/>
                  <w:noWrap/>
                  <w:vAlign w:val="bottom"/>
                </w:tcPr>
                <w:p w14:paraId="0FED85B1" w14:textId="77777777" w:rsidR="003C2712" w:rsidRPr="00C70385" w:rsidRDefault="003C2712" w:rsidP="00CE334F">
                  <w:pPr>
                    <w:pStyle w:val="Bezmezer"/>
                    <w:rPr>
                      <w:b/>
                      <w:color w:val="035D8D"/>
                      <w:sz w:val="20"/>
                    </w:rPr>
                  </w:pPr>
                  <w:r w:rsidRPr="000E073C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914" w:type="pct"/>
                  <w:gridSpan w:val="15"/>
                  <w:tcBorders>
                    <w:top w:val="nil"/>
                    <w:left w:val="single" w:sz="4" w:space="0" w:color="035D8D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62E9DCF" w14:textId="4AE75878" w:rsidR="003C2712" w:rsidRPr="003C2712" w:rsidRDefault="003C2712" w:rsidP="00CE334F">
                  <w:pPr>
                    <w:pStyle w:val="Bezmezer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  <w:r w:rsidRPr="003C2712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>Vlak je v dané relaci pomalejší než auto, ale rychlejší než autobus</w:t>
                  </w:r>
                </w:p>
              </w:tc>
            </w:tr>
            <w:tr w:rsidR="003C2712" w:rsidRPr="006B4ADA" w14:paraId="7E1F5BE2" w14:textId="77777777" w:rsidTr="003C2712">
              <w:trPr>
                <w:trHeight w:val="20"/>
              </w:trPr>
              <w:tc>
                <w:tcPr>
                  <w:tcW w:w="1086" w:type="pct"/>
                  <w:tcBorders>
                    <w:top w:val="single" w:sz="4" w:space="0" w:color="035D8D"/>
                    <w:left w:val="single" w:sz="4" w:space="0" w:color="035D8D"/>
                    <w:bottom w:val="single" w:sz="4" w:space="0" w:color="035D8D"/>
                    <w:right w:val="single" w:sz="4" w:space="0" w:color="035D8D"/>
                  </w:tcBorders>
                  <w:shd w:val="clear" w:color="000000" w:fill="FF0000"/>
                  <w:noWrap/>
                  <w:vAlign w:val="bottom"/>
                </w:tcPr>
                <w:p w14:paraId="042A7E5A" w14:textId="77777777" w:rsidR="003C2712" w:rsidRPr="000E073C" w:rsidRDefault="003C2712" w:rsidP="00CE334F">
                  <w:pPr>
                    <w:pStyle w:val="Bezmezer"/>
                    <w:rPr>
                      <w:b/>
                      <w:color w:val="035D8D"/>
                      <w:sz w:val="20"/>
                      <w:szCs w:val="20"/>
                    </w:rPr>
                  </w:pPr>
                  <w:r w:rsidRPr="000E073C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914" w:type="pct"/>
                  <w:gridSpan w:val="15"/>
                  <w:tcBorders>
                    <w:top w:val="nil"/>
                    <w:left w:val="single" w:sz="4" w:space="0" w:color="035D8D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D3DFCFD" w14:textId="4C5A0F32" w:rsidR="003C2712" w:rsidRPr="003C2712" w:rsidRDefault="003C2712" w:rsidP="00CE334F">
                  <w:pPr>
                    <w:pStyle w:val="Bezmezer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  <w:r w:rsidRPr="003C2712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>Vlak je v dané relaci pomalejší než auto i autobus</w:t>
                  </w:r>
                </w:p>
              </w:tc>
            </w:tr>
          </w:tbl>
          <w:p w14:paraId="0DDACF55" w14:textId="77A352E8" w:rsidR="00240D53" w:rsidRDefault="00240D53" w:rsidP="005605E0">
            <w:pPr>
              <w:jc w:val="both"/>
            </w:pPr>
          </w:p>
        </w:tc>
      </w:tr>
      <w:tr w:rsidR="00240D53" w14:paraId="2818CD6C" w14:textId="77777777" w:rsidTr="00BA66CA">
        <w:tc>
          <w:tcPr>
            <w:tcW w:w="9212" w:type="dxa"/>
          </w:tcPr>
          <w:p w14:paraId="17EADC79" w14:textId="563C34C4" w:rsidR="00240D53" w:rsidRPr="008E2FA3" w:rsidRDefault="00240D53" w:rsidP="008866ED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</w:tbl>
    <w:p w14:paraId="00E68E89" w14:textId="5C014A4F" w:rsidR="00994108" w:rsidRPr="004B1D57" w:rsidRDefault="00994108" w:rsidP="005605E0">
      <w:pPr>
        <w:jc w:val="both"/>
        <w:rPr>
          <w:b/>
          <w:u w:val="single"/>
        </w:rPr>
      </w:pPr>
      <w:r w:rsidRPr="004B1D57">
        <w:rPr>
          <w:b/>
          <w:u w:val="single"/>
        </w:rPr>
        <w:t>Rozvoj VR</w:t>
      </w:r>
      <w:r w:rsidR="003C2712">
        <w:rPr>
          <w:b/>
          <w:u w:val="single"/>
        </w:rPr>
        <w:t>T</w:t>
      </w:r>
      <w:r w:rsidRPr="004B1D57">
        <w:rPr>
          <w:b/>
          <w:u w:val="single"/>
        </w:rPr>
        <w:t xml:space="preserve"> v Evropě a sousedních zemích – známá a dostupná technologie</w:t>
      </w:r>
    </w:p>
    <w:p w14:paraId="44447E5C" w14:textId="51FC7974" w:rsidR="00065CD2" w:rsidRDefault="00065CD2" w:rsidP="00065CD2">
      <w:pPr>
        <w:jc w:val="both"/>
      </w:pPr>
      <w:r>
        <w:t>S ohledem na významný podíl mezistátní dopravy na vysokorychlostních tratích je nutné brát ohled rovněž na koncepci rychlé železnice v okolních státech.</w:t>
      </w:r>
      <w:r w:rsidR="00CE334F">
        <w:t xml:space="preserve"> Síť vysokorychlostních tratí je definována pro celou Evropu v nařízení č. 1315/2013/EU.</w:t>
      </w:r>
      <w:r>
        <w:t xml:space="preserve"> V současném stavu je k dispozici funkční síť vysokorychlostních tratí ve Spolkové republice Německo. Na území Německa je vysokorychlostní železniční doprava řešena různým způsobem v závislosti na konkrétních podmínkách pro jednotlivé relace s rychlostním rozmezím 200 – 330 km/h. Významné je rovněž napojení na vysokorychlostní síť v Polsku, kde je v současném stavu provozována trať Katowice/Kr</w:t>
      </w:r>
      <w:r w:rsidR="00C11995">
        <w:t>aków – Warszawa s rychlostí 200 </w:t>
      </w:r>
      <w:r>
        <w:t>km/h</w:t>
      </w:r>
      <w:r w:rsidR="00D466D8">
        <w:t xml:space="preserve"> (výhledově až 250)</w:t>
      </w:r>
      <w:r>
        <w:t>, v přípravě je pak projekt vysokorychlostních tratí Warszawa – Wroclaw/Poznan</w:t>
      </w:r>
      <w:r w:rsidR="008F1150">
        <w:t>, který je součástí sítě TEN-T</w:t>
      </w:r>
      <w:r>
        <w:t xml:space="preserve">. V Rakousku se předpokládá modernizace současných nejvýznamnějších tratí se zvýšením rychlostí na 200 – 250 km/h, </w:t>
      </w:r>
      <w:r w:rsidR="00C11995">
        <w:t>ve vztahu k České republice se předpokládá zvýšení traťové rychlosti v úseku Wien – Břeclav do rychlosti 160 km/h. S</w:t>
      </w:r>
      <w:r>
        <w:t> ohledem na nepříznivé terénní podmínky se provoz vyššími rychlostmi nepředpokládá. Slovensko rovněž př</w:t>
      </w:r>
      <w:r w:rsidR="008F1150">
        <w:t>edpokládá modernizaci současné konvenční trati</w:t>
      </w:r>
      <w:r>
        <w:t xml:space="preserve"> </w:t>
      </w:r>
      <w:r w:rsidR="008F1150">
        <w:t xml:space="preserve">Kúty st. hr. – Bratislava – Štúrovo st. hr. (Budapest) </w:t>
      </w:r>
      <w:r>
        <w:t>na rychlost cca 200 km/h bez zřízení novostaveb vysokorychlostních tratí.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0B48B9" w14:paraId="14C470EA" w14:textId="77777777" w:rsidTr="00BA66CA">
        <w:tc>
          <w:tcPr>
            <w:tcW w:w="9212" w:type="dxa"/>
          </w:tcPr>
          <w:p w14:paraId="12B0694D" w14:textId="77777777" w:rsidR="000B48B9" w:rsidRDefault="000B48B9" w:rsidP="00CE334F">
            <w:pPr>
              <w:jc w:val="center"/>
            </w:pPr>
            <w:r w:rsidRPr="000B48B9">
              <w:rPr>
                <w:noProof/>
              </w:rPr>
              <w:lastRenderedPageBreak/>
              <w:drawing>
                <wp:inline distT="0" distB="0" distL="0" distR="0" wp14:anchorId="554CD02A" wp14:editId="064CAF2C">
                  <wp:extent cx="5057513" cy="6343650"/>
                  <wp:effectExtent l="0" t="0" r="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0237" cy="6409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8B9" w14:paraId="76979510" w14:textId="77777777" w:rsidTr="00BA66CA">
        <w:tc>
          <w:tcPr>
            <w:tcW w:w="9212" w:type="dxa"/>
          </w:tcPr>
          <w:p w14:paraId="4F2C6E7D" w14:textId="1982A019" w:rsidR="000B48B9" w:rsidRPr="000B48B9" w:rsidRDefault="00FF145E" w:rsidP="00FF145E">
            <w:pPr>
              <w:jc w:val="center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  <w:sz w:val="22"/>
              </w:rPr>
              <w:t>EU schválená m</w:t>
            </w:r>
            <w:r w:rsidR="000B48B9" w:rsidRPr="000B48B9">
              <w:rPr>
                <w:rFonts w:asciiTheme="minorHAnsi" w:hAnsiTheme="minorHAnsi"/>
                <w:i/>
                <w:sz w:val="22"/>
              </w:rPr>
              <w:t>apa sítě TEN-T pro osobní železniční dopravu</w:t>
            </w:r>
            <w:r w:rsidR="00CE334F">
              <w:rPr>
                <w:rFonts w:asciiTheme="minorHAnsi" w:hAnsiTheme="minorHAnsi"/>
                <w:i/>
                <w:sz w:val="22"/>
              </w:rPr>
              <w:t xml:space="preserve"> dle nařízení č. 1315/2013/EU</w:t>
            </w:r>
          </w:p>
        </w:tc>
      </w:tr>
    </w:tbl>
    <w:p w14:paraId="7E496605" w14:textId="78ACF80C" w:rsidR="00994108" w:rsidRPr="004B1D57" w:rsidRDefault="00994108" w:rsidP="005605E0">
      <w:pPr>
        <w:jc w:val="both"/>
        <w:rPr>
          <w:b/>
          <w:u w:val="single"/>
        </w:rPr>
      </w:pPr>
      <w:r w:rsidRPr="004B1D57">
        <w:rPr>
          <w:b/>
          <w:u w:val="single"/>
        </w:rPr>
        <w:t>Alternativy možného vývoje</w:t>
      </w:r>
    </w:p>
    <w:p w14:paraId="60DBCCBE" w14:textId="77777777" w:rsidR="002A0710" w:rsidRDefault="002A0710" w:rsidP="002A0710">
      <w:pPr>
        <w:jc w:val="both"/>
      </w:pPr>
      <w:r>
        <w:t>Při komplexním řešení možného budoucího vývoje dopravní obsluhy ČR byly posouzeny i možné alternativy k rozvoji rychlých železničních spojení.</w:t>
      </w:r>
    </w:p>
    <w:p w14:paraId="6B4A89D6" w14:textId="3D57871A" w:rsidR="002A0710" w:rsidRPr="001F1FAA" w:rsidRDefault="002A0710" w:rsidP="001F1FAA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1F1FAA">
        <w:rPr>
          <w:b/>
        </w:rPr>
        <w:t>Rozvoj konvenční železnice</w:t>
      </w:r>
    </w:p>
    <w:p w14:paraId="2596B767" w14:textId="3CA4C5C1" w:rsidR="002A0710" w:rsidRDefault="002A0710" w:rsidP="002A0710">
      <w:pPr>
        <w:jc w:val="both"/>
      </w:pPr>
      <w:r>
        <w:t>Posouzeny byly především možnosti rozvoje konvenční železniční sítě</w:t>
      </w:r>
      <w:r w:rsidR="00CD62E5">
        <w:t xml:space="preserve"> nad rámec schválených investičních akcí</w:t>
      </w:r>
      <w:r>
        <w:t xml:space="preserve">. V jejím rámci byly identifikovány trati vhodné k prověření nezávisle na realizaci koncepce rychlých železničních spojení a trati vhodné k prověření v případě nerealizace této koncepce. V takovém případě lze za problematické považovat především </w:t>
      </w:r>
      <w:r w:rsidR="00375749">
        <w:t>problematiku</w:t>
      </w:r>
      <w:r w:rsidR="001F1FAA">
        <w:t xml:space="preserve"> </w:t>
      </w:r>
      <w:r>
        <w:t xml:space="preserve">železničních uzlů Praha a Brno, dále pak trať Přerov – Ostrava. </w:t>
      </w:r>
      <w:r w:rsidR="006929FE">
        <w:t xml:space="preserve">Tyto problémy je třeba řešit souběžně s prvními studiemi proveditelnosti na traťové úseky RS. </w:t>
      </w:r>
      <w:r>
        <w:t>Zkapacitnění je rovněž navrženo prověřit v oblasti České Třebové s ohledem na spojení významných železničních tratí v této oblasti.</w:t>
      </w:r>
      <w:r w:rsidR="008F1150">
        <w:t xml:space="preserve"> Výhodou této </w:t>
      </w:r>
      <w:r w:rsidR="008F1150">
        <w:lastRenderedPageBreak/>
        <w:t xml:space="preserve">alternativy je nižší míra rizik v porovnání s rozvojem Rychlých spojení. Tento scénář </w:t>
      </w:r>
      <w:r w:rsidR="00D466D8">
        <w:t xml:space="preserve">nebyl dále sledován </w:t>
      </w:r>
      <w:r w:rsidR="008F1150">
        <w:t xml:space="preserve">především s ohledem na </w:t>
      </w:r>
      <w:r w:rsidR="00D466D8">
        <w:t xml:space="preserve">neodstranění </w:t>
      </w:r>
      <w:r w:rsidR="008F1150">
        <w:t>kapacitních problémů a poměrně dlouhých cestovních časů mezi Prahou a Brnem.</w:t>
      </w:r>
      <w:r w:rsidR="003A7237">
        <w:t xml:space="preserve"> </w:t>
      </w:r>
      <w:r w:rsidR="00FB1DB2">
        <w:t>Tato alternativa bude vyžadovat investice přibližně v rozsahu 250 – 300 mld. Kč.</w:t>
      </w:r>
    </w:p>
    <w:p w14:paraId="2206AA2F" w14:textId="4402E5F7" w:rsidR="002A0710" w:rsidRPr="001F1FAA" w:rsidRDefault="002A0710" w:rsidP="001F1FAA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1F1FAA">
        <w:rPr>
          <w:b/>
        </w:rPr>
        <w:t>Inovativní dopravní technologie</w:t>
      </w:r>
    </w:p>
    <w:p w14:paraId="74BB96A7" w14:textId="7BB4532E" w:rsidR="002A0710" w:rsidRDefault="002A0710" w:rsidP="002A0710">
      <w:pPr>
        <w:jc w:val="both"/>
      </w:pPr>
      <w:r>
        <w:t>V rámci řešení je nutné posoudit rovněž možnosti rozšíření inovativních dopravních technologií, které jsou v současné době ve vývoji nebo zkušebn</w:t>
      </w:r>
      <w:r w:rsidR="006A5F35">
        <w:t>ím provozu. Jedná se zejména o H</w:t>
      </w:r>
      <w:r>
        <w:t>yperloop s navrženou technologií pohybu kapslí v tunelu se sníženým tlakem vzduchu a tedy nižším třením. Dále možné řešení představuje technologie Maglev, kde se vlaky pohybují po magnetické dráze bez přímého kontaktu mezi tratí a vlakem. Obě technologie nejsou interoperabilní se současnou železniční sítí a nejistota jejich rozvoje představuje značné riziko pro budoucí zajištění dopravní obslužnosti území.</w:t>
      </w:r>
      <w:r w:rsidR="008F1150">
        <w:t xml:space="preserve"> Z tohoto důvodu byla možnost rozvoje inovativních dopravních technologií zavržena.</w:t>
      </w:r>
    </w:p>
    <w:p w14:paraId="5026DDDB" w14:textId="77777777" w:rsidR="002A0710" w:rsidRPr="001F1FAA" w:rsidRDefault="002A0710" w:rsidP="001F1FAA">
      <w:pPr>
        <w:jc w:val="both"/>
        <w:rPr>
          <w:b/>
          <w:u w:val="single"/>
        </w:rPr>
      </w:pPr>
      <w:r w:rsidRPr="001F1FAA">
        <w:rPr>
          <w:b/>
          <w:u w:val="single"/>
        </w:rPr>
        <w:t>Hlavní identifikované příležitosti</w:t>
      </w:r>
    </w:p>
    <w:p w14:paraId="7E1A0601" w14:textId="20DDDA42" w:rsidR="002A0710" w:rsidRDefault="002A0710" w:rsidP="002A0710">
      <w:pPr>
        <w:jc w:val="both"/>
      </w:pPr>
      <w:r>
        <w:t xml:space="preserve">Nejvýznamnější příležitosti pro rozvoj rychlé železniční dopravy byly identifikovány ve směru východního a východostředomořského koridoru hlavní sítě TEN-T. Značný význam byl identifikován rovněž ve směru rýnsko-dunajského koridoru hlavní sítě TEN-T (zejména trasa Praha – Brno – Ostrava) a také ve směru baltsko-jaderského koridoru (trasa Brno – Ostrava – Polsko). Do budoucna je pak </w:t>
      </w:r>
      <w:r w:rsidR="00764E90">
        <w:t xml:space="preserve">případně možné </w:t>
      </w:r>
      <w:r>
        <w:t xml:space="preserve">rozšíření těchto příležitostí také o směry Praha – München/Nürnberg a Praha – Wroclaw. </w:t>
      </w:r>
    </w:p>
    <w:p w14:paraId="47654056" w14:textId="77777777" w:rsidR="002A0710" w:rsidRPr="008D4F99" w:rsidRDefault="002A0710" w:rsidP="008D4F99">
      <w:pPr>
        <w:jc w:val="both"/>
        <w:rPr>
          <w:b/>
          <w:u w:val="single"/>
        </w:rPr>
      </w:pPr>
      <w:r w:rsidRPr="008D4F99">
        <w:rPr>
          <w:b/>
          <w:u w:val="single"/>
        </w:rPr>
        <w:t>Předpokládané vysokorychlostní tratě</w:t>
      </w:r>
    </w:p>
    <w:p w14:paraId="1261F358" w14:textId="5ED6840A" w:rsidR="002A0710" w:rsidRDefault="002A0710" w:rsidP="002A0710">
      <w:pPr>
        <w:jc w:val="both"/>
      </w:pPr>
      <w:r>
        <w:t>V rámci koncepce rychlých železničních spojení se předpokládá stavba především vysokorychlostních tratí Praha – Brno – Vranovice, Přerov – Ostrava, Praha – Dresden a Praha – Beroun/Hořovice. V úseku Brno – Přerov se předpokládá modernizace současné konvenční trati na rychlost 200 km/h</w:t>
      </w:r>
      <w:r w:rsidR="0007465D">
        <w:t xml:space="preserve"> dle </w:t>
      </w:r>
      <w:r w:rsidR="00F67DEA">
        <w:t xml:space="preserve">ministerstvem dopravy </w:t>
      </w:r>
      <w:r w:rsidR="0007465D">
        <w:t>schválené studie proveditelnosti</w:t>
      </w:r>
      <w:r w:rsidR="001F1FAA">
        <w:t>, kde bylo ověřeno, že tato trať kapacitně vyhoví i očekávatelnému rozsahu provozu vysokorychlostní dopravy v relaci Praha – Brno - Ostrava</w:t>
      </w:r>
      <w:r>
        <w:t>.</w:t>
      </w:r>
      <w:r w:rsidR="001F1FAA">
        <w:t xml:space="preserve"> Pokud by se v budoucnu ukázalo</w:t>
      </w:r>
      <w:r w:rsidR="00F67DEA">
        <w:t xml:space="preserve"> a obhájilo</w:t>
      </w:r>
      <w:r w:rsidR="001F1FAA">
        <w:t xml:space="preserve">, že zájem o dopravu bude větší, než </w:t>
      </w:r>
      <w:r w:rsidR="00F67DEA">
        <w:t>je dnes předpokládán</w:t>
      </w:r>
      <w:r w:rsidR="001F1FAA">
        <w:t xml:space="preserve"> a že daná trať znamená omezení pro vysokorychlostní provoz</w:t>
      </w:r>
      <w:r w:rsidR="008D4F99">
        <w:t>,</w:t>
      </w:r>
      <w:r>
        <w:t xml:space="preserve"> </w:t>
      </w:r>
      <w:r w:rsidR="001F1FAA">
        <w:t xml:space="preserve">bude možné </w:t>
      </w:r>
      <w:r w:rsidR="009912E6">
        <w:t xml:space="preserve">z titulu územních ochrany </w:t>
      </w:r>
      <w:r w:rsidR="001F1FAA">
        <w:t>přistoupit k</w:t>
      </w:r>
      <w:r w:rsidR="009912E6">
        <w:t xml:space="preserve"> přípravě i nové kolejové kapacity </w:t>
      </w:r>
      <w:r w:rsidR="001F1FAA">
        <w:t xml:space="preserve">i v tomto úseku. </w:t>
      </w:r>
      <w:r w:rsidR="008D4F99">
        <w:t xml:space="preserve">To platí i pro úsek Beroun/Hořovice – Rokycany a Stod – státní hranice CZ/D. </w:t>
      </w:r>
      <w:r>
        <w:t xml:space="preserve">V souvislosti s novostavbou vysokorychlostních tratí je nutné dále řešit potřebné úpravy tratí konvenčních pro jejich zapojení, zejména se jedná o </w:t>
      </w:r>
      <w:r w:rsidR="006929FE">
        <w:t>nutné současné řešení modernizací</w:t>
      </w:r>
      <w:r w:rsidR="0007465D">
        <w:t xml:space="preserve"> železničních uzlů</w:t>
      </w:r>
      <w:r>
        <w:t xml:space="preserve"> Praha</w:t>
      </w:r>
      <w:r w:rsidR="0007465D">
        <w:t xml:space="preserve"> a Brno</w:t>
      </w:r>
      <w:r>
        <w:t>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0B48B9" w14:paraId="5885FD93" w14:textId="77777777" w:rsidTr="00BA66CA">
        <w:tc>
          <w:tcPr>
            <w:tcW w:w="9212" w:type="dxa"/>
          </w:tcPr>
          <w:p w14:paraId="52C1311D" w14:textId="77777777" w:rsidR="000B48B9" w:rsidRDefault="000B48B9" w:rsidP="002A0710">
            <w:pPr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277670DA" wp14:editId="05D417D1">
                  <wp:extent cx="5781675" cy="3531334"/>
                  <wp:effectExtent l="0" t="0" r="0" b="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ychlá spojení mapa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630" cy="3537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8B9" w14:paraId="569A01DF" w14:textId="77777777" w:rsidTr="00BA66CA">
        <w:tc>
          <w:tcPr>
            <w:tcW w:w="9212" w:type="dxa"/>
          </w:tcPr>
          <w:p w14:paraId="275DDAA7" w14:textId="77777777" w:rsidR="000B48B9" w:rsidRPr="000B48B9" w:rsidRDefault="000B48B9" w:rsidP="000B48B9">
            <w:pPr>
              <w:jc w:val="center"/>
              <w:rPr>
                <w:rFonts w:asciiTheme="minorHAnsi" w:hAnsiTheme="minorHAnsi"/>
                <w:i/>
              </w:rPr>
            </w:pPr>
            <w:r w:rsidRPr="000B48B9">
              <w:rPr>
                <w:rFonts w:asciiTheme="minorHAnsi" w:hAnsiTheme="minorHAnsi"/>
                <w:i/>
                <w:sz w:val="22"/>
              </w:rPr>
              <w:t>Mapa předpokládané sítě Rychlých spojení</w:t>
            </w:r>
          </w:p>
        </w:tc>
      </w:tr>
    </w:tbl>
    <w:p w14:paraId="6D46B39B" w14:textId="77777777" w:rsidR="000B48B9" w:rsidRDefault="000B48B9" w:rsidP="002A0710">
      <w:pPr>
        <w:jc w:val="both"/>
      </w:pPr>
    </w:p>
    <w:p w14:paraId="4C653B37" w14:textId="77777777" w:rsidR="004B1D57" w:rsidRPr="008D4F99" w:rsidRDefault="004B1D57" w:rsidP="008D4F99">
      <w:pPr>
        <w:jc w:val="both"/>
        <w:rPr>
          <w:b/>
          <w:u w:val="single"/>
        </w:rPr>
      </w:pPr>
      <w:r w:rsidRPr="008D4F99">
        <w:rPr>
          <w:b/>
          <w:u w:val="single"/>
        </w:rPr>
        <w:t>Technické řešení</w:t>
      </w:r>
    </w:p>
    <w:p w14:paraId="629D9B33" w14:textId="6D59E919" w:rsidR="004B1D57" w:rsidRDefault="004B1D57" w:rsidP="002A0710">
      <w:pPr>
        <w:jc w:val="both"/>
      </w:pPr>
      <w:r>
        <w:t>Technické parametry budoucích vysokorychlostních tratí musí splňovat technické specifikace interoperability, samotný návrh technického řešení bude předmětem projekčních prací pro jednotlivé VRT. Zabezpečovací zařízení se předpokládá v plném rozsahu ETCS.</w:t>
      </w:r>
      <w:r w:rsidR="008D4F99">
        <w:t xml:space="preserve"> Při zpracování studií proveditelnosti musí být kladen zvýšený důraz na průchodnost trasy územím, včetně omezení zásahů do chráněných přírodních fenoménů a omezení vlivu hluku na zástavbu v okolí VRT.</w:t>
      </w:r>
    </w:p>
    <w:p w14:paraId="5357D4C9" w14:textId="77777777" w:rsidR="009C5AB4" w:rsidRPr="008D4F99" w:rsidRDefault="009C5AB4" w:rsidP="008D4F99">
      <w:pPr>
        <w:jc w:val="both"/>
        <w:rPr>
          <w:b/>
          <w:u w:val="single"/>
        </w:rPr>
      </w:pPr>
      <w:r w:rsidRPr="008D4F99">
        <w:rPr>
          <w:b/>
          <w:u w:val="single"/>
        </w:rPr>
        <w:t>Přepravní podmínky</w:t>
      </w:r>
    </w:p>
    <w:p w14:paraId="6B8AF404" w14:textId="77777777" w:rsidR="009C5AB4" w:rsidRDefault="009C5AB4" w:rsidP="009C5AB4">
      <w:pPr>
        <w:jc w:val="both"/>
      </w:pPr>
      <w:r>
        <w:t>Z pohledu cestující veřejnosti jsou zásadní především přepravní podmínky v budoucích vysokorychlostních vlacích, zejména cena jízdného a rozsah dopravní obsluhy.</w:t>
      </w:r>
    </w:p>
    <w:p w14:paraId="4CC024DB" w14:textId="77777777" w:rsidR="009C5AB4" w:rsidRPr="001B1042" w:rsidRDefault="009C5AB4" w:rsidP="006238D4">
      <w:pPr>
        <w:jc w:val="both"/>
        <w:rPr>
          <w:b/>
        </w:rPr>
      </w:pPr>
      <w:bookmarkStart w:id="0" w:name="_GoBack"/>
      <w:bookmarkEnd w:id="0"/>
      <w:r w:rsidRPr="001B1042">
        <w:rPr>
          <w:b/>
        </w:rPr>
        <w:t>Jízdné</w:t>
      </w:r>
    </w:p>
    <w:p w14:paraId="0252B284" w14:textId="23563C09" w:rsidR="009C5AB4" w:rsidRDefault="009C5AB4" w:rsidP="009C5AB4">
      <w:pPr>
        <w:jc w:val="both"/>
      </w:pPr>
      <w:r>
        <w:t>Zásadním parametrem ovlivňujícím poptávku po vysokorychlostní železniční dopravě bude zejména výše jízdného. V zákla</w:t>
      </w:r>
      <w:r w:rsidR="008D4F99">
        <w:t>dním scénáři není zájmem výrazně</w:t>
      </w:r>
      <w:r>
        <w:t xml:space="preserve"> navyšov</w:t>
      </w:r>
      <w:r w:rsidR="008D4F99">
        <w:t>at</w:t>
      </w:r>
      <w:r>
        <w:t xml:space="preserve"> úhrady prokazatelné ztráty z provozu železniční dopravy, ale </w:t>
      </w:r>
      <w:r w:rsidR="008D4F99">
        <w:t xml:space="preserve">zajistit </w:t>
      </w:r>
      <w:r>
        <w:t xml:space="preserve">pokrytí většiny nákladů spojených s provozem nových spojů právě z jízdného. </w:t>
      </w:r>
      <w:r w:rsidR="009D2311">
        <w:t xml:space="preserve">Investiční náklady do VRT nelze dle platného práva EU rozpouštět do poplatku za použití železniční dopravní cesty. </w:t>
      </w:r>
      <w:r>
        <w:t xml:space="preserve">Na základě </w:t>
      </w:r>
      <w:r w:rsidR="009D2311">
        <w:t>těchto</w:t>
      </w:r>
      <w:r>
        <w:t xml:space="preserve"> znalostí byl proveden </w:t>
      </w:r>
      <w:r w:rsidRPr="00AA2E89">
        <w:rPr>
          <w:b/>
        </w:rPr>
        <w:t>orientační výpočet</w:t>
      </w:r>
      <w:r>
        <w:t xml:space="preserve"> výše jízdného ve vysokorychlostních vlacích </w:t>
      </w:r>
      <w:r w:rsidR="009D2311">
        <w:t xml:space="preserve">v současných cenách (2016) </w:t>
      </w:r>
      <w:r>
        <w:t xml:space="preserve">s výsledkem </w:t>
      </w:r>
      <w:r w:rsidR="009D2311">
        <w:t xml:space="preserve">cca </w:t>
      </w:r>
      <w:r w:rsidR="009D2311" w:rsidRPr="009D2311">
        <w:rPr>
          <w:b/>
        </w:rPr>
        <w:t>1</w:t>
      </w:r>
      <w:r w:rsidRPr="009D2311">
        <w:rPr>
          <w:b/>
        </w:rPr>
        <w:t xml:space="preserve"> Kč/km</w:t>
      </w:r>
      <w:r w:rsidR="0007465D">
        <w:t xml:space="preserve"> při průměrné obsazenosti souprav 60 % míst k se</w:t>
      </w:r>
      <w:r w:rsidR="00AA2E89">
        <w:t>zení</w:t>
      </w:r>
      <w:r>
        <w:t>. Tato cena může být v konkrétních případech odlišná, představuje však základní možnost dostupného jízdného pro cestující.</w:t>
      </w:r>
    </w:p>
    <w:p w14:paraId="166A4DE1" w14:textId="77777777" w:rsidR="009D2311" w:rsidRDefault="008866ED" w:rsidP="009C5AB4">
      <w:pPr>
        <w:jc w:val="both"/>
      </w:pPr>
      <w:r>
        <w:tab/>
      </w:r>
    </w:p>
    <w:p w14:paraId="67BE7128" w14:textId="77777777" w:rsidR="009D2311" w:rsidRDefault="009D2311">
      <w:r>
        <w:br w:type="page"/>
      </w:r>
    </w:p>
    <w:p w14:paraId="2470C27C" w14:textId="073A6EEF" w:rsidR="009C5AB4" w:rsidRPr="001B1042" w:rsidRDefault="009C5AB4" w:rsidP="009C5AB4">
      <w:pPr>
        <w:jc w:val="both"/>
        <w:rPr>
          <w:b/>
        </w:rPr>
      </w:pPr>
      <w:r w:rsidRPr="001B1042">
        <w:rPr>
          <w:b/>
        </w:rPr>
        <w:lastRenderedPageBreak/>
        <w:t>Dopravní obsluha</w:t>
      </w:r>
    </w:p>
    <w:p w14:paraId="38A7AA09" w14:textId="762BBCA9" w:rsidR="008866ED" w:rsidRDefault="009C5AB4" w:rsidP="00673B7A">
      <w:pPr>
        <w:jc w:val="both"/>
      </w:pPr>
      <w:r>
        <w:t xml:space="preserve">V současném stupni poznání nelze zcela předjímat budoucí linkové vedení vysokorychlostních vlaků, </w:t>
      </w:r>
      <w:r w:rsidR="00AA2E89">
        <w:t xml:space="preserve">přesto však </w:t>
      </w:r>
      <w:r>
        <w:t xml:space="preserve">byl </w:t>
      </w:r>
      <w:r w:rsidR="00AA2E89">
        <w:t>s</w:t>
      </w:r>
      <w:r>
        <w:t>tanoven předpokl</w:t>
      </w:r>
      <w:r w:rsidR="00AA2E89">
        <w:t xml:space="preserve">ádaný </w:t>
      </w:r>
      <w:r>
        <w:t>rozsahu provozu</w:t>
      </w:r>
      <w:r w:rsidR="00AA2E89">
        <w:t xml:space="preserve"> v osobní dopravě</w:t>
      </w:r>
      <w:r>
        <w:t xml:space="preserve"> na jednotlivých novostavbách vysokorychlostních tratí: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6"/>
        <w:gridCol w:w="992"/>
        <w:gridCol w:w="1552"/>
      </w:tblGrid>
      <w:tr w:rsidR="009C5AB4" w14:paraId="69952834" w14:textId="77777777" w:rsidTr="00F2436D">
        <w:tc>
          <w:tcPr>
            <w:tcW w:w="6516" w:type="dxa"/>
            <w:shd w:val="clear" w:color="auto" w:fill="D0CECE" w:themeFill="background2" w:themeFillShade="E6"/>
          </w:tcPr>
          <w:p w14:paraId="24344D62" w14:textId="77777777" w:rsidR="009C5AB4" w:rsidRDefault="009C5AB4" w:rsidP="00420F24">
            <w:pPr>
              <w:spacing w:before="120"/>
              <w:jc w:val="both"/>
            </w:pPr>
            <w:r>
              <w:t>Úsek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05895F14" w14:textId="77777777" w:rsidR="009C5AB4" w:rsidRDefault="009C5AB4" w:rsidP="00420F24">
            <w:pPr>
              <w:spacing w:before="120"/>
              <w:jc w:val="both"/>
            </w:pPr>
            <w:r>
              <w:t>Takt</w:t>
            </w:r>
          </w:p>
        </w:tc>
        <w:tc>
          <w:tcPr>
            <w:tcW w:w="1552" w:type="dxa"/>
            <w:shd w:val="clear" w:color="auto" w:fill="D0CECE" w:themeFill="background2" w:themeFillShade="E6"/>
          </w:tcPr>
          <w:p w14:paraId="021137C5" w14:textId="77777777" w:rsidR="009C5AB4" w:rsidRDefault="009C5AB4" w:rsidP="00420F24">
            <w:pPr>
              <w:spacing w:before="120"/>
              <w:jc w:val="both"/>
            </w:pPr>
            <w:r>
              <w:t>Obsaditelnost</w:t>
            </w:r>
          </w:p>
        </w:tc>
      </w:tr>
      <w:tr w:rsidR="009C5AB4" w14:paraId="112048D0" w14:textId="77777777" w:rsidTr="00420F24">
        <w:tc>
          <w:tcPr>
            <w:tcW w:w="6516" w:type="dxa"/>
          </w:tcPr>
          <w:p w14:paraId="1A34301B" w14:textId="77777777" w:rsidR="009C5AB4" w:rsidRDefault="009C5AB4" w:rsidP="00420F24">
            <w:pPr>
              <w:spacing w:before="120"/>
              <w:jc w:val="both"/>
            </w:pPr>
            <w:r>
              <w:t>Dresden – Ústí nad Labem</w:t>
            </w:r>
          </w:p>
        </w:tc>
        <w:tc>
          <w:tcPr>
            <w:tcW w:w="992" w:type="dxa"/>
          </w:tcPr>
          <w:p w14:paraId="5F2644CA" w14:textId="77777777" w:rsidR="009C5AB4" w:rsidRDefault="009C5AB4" w:rsidP="00420F24">
            <w:pPr>
              <w:spacing w:before="120"/>
              <w:jc w:val="both"/>
            </w:pPr>
            <w:r>
              <w:t>60</w:t>
            </w:r>
          </w:p>
        </w:tc>
        <w:tc>
          <w:tcPr>
            <w:tcW w:w="1552" w:type="dxa"/>
          </w:tcPr>
          <w:p w14:paraId="5A29D013" w14:textId="77777777" w:rsidR="009C5AB4" w:rsidRDefault="009C5AB4" w:rsidP="00420F24">
            <w:pPr>
              <w:spacing w:before="120"/>
              <w:jc w:val="both"/>
            </w:pPr>
            <w:r>
              <w:t>450 (900)</w:t>
            </w:r>
          </w:p>
        </w:tc>
      </w:tr>
      <w:tr w:rsidR="009C5AB4" w14:paraId="362962C8" w14:textId="77777777" w:rsidTr="00420F24">
        <w:tc>
          <w:tcPr>
            <w:tcW w:w="6516" w:type="dxa"/>
          </w:tcPr>
          <w:p w14:paraId="1E961A39" w14:textId="77777777" w:rsidR="009C5AB4" w:rsidRDefault="009C5AB4" w:rsidP="00420F24">
            <w:pPr>
              <w:spacing w:before="120"/>
              <w:jc w:val="both"/>
            </w:pPr>
            <w:r>
              <w:t>Ústí nad Labem – Praha</w:t>
            </w:r>
          </w:p>
        </w:tc>
        <w:tc>
          <w:tcPr>
            <w:tcW w:w="992" w:type="dxa"/>
          </w:tcPr>
          <w:p w14:paraId="7F78BB32" w14:textId="77777777" w:rsidR="009C5AB4" w:rsidRDefault="009C5AB4" w:rsidP="00420F24">
            <w:pPr>
              <w:spacing w:before="120"/>
              <w:jc w:val="both"/>
            </w:pPr>
            <w:r>
              <w:t>30</w:t>
            </w:r>
          </w:p>
        </w:tc>
        <w:tc>
          <w:tcPr>
            <w:tcW w:w="1552" w:type="dxa"/>
          </w:tcPr>
          <w:p w14:paraId="55B259BC" w14:textId="77777777" w:rsidR="009C5AB4" w:rsidRDefault="009C5AB4" w:rsidP="00420F24">
            <w:pPr>
              <w:spacing w:before="120"/>
              <w:jc w:val="both"/>
            </w:pPr>
            <w:r>
              <w:t>450 (900)</w:t>
            </w:r>
          </w:p>
        </w:tc>
      </w:tr>
      <w:tr w:rsidR="009C5AB4" w14:paraId="5DBB7AC8" w14:textId="77777777" w:rsidTr="00420F24">
        <w:tc>
          <w:tcPr>
            <w:tcW w:w="6516" w:type="dxa"/>
          </w:tcPr>
          <w:p w14:paraId="6CBF5231" w14:textId="77777777" w:rsidR="009C5AB4" w:rsidRDefault="009C5AB4" w:rsidP="00420F24">
            <w:pPr>
              <w:spacing w:before="120"/>
              <w:jc w:val="both"/>
            </w:pPr>
            <w:r>
              <w:t>Plzeň – Praha</w:t>
            </w:r>
          </w:p>
        </w:tc>
        <w:tc>
          <w:tcPr>
            <w:tcW w:w="992" w:type="dxa"/>
          </w:tcPr>
          <w:p w14:paraId="02C12335" w14:textId="77777777" w:rsidR="009C5AB4" w:rsidRDefault="009C5AB4" w:rsidP="00420F24">
            <w:pPr>
              <w:spacing w:before="120"/>
              <w:jc w:val="both"/>
            </w:pPr>
            <w:r>
              <w:t>30 - 60</w:t>
            </w:r>
          </w:p>
        </w:tc>
        <w:tc>
          <w:tcPr>
            <w:tcW w:w="1552" w:type="dxa"/>
          </w:tcPr>
          <w:p w14:paraId="4670500A" w14:textId="77777777" w:rsidR="009C5AB4" w:rsidRDefault="009C5AB4" w:rsidP="00420F24">
            <w:pPr>
              <w:spacing w:before="120"/>
              <w:jc w:val="both"/>
            </w:pPr>
            <w:r>
              <w:t>450 (900)</w:t>
            </w:r>
          </w:p>
        </w:tc>
      </w:tr>
      <w:tr w:rsidR="009C5AB4" w14:paraId="410E7DD7" w14:textId="77777777" w:rsidTr="00420F24">
        <w:tc>
          <w:tcPr>
            <w:tcW w:w="6516" w:type="dxa"/>
          </w:tcPr>
          <w:p w14:paraId="7C6231C1" w14:textId="77777777" w:rsidR="009C5AB4" w:rsidRDefault="009C5AB4" w:rsidP="00420F24">
            <w:pPr>
              <w:spacing w:before="120"/>
              <w:jc w:val="both"/>
            </w:pPr>
            <w:r>
              <w:t>Praha – Brno</w:t>
            </w:r>
          </w:p>
        </w:tc>
        <w:tc>
          <w:tcPr>
            <w:tcW w:w="992" w:type="dxa"/>
          </w:tcPr>
          <w:p w14:paraId="5E1BB6EB" w14:textId="77777777" w:rsidR="009C5AB4" w:rsidRDefault="009C5AB4" w:rsidP="00420F24">
            <w:pPr>
              <w:spacing w:before="120"/>
              <w:jc w:val="both"/>
            </w:pPr>
            <w:r>
              <w:t>15</w:t>
            </w:r>
          </w:p>
        </w:tc>
        <w:tc>
          <w:tcPr>
            <w:tcW w:w="1552" w:type="dxa"/>
          </w:tcPr>
          <w:p w14:paraId="68452E4F" w14:textId="77777777" w:rsidR="009C5AB4" w:rsidRDefault="009C5AB4" w:rsidP="00420F24">
            <w:pPr>
              <w:spacing w:before="120"/>
              <w:jc w:val="both"/>
            </w:pPr>
            <w:r>
              <w:t>450 (900)</w:t>
            </w:r>
          </w:p>
        </w:tc>
      </w:tr>
      <w:tr w:rsidR="009C5AB4" w14:paraId="1BFD2F1F" w14:textId="77777777" w:rsidTr="00420F24">
        <w:tc>
          <w:tcPr>
            <w:tcW w:w="6516" w:type="dxa"/>
          </w:tcPr>
          <w:p w14:paraId="63FE8595" w14:textId="77777777" w:rsidR="009C5AB4" w:rsidRDefault="009C5AB4" w:rsidP="00420F24">
            <w:pPr>
              <w:spacing w:before="120"/>
              <w:jc w:val="both"/>
            </w:pPr>
            <w:r>
              <w:t>Brno – Břeclav ( - Wien/Bratislava)</w:t>
            </w:r>
          </w:p>
        </w:tc>
        <w:tc>
          <w:tcPr>
            <w:tcW w:w="992" w:type="dxa"/>
          </w:tcPr>
          <w:p w14:paraId="36579539" w14:textId="77777777" w:rsidR="009C5AB4" w:rsidRDefault="009C5AB4" w:rsidP="00420F24">
            <w:pPr>
              <w:spacing w:before="120"/>
              <w:jc w:val="both"/>
            </w:pPr>
            <w:r>
              <w:t>30</w:t>
            </w:r>
          </w:p>
        </w:tc>
        <w:tc>
          <w:tcPr>
            <w:tcW w:w="1552" w:type="dxa"/>
          </w:tcPr>
          <w:p w14:paraId="59047B5B" w14:textId="77777777" w:rsidR="009C5AB4" w:rsidRDefault="009C5AB4" w:rsidP="00420F24">
            <w:pPr>
              <w:spacing w:before="120"/>
              <w:jc w:val="both"/>
            </w:pPr>
            <w:r>
              <w:t>450 (900)</w:t>
            </w:r>
          </w:p>
        </w:tc>
      </w:tr>
      <w:tr w:rsidR="009C5AB4" w14:paraId="7372DC69" w14:textId="77777777" w:rsidTr="00420F24">
        <w:tc>
          <w:tcPr>
            <w:tcW w:w="6516" w:type="dxa"/>
          </w:tcPr>
          <w:p w14:paraId="5B0582AA" w14:textId="77777777" w:rsidR="009C5AB4" w:rsidRDefault="009C5AB4" w:rsidP="00420F24">
            <w:pPr>
              <w:spacing w:before="120"/>
              <w:jc w:val="both"/>
            </w:pPr>
            <w:r>
              <w:t>Brno - Ostrava</w:t>
            </w:r>
          </w:p>
        </w:tc>
        <w:tc>
          <w:tcPr>
            <w:tcW w:w="992" w:type="dxa"/>
          </w:tcPr>
          <w:p w14:paraId="7D729BC1" w14:textId="77777777" w:rsidR="009C5AB4" w:rsidRDefault="009C5AB4" w:rsidP="00420F24">
            <w:pPr>
              <w:spacing w:before="120"/>
              <w:jc w:val="both"/>
            </w:pPr>
            <w:r>
              <w:t>30</w:t>
            </w:r>
          </w:p>
        </w:tc>
        <w:tc>
          <w:tcPr>
            <w:tcW w:w="1552" w:type="dxa"/>
          </w:tcPr>
          <w:p w14:paraId="30CE3FD0" w14:textId="77777777" w:rsidR="009C5AB4" w:rsidRDefault="009C5AB4" w:rsidP="00420F24">
            <w:pPr>
              <w:spacing w:before="120"/>
              <w:jc w:val="both"/>
            </w:pPr>
            <w:r>
              <w:t>450 (900)</w:t>
            </w:r>
          </w:p>
        </w:tc>
      </w:tr>
    </w:tbl>
    <w:p w14:paraId="333368FD" w14:textId="5B930CB3" w:rsidR="00270E7C" w:rsidRDefault="00270E7C" w:rsidP="005605E0">
      <w:pPr>
        <w:jc w:val="both"/>
      </w:pPr>
    </w:p>
    <w:p w14:paraId="43AFFB5D" w14:textId="460D820D" w:rsidR="004B1D57" w:rsidRPr="009D2311" w:rsidRDefault="004B1D57" w:rsidP="009D2311">
      <w:pPr>
        <w:jc w:val="both"/>
        <w:rPr>
          <w:b/>
          <w:u w:val="single"/>
        </w:rPr>
      </w:pPr>
      <w:r w:rsidRPr="009D2311">
        <w:rPr>
          <w:b/>
          <w:u w:val="single"/>
        </w:rPr>
        <w:t>Investiční náročnost</w:t>
      </w:r>
      <w:r w:rsidR="00673B7A" w:rsidRPr="009D2311">
        <w:rPr>
          <w:b/>
          <w:u w:val="single"/>
        </w:rPr>
        <w:t xml:space="preserve"> koncepce rychlé železnice</w:t>
      </w:r>
    </w:p>
    <w:p w14:paraId="1CACFC19" w14:textId="6D0BF9B9" w:rsidR="00F2436D" w:rsidRDefault="004B1D57" w:rsidP="004B1D57">
      <w:pPr>
        <w:jc w:val="both"/>
      </w:pPr>
      <w:r>
        <w:t xml:space="preserve">Výše investičních nákladů na novostavbu budoucích vysokorychlostních tratí byla stanovena na základě zpracovaných územně-technických studií. Pro výše navrhovaný rozsah sítě pak investiční nároky představují cca </w:t>
      </w:r>
      <w:r w:rsidR="009D2311">
        <w:t>6</w:t>
      </w:r>
      <w:r w:rsidR="00673B7A">
        <w:t>5</w:t>
      </w:r>
      <w:r w:rsidR="009D2311">
        <w:t>0</w:t>
      </w:r>
      <w:r w:rsidR="00673B7A">
        <w:t xml:space="preserve"> mld. Kč</w:t>
      </w:r>
      <w:r>
        <w:t xml:space="preserve">. Další navýšení investiční náročnosti vysokorychlostních tratí </w:t>
      </w:r>
      <w:r w:rsidR="00673B7A">
        <w:t>může nastat</w:t>
      </w:r>
      <w:r>
        <w:t xml:space="preserve"> při zvyšování podrobnosti projekčního stupně a konkrétního technického řešení.</w:t>
      </w:r>
    </w:p>
    <w:p w14:paraId="347E3703" w14:textId="78FBB2A3" w:rsidR="00042E4D" w:rsidRPr="00042E4D" w:rsidRDefault="00042E4D" w:rsidP="004B1D57">
      <w:pPr>
        <w:jc w:val="both"/>
      </w:pPr>
      <w:r>
        <w:t xml:space="preserve">Zřízení nové vysokorychlostní železniční infrastruktury není spojeno pouze s investičními nároky, ale rovněž se značnými provozními náklady spojenými s potřebou zajištění bezpečného provozu </w:t>
      </w:r>
      <w:r w:rsidR="001872C4">
        <w:t xml:space="preserve">velmi </w:t>
      </w:r>
      <w:r>
        <w:t xml:space="preserve">vysokými rychlostmi. Na základě zahraničních zkušeností s provozem vysokorychlostních železnic jsou tyto náklady odhadovány na cca </w:t>
      </w:r>
      <w:r w:rsidR="009D2311">
        <w:t>2</w:t>
      </w:r>
      <w:r>
        <w:t xml:space="preserve"> mil. Kč/km ročně. V této souvislosti se předpokládá úhrada těchto nákladů z poplatku za použití dopravní cesty, který by v takovém případě nabýval podobných hodnot s dráhou celostátní, zařazenou do evropského železničního systému</w:t>
      </w:r>
      <w:r w:rsidR="0045015B">
        <w:t xml:space="preserve"> (přibližně 27 Kč/km pro 200 m dlouhý vysokorychlostní vlak)</w:t>
      </w:r>
      <w:r>
        <w:t>.</w:t>
      </w:r>
    </w:p>
    <w:p w14:paraId="691137AB" w14:textId="77777777" w:rsidR="004B1D57" w:rsidRPr="009D2311" w:rsidRDefault="004B1D57" w:rsidP="009D2311">
      <w:pPr>
        <w:jc w:val="both"/>
        <w:rPr>
          <w:b/>
          <w:u w:val="single"/>
        </w:rPr>
      </w:pPr>
      <w:r w:rsidRPr="009D2311">
        <w:rPr>
          <w:b/>
          <w:u w:val="single"/>
        </w:rPr>
        <w:t>Financování</w:t>
      </w:r>
    </w:p>
    <w:p w14:paraId="54918332" w14:textId="4EB97B0F" w:rsidR="004B1D57" w:rsidRDefault="004B1D57" w:rsidP="004B1D57">
      <w:pPr>
        <w:jc w:val="both"/>
      </w:pPr>
      <w:r>
        <w:t xml:space="preserve">S ohledem na dobu realizace staveb vysokorychlostních tratí bude pravděpodobně již jen omezená možnost zajištění evropského </w:t>
      </w:r>
      <w:r w:rsidR="009D2311">
        <w:t xml:space="preserve">grantového </w:t>
      </w:r>
      <w:r>
        <w:t xml:space="preserve">spolufinancování těchto akcí. Pro zajištění financování těchto staveb je tedy nutné najít dostatečné prostředky ve státním rozpočtu, zejména z daňových výnosů gesčně příslušných k dopravě, případně </w:t>
      </w:r>
      <w:r w:rsidR="001872C4">
        <w:t xml:space="preserve">i </w:t>
      </w:r>
      <w:r>
        <w:t>zajištění alternativních možností financování.</w:t>
      </w:r>
    </w:p>
    <w:p w14:paraId="092F9740" w14:textId="77777777" w:rsidR="004B1D57" w:rsidRPr="001B1042" w:rsidRDefault="004B1D57" w:rsidP="004B1D57">
      <w:pPr>
        <w:jc w:val="both"/>
        <w:rPr>
          <w:b/>
          <w:u w:val="single"/>
        </w:rPr>
      </w:pPr>
      <w:r w:rsidRPr="001B1042">
        <w:rPr>
          <w:b/>
          <w:u w:val="single"/>
        </w:rPr>
        <w:t>Rizika</w:t>
      </w:r>
    </w:p>
    <w:p w14:paraId="01CA3B02" w14:textId="77777777" w:rsidR="00BA66CA" w:rsidRDefault="004B1D57" w:rsidP="004B1D57">
      <w:pPr>
        <w:jc w:val="both"/>
      </w:pPr>
      <w:r>
        <w:t xml:space="preserve">Stavba i provoz vysokorychlostních tratí jsou rovněž spojeny s nemalými riziky. Ta spočívají zejména ve zřízení nového, dosud neprovozovaného systému železniční dopravy s vysokými nároky na kvalitu stavby i údržby. Další rizika jsou spojena s nejistotou reálného využití nové infrastruktury ze strany dopravců. </w:t>
      </w:r>
    </w:p>
    <w:p w14:paraId="459058D2" w14:textId="7649A0BE" w:rsidR="00994108" w:rsidRPr="00D3077E" w:rsidRDefault="00D53B42" w:rsidP="00D3077E">
      <w:pPr>
        <w:jc w:val="both"/>
        <w:rPr>
          <w:b/>
          <w:u w:val="single"/>
        </w:rPr>
      </w:pPr>
      <w:r w:rsidRPr="00D3077E">
        <w:rPr>
          <w:b/>
          <w:u w:val="single"/>
        </w:rPr>
        <w:t>P</w:t>
      </w:r>
      <w:r w:rsidR="00994108" w:rsidRPr="00D3077E">
        <w:rPr>
          <w:b/>
          <w:u w:val="single"/>
        </w:rPr>
        <w:t>otvrzení přepravních proudů</w:t>
      </w:r>
    </w:p>
    <w:p w14:paraId="4DAC56A4" w14:textId="2E0CBF63" w:rsidR="00994108" w:rsidRDefault="004B1D57" w:rsidP="005605E0">
      <w:pPr>
        <w:jc w:val="both"/>
      </w:pPr>
      <w:r>
        <w:t xml:space="preserve">Pro posouzení koncepčního řešení vysokorychlostní železnice </w:t>
      </w:r>
      <w:r w:rsidR="003B4D33">
        <w:t>b</w:t>
      </w:r>
      <w:r w:rsidR="00673B7A">
        <w:t>yl</w:t>
      </w:r>
      <w:r w:rsidR="003B4D33">
        <w:t xml:space="preserve"> zpracován </w:t>
      </w:r>
      <w:r w:rsidR="001872C4">
        <w:t xml:space="preserve">zjednodušený </w:t>
      </w:r>
      <w:r w:rsidR="003B4D33">
        <w:t>přepravní model, který vyhodnot</w:t>
      </w:r>
      <w:r w:rsidR="00673B7A">
        <w:t>il</w:t>
      </w:r>
      <w:r w:rsidR="003B4D33">
        <w:t xml:space="preserve"> potenciál jednotlivých ramen konceptu Rychlých spojení.</w:t>
      </w:r>
      <w:r w:rsidR="00D3077E">
        <w:t xml:space="preserve"> Konkretizace přepravních proudů bude provedena v jednotlivých studiích proveditelnosti včetně přesnější kvantifikace indukované dopravy. Lze konstatovat, že predikované přepravní proudy zpracované v tomto díle jsou konzervativní</w:t>
      </w:r>
      <w:r w:rsidR="00E84F29">
        <w:t xml:space="preserve"> a v případě detailnějšího řešení jednotlivých ramen nelze vyloučit i </w:t>
      </w:r>
      <w:r w:rsidR="00E84F29">
        <w:lastRenderedPageBreak/>
        <w:t>vyšší přepravní proudy. V celkovém kontextu se však ukazuje, že predikované přepravní proudy představují reálný základ pro zahájení konkrétních kroků v přípravě nejdůležitějších relací.</w:t>
      </w:r>
    </w:p>
    <w:p w14:paraId="5BC66306" w14:textId="77777777" w:rsidR="0014247A" w:rsidRDefault="0014247A" w:rsidP="0014247A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14247A" w14:paraId="5DBA3D3A" w14:textId="77777777" w:rsidTr="009D2DD4">
        <w:tc>
          <w:tcPr>
            <w:tcW w:w="9288" w:type="dxa"/>
          </w:tcPr>
          <w:p w14:paraId="64D1BFDC" w14:textId="77777777" w:rsidR="0014247A" w:rsidRDefault="0014247A" w:rsidP="009D2DD4">
            <w:pPr>
              <w:jc w:val="both"/>
            </w:pPr>
            <w:r>
              <w:rPr>
                <w:noProof/>
              </w:rPr>
              <w:drawing>
                <wp:inline distT="0" distB="0" distL="0" distR="0" wp14:anchorId="3EEA02B7" wp14:editId="3276EA38">
                  <wp:extent cx="5760720" cy="3794125"/>
                  <wp:effectExtent l="0" t="0" r="0" b="0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odel_s VRT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79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247A" w14:paraId="3F8DAEA0" w14:textId="77777777" w:rsidTr="009D2DD4">
        <w:tc>
          <w:tcPr>
            <w:tcW w:w="9288" w:type="dxa"/>
          </w:tcPr>
          <w:p w14:paraId="4CCBBFE6" w14:textId="77777777" w:rsidR="0014247A" w:rsidRPr="002748A9" w:rsidRDefault="0014247A" w:rsidP="009D2DD4">
            <w:pPr>
              <w:jc w:val="center"/>
              <w:rPr>
                <w:rFonts w:asciiTheme="minorHAnsi" w:hAnsiTheme="minorHAnsi"/>
                <w:i/>
              </w:rPr>
            </w:pPr>
            <w:r w:rsidRPr="002748A9">
              <w:rPr>
                <w:rFonts w:asciiTheme="minorHAnsi" w:hAnsiTheme="minorHAnsi"/>
                <w:i/>
                <w:sz w:val="22"/>
              </w:rPr>
              <w:t>Přepravní proudy – stav s Rychlými spojeními</w:t>
            </w:r>
          </w:p>
        </w:tc>
      </w:tr>
      <w:tr w:rsidR="0014247A" w14:paraId="3F72E798" w14:textId="77777777" w:rsidTr="009D2DD4">
        <w:tc>
          <w:tcPr>
            <w:tcW w:w="9212" w:type="dxa"/>
          </w:tcPr>
          <w:p w14:paraId="39710252" w14:textId="77777777" w:rsidR="0014247A" w:rsidRDefault="0014247A" w:rsidP="009D2DD4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704219D" wp14:editId="148A5184">
                  <wp:extent cx="5760720" cy="3790315"/>
                  <wp:effectExtent l="0" t="0" r="0" b="635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odel_rozdíl stavů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79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247A" w14:paraId="3F5870BE" w14:textId="77777777" w:rsidTr="009D2DD4">
        <w:tc>
          <w:tcPr>
            <w:tcW w:w="9212" w:type="dxa"/>
          </w:tcPr>
          <w:p w14:paraId="362B89F6" w14:textId="77777777" w:rsidR="0014247A" w:rsidRPr="00270E7C" w:rsidRDefault="0014247A" w:rsidP="009D2DD4">
            <w:pPr>
              <w:jc w:val="center"/>
              <w:rPr>
                <w:rFonts w:asciiTheme="minorHAnsi" w:hAnsiTheme="minorHAnsi"/>
                <w:i/>
              </w:rPr>
            </w:pPr>
            <w:r w:rsidRPr="00270E7C">
              <w:rPr>
                <w:rFonts w:asciiTheme="minorHAnsi" w:hAnsiTheme="minorHAnsi"/>
                <w:i/>
                <w:sz w:val="22"/>
              </w:rPr>
              <w:t>Rozdíl přepravních proudů v závislosti na realizaci projektu</w:t>
            </w:r>
          </w:p>
        </w:tc>
      </w:tr>
    </w:tbl>
    <w:p w14:paraId="3A170DEF" w14:textId="77777777" w:rsidR="0014247A" w:rsidRDefault="0014247A" w:rsidP="005605E0">
      <w:pPr>
        <w:jc w:val="both"/>
      </w:pPr>
    </w:p>
    <w:p w14:paraId="6784B010" w14:textId="77777777" w:rsidR="006C58EC" w:rsidRPr="00D3077E" w:rsidRDefault="006C58EC" w:rsidP="00D3077E">
      <w:pPr>
        <w:jc w:val="both"/>
        <w:rPr>
          <w:b/>
          <w:u w:val="single"/>
        </w:rPr>
      </w:pPr>
      <w:r w:rsidRPr="00D3077E">
        <w:rPr>
          <w:b/>
          <w:u w:val="single"/>
        </w:rPr>
        <w:lastRenderedPageBreak/>
        <w:t>Další postup v investiční přípravě</w:t>
      </w:r>
    </w:p>
    <w:p w14:paraId="68633186" w14:textId="75C184DE" w:rsidR="006C58EC" w:rsidRDefault="006C58EC" w:rsidP="005605E0">
      <w:pPr>
        <w:jc w:val="both"/>
      </w:pPr>
      <w:r>
        <w:t xml:space="preserve">Úvodním krokem v přípravě novostaveb vysokorychlostních tratí je posouzení </w:t>
      </w:r>
      <w:r w:rsidR="006929FE">
        <w:t xml:space="preserve">jednotlivých segmentů sítě formou </w:t>
      </w:r>
      <w:r>
        <w:t xml:space="preserve">studií proveditelnosti, ke zjištění </w:t>
      </w:r>
      <w:r w:rsidR="00D3077E">
        <w:t xml:space="preserve">průchodnosti a </w:t>
      </w:r>
      <w:r>
        <w:t xml:space="preserve">ekonomické efektivity příslušného projektu. V případě </w:t>
      </w:r>
      <w:r w:rsidR="00D3077E">
        <w:t>nalezení územně průchozí varianty a prokázání</w:t>
      </w:r>
      <w:r>
        <w:t xml:space="preserve"> dostatečné ekonomické efektivity pro přípravu projektu je nutné zajistit posouzení vlivu </w:t>
      </w:r>
      <w:r w:rsidR="00D3077E">
        <w:t xml:space="preserve">navrženého koridoru na udržitelný rozvoj území v rámci </w:t>
      </w:r>
      <w:r w:rsidR="00A22EFB">
        <w:t xml:space="preserve">vkládání </w:t>
      </w:r>
      <w:r w:rsidR="00D3077E">
        <w:t xml:space="preserve">koridorů do územně plánovací dokumentace. Následně je třeba připravit </w:t>
      </w:r>
      <w:r>
        <w:t>dokumentaci pro územní rozhodnutí</w:t>
      </w:r>
      <w:r w:rsidR="00D3077E">
        <w:t xml:space="preserve"> včetně posouzení vlivů na životní prostředí</w:t>
      </w:r>
      <w:r>
        <w:t xml:space="preserve">. Po získání územního rozhodnutí </w:t>
      </w:r>
      <w:r w:rsidR="00D3077E">
        <w:t>bude</w:t>
      </w:r>
      <w:r>
        <w:t xml:space="preserve"> nutné zajistit </w:t>
      </w:r>
      <w:r w:rsidR="00D3077E">
        <w:t>majetkoprávní přípravu a vydání</w:t>
      </w:r>
      <w:r>
        <w:t xml:space="preserve"> stavebního povolení. Každý z těchto kroků </w:t>
      </w:r>
      <w:r w:rsidR="00D53B42">
        <w:t xml:space="preserve">předinvestiční </w:t>
      </w:r>
      <w:r>
        <w:t xml:space="preserve">přípravy je </w:t>
      </w:r>
      <w:r w:rsidR="00FC438E">
        <w:t xml:space="preserve">při současném stavu </w:t>
      </w:r>
      <w:r w:rsidR="006929FE">
        <w:t>legislativy</w:t>
      </w:r>
      <w:r w:rsidR="00FC438E">
        <w:t xml:space="preserve"> v ČR </w:t>
      </w:r>
      <w:r w:rsidR="00D53B42">
        <w:t xml:space="preserve">z časového hlediska </w:t>
      </w:r>
      <w:r w:rsidR="006929FE">
        <w:t>extrémně</w:t>
      </w:r>
      <w:r w:rsidR="00D53B42">
        <w:t xml:space="preserve"> náročný. V případě získávání územního rozhodnutí </w:t>
      </w:r>
      <w:r w:rsidR="00907225">
        <w:t xml:space="preserve">tuto fázi přípravy extrémně ohrožuje riziko obstrukčních jednání, byť v souladu s dnes platnou legislativou. </w:t>
      </w:r>
      <w:r w:rsidR="00D3077E">
        <w:t>Pro úspěšnou realizaci</w:t>
      </w:r>
      <w:r w:rsidR="00FC438E">
        <w:t xml:space="preserve"> P</w:t>
      </w:r>
      <w:r w:rsidR="00907225" w:rsidRPr="00907225">
        <w:t>rogram</w:t>
      </w:r>
      <w:r w:rsidR="00907225">
        <w:t>u</w:t>
      </w:r>
      <w:r w:rsidR="00907225" w:rsidRPr="00907225">
        <w:t xml:space="preserve"> rozvoje rychlých železničních spojení v</w:t>
      </w:r>
      <w:r w:rsidR="00BA0C93">
        <w:t> </w:t>
      </w:r>
      <w:r w:rsidR="00907225" w:rsidRPr="00907225">
        <w:t>ČR</w:t>
      </w:r>
      <w:r w:rsidR="00BA0C93">
        <w:t xml:space="preserve"> musí být </w:t>
      </w:r>
      <w:r w:rsidR="00FC438E">
        <w:t xml:space="preserve">nutně </w:t>
      </w:r>
      <w:r w:rsidR="00EF2540">
        <w:t xml:space="preserve">provedena </w:t>
      </w:r>
      <w:r w:rsidR="00BA0C93">
        <w:t xml:space="preserve">i </w:t>
      </w:r>
      <w:r w:rsidR="00FC438E">
        <w:t xml:space="preserve">zásadní </w:t>
      </w:r>
      <w:r w:rsidR="00BA0C93">
        <w:t>novelizac</w:t>
      </w:r>
      <w:r w:rsidR="00EF2540">
        <w:t>e příslušných právních předpisů, která možnosti obstrukčního jednání omezení na nezbytné minimum.</w:t>
      </w:r>
      <w:r w:rsidR="00FC438E">
        <w:t xml:space="preserve"> Příkladem o</w:t>
      </w:r>
      <w:r w:rsidR="006929FE">
        <w:t>becné procesní nepružnosti v ČR</w:t>
      </w:r>
      <w:r w:rsidR="00FC438E">
        <w:t xml:space="preserve"> při plnění svých strategických cílů je níže uvedený harmonogram. Ten pochopitelně není vnímán jako reálný záměr, ale jako alarmující příklad na potřeby učinění zásadních předpisových a procesních změn. Tyto změny účinně pomohou nejen projektu vysokorychlostních železnic, ale všem strategickým investičním stavbám v zájmu státu.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673728" w14:paraId="1B5C9944" w14:textId="77777777" w:rsidTr="00BA66CA">
        <w:tc>
          <w:tcPr>
            <w:tcW w:w="9212" w:type="dxa"/>
          </w:tcPr>
          <w:p w14:paraId="406FC81B" w14:textId="1FCC6CEA" w:rsidR="00673728" w:rsidRDefault="000D416B" w:rsidP="00673728">
            <w:pPr>
              <w:jc w:val="center"/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007B0090" wp14:editId="0DA3B773">
                  <wp:extent cx="3943350" cy="3487378"/>
                  <wp:effectExtent l="0" t="0" r="0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rmonogram_optimistický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5962" cy="3498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728" w14:paraId="578F6F43" w14:textId="77777777" w:rsidTr="00BA66CA">
        <w:tc>
          <w:tcPr>
            <w:tcW w:w="9212" w:type="dxa"/>
          </w:tcPr>
          <w:p w14:paraId="4A7076EE" w14:textId="77777777" w:rsidR="00673728" w:rsidRPr="00673728" w:rsidRDefault="00673728" w:rsidP="00673728">
            <w:pPr>
              <w:jc w:val="center"/>
              <w:rPr>
                <w:rFonts w:asciiTheme="minorHAnsi" w:hAnsiTheme="minorHAnsi"/>
                <w:i/>
              </w:rPr>
            </w:pPr>
            <w:r w:rsidRPr="00A22EFB">
              <w:rPr>
                <w:rFonts w:asciiTheme="minorHAnsi" w:hAnsiTheme="minorHAnsi"/>
                <w:b/>
                <w:i/>
                <w:sz w:val="22"/>
              </w:rPr>
              <w:t>Vzorový harmonogram</w:t>
            </w:r>
            <w:r w:rsidRPr="00673728">
              <w:rPr>
                <w:rFonts w:asciiTheme="minorHAnsi" w:hAnsiTheme="minorHAnsi"/>
                <w:i/>
                <w:sz w:val="22"/>
              </w:rPr>
              <w:t xml:space="preserve"> přípravy nové vysokorychlostní trati (navrženo pro trať Praha – Lovosice)</w:t>
            </w:r>
          </w:p>
        </w:tc>
      </w:tr>
    </w:tbl>
    <w:p w14:paraId="34AC3F46" w14:textId="77777777" w:rsidR="00A54CF3" w:rsidRDefault="00A54CF3" w:rsidP="005605E0">
      <w:pPr>
        <w:jc w:val="both"/>
      </w:pPr>
    </w:p>
    <w:p w14:paraId="4F04236A" w14:textId="50257FBC" w:rsidR="004E6D59" w:rsidRPr="00B727FD" w:rsidRDefault="00914640" w:rsidP="005605E0">
      <w:pPr>
        <w:jc w:val="both"/>
      </w:pPr>
      <w:r w:rsidRPr="00B727FD">
        <w:t xml:space="preserve">Dle současně platných procesů je uvedený </w:t>
      </w:r>
      <w:r w:rsidRPr="00A22EFB">
        <w:rPr>
          <w:b/>
        </w:rPr>
        <w:t>vzorový harmonogram</w:t>
      </w:r>
      <w:r w:rsidRPr="00B727FD">
        <w:t xml:space="preserve"> nejrychlejší možností zajištění přípravy nové dopravní infrastruktury v podobě vysokorychlostních tratí. Možnosti urychlení těchto procesů j</w:t>
      </w:r>
      <w:r w:rsidR="00EF2540">
        <w:t>sou za současně platných právních předpisů jen velmi omezené.</w:t>
      </w:r>
      <w:r w:rsidRPr="00B727FD">
        <w:t xml:space="preserve"> </w:t>
      </w:r>
      <w:r w:rsidR="00EF2540">
        <w:t>K</w:t>
      </w:r>
      <w:r w:rsidRPr="00B727FD">
        <w:t xml:space="preserve"> výraznému urychlení lze přispět pouze úpravou zákonů vedoucí ke snížení počtu </w:t>
      </w:r>
      <w:r w:rsidR="00A22EFB">
        <w:t xml:space="preserve">a celkovému zkrácení </w:t>
      </w:r>
      <w:r w:rsidRPr="00B727FD">
        <w:t xml:space="preserve">procesů nutných k povolení staveb a k dostatečné ochraně schválené investice. Dalším zásadním předpokladem je trvalý politický konsensus </w:t>
      </w:r>
      <w:r w:rsidR="00EF2540">
        <w:t>a politická podpora programu RS.</w:t>
      </w:r>
      <w:r w:rsidRPr="00B727FD">
        <w:t xml:space="preserve"> </w:t>
      </w:r>
      <w:r w:rsidR="00EF2540">
        <w:t>N</w:t>
      </w:r>
      <w:r w:rsidRPr="00B727FD">
        <w:t>ezanedbatelným předpokladem je rovněž vytvoření kvalitního meziresortního řídícího a pracovního týmu programu s dobrým manažerským řízením</w:t>
      </w:r>
      <w:r w:rsidR="00EF2540">
        <w:t xml:space="preserve"> a zajištění dostatečných personální kapacit u investorské organizace</w:t>
      </w:r>
      <w:r w:rsidRPr="00B727FD">
        <w:t>.</w:t>
      </w:r>
    </w:p>
    <w:p w14:paraId="6CCF822E" w14:textId="628BF302" w:rsidR="00994108" w:rsidRPr="00377189" w:rsidRDefault="00377189" w:rsidP="005605E0">
      <w:pPr>
        <w:jc w:val="both"/>
        <w:rPr>
          <w:b/>
          <w:u w:val="single"/>
        </w:rPr>
      </w:pPr>
      <w:r w:rsidRPr="00377189">
        <w:rPr>
          <w:b/>
          <w:u w:val="single"/>
        </w:rPr>
        <w:lastRenderedPageBreak/>
        <w:t xml:space="preserve">Cílový </w:t>
      </w:r>
      <w:r w:rsidRPr="00377189">
        <w:rPr>
          <w:b/>
          <w:i/>
          <w:u w:val="single"/>
        </w:rPr>
        <w:t>stav – porovnání cestovních dob po dokončení realizace VRT v rámci systému Rychlých spojení</w:t>
      </w:r>
    </w:p>
    <w:tbl>
      <w:tblPr>
        <w:tblW w:w="77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F2540" w:rsidRPr="00377189" w14:paraId="0C71F1C9" w14:textId="77777777" w:rsidTr="005A4694">
        <w:trPr>
          <w:cantSplit/>
          <w:trHeight w:val="1587"/>
        </w:trPr>
        <w:tc>
          <w:tcPr>
            <w:tcW w:w="1771" w:type="dxa"/>
            <w:tcBorders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vAlign w:val="bottom"/>
            <w:hideMark/>
          </w:tcPr>
          <w:p w14:paraId="0318F808" w14:textId="77777777" w:rsidR="00EF2540" w:rsidRPr="000E073C" w:rsidRDefault="00EF2540" w:rsidP="00420F24">
            <w:pPr>
              <w:pStyle w:val="Bezmez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textDirection w:val="btLr"/>
            <w:vAlign w:val="center"/>
            <w:hideMark/>
          </w:tcPr>
          <w:p w14:paraId="6FEFEAE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Praha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textDirection w:val="btLr"/>
            <w:vAlign w:val="center"/>
            <w:hideMark/>
          </w:tcPr>
          <w:p w14:paraId="621368E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Brno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textDirection w:val="btLr"/>
            <w:vAlign w:val="center"/>
            <w:hideMark/>
          </w:tcPr>
          <w:p w14:paraId="1DAC2D54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Ostrava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textDirection w:val="btLr"/>
            <w:vAlign w:val="center"/>
            <w:hideMark/>
          </w:tcPr>
          <w:p w14:paraId="7153A6F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Olomouc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textDirection w:val="btLr"/>
            <w:vAlign w:val="center"/>
            <w:hideMark/>
          </w:tcPr>
          <w:p w14:paraId="31391518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Plzeň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textDirection w:val="btLr"/>
            <w:vAlign w:val="center"/>
            <w:hideMark/>
          </w:tcPr>
          <w:p w14:paraId="75EAF895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Pardubice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textDirection w:val="btLr"/>
            <w:vAlign w:val="center"/>
            <w:hideMark/>
          </w:tcPr>
          <w:p w14:paraId="524F552D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Hradec Králové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textDirection w:val="btLr"/>
            <w:vAlign w:val="center"/>
            <w:hideMark/>
          </w:tcPr>
          <w:p w14:paraId="488392A9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Liberec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textDirection w:val="btLr"/>
            <w:vAlign w:val="center"/>
            <w:hideMark/>
          </w:tcPr>
          <w:p w14:paraId="7A9E4C2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Ústí nad Labem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textDirection w:val="btLr"/>
            <w:vAlign w:val="center"/>
            <w:hideMark/>
          </w:tcPr>
          <w:p w14:paraId="25DBC664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Karlovy Vary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textDirection w:val="btLr"/>
            <w:vAlign w:val="center"/>
            <w:hideMark/>
          </w:tcPr>
          <w:p w14:paraId="7B569E8D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České Budějovice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textDirection w:val="btLr"/>
            <w:vAlign w:val="center"/>
            <w:hideMark/>
          </w:tcPr>
          <w:p w14:paraId="450D783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Jihlava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textDirection w:val="btLr"/>
            <w:vAlign w:val="center"/>
            <w:hideMark/>
          </w:tcPr>
          <w:p w14:paraId="30C9AC8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Zlín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textDirection w:val="btLr"/>
            <w:vAlign w:val="center"/>
            <w:hideMark/>
          </w:tcPr>
          <w:p w14:paraId="43EC62A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Chomutov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textDirection w:val="btLr"/>
            <w:vAlign w:val="center"/>
            <w:hideMark/>
          </w:tcPr>
          <w:p w14:paraId="5E916F91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Tábor</w:t>
            </w:r>
          </w:p>
        </w:tc>
      </w:tr>
      <w:tr w:rsidR="00EF2540" w:rsidRPr="00377189" w14:paraId="6CA0EAF1" w14:textId="77777777" w:rsidTr="005A4694">
        <w:trPr>
          <w:trHeight w:val="20"/>
        </w:trPr>
        <w:tc>
          <w:tcPr>
            <w:tcW w:w="1771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vAlign w:val="center"/>
            <w:hideMark/>
          </w:tcPr>
          <w:p w14:paraId="0A5552E9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Trutnov</w:t>
            </w:r>
          </w:p>
        </w:tc>
        <w:tc>
          <w:tcPr>
            <w:tcW w:w="396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065A728A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56E8CCF5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3C0BAF04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27460864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44BCB94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171D71B4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5F9FB8BE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0D7F2D4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62F82DD1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660299E5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0CD6C069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25A023EF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0B8F4C9D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137ACCC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690E8212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F2540" w:rsidRPr="00377189" w14:paraId="45CA4A59" w14:textId="77777777" w:rsidTr="005A4694">
        <w:trPr>
          <w:trHeight w:val="20"/>
        </w:trPr>
        <w:tc>
          <w:tcPr>
            <w:tcW w:w="1771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vAlign w:val="center"/>
            <w:hideMark/>
          </w:tcPr>
          <w:p w14:paraId="746209C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Tábor</w:t>
            </w:r>
          </w:p>
        </w:tc>
        <w:tc>
          <w:tcPr>
            <w:tcW w:w="396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701EC6D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67BE8642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13318AB0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6EA24D50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637CEBE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4A73B24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538BE739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393258D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5B86EF7E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629EA83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7BA90279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1DD0E5C1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720AD21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242A7FF1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</w:tcBorders>
            <w:shd w:val="clear" w:color="auto" w:fill="auto"/>
            <w:noWrap/>
            <w:vAlign w:val="bottom"/>
            <w:hideMark/>
          </w:tcPr>
          <w:p w14:paraId="0D7B146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F2540" w:rsidRPr="00377189" w14:paraId="1EC53E5A" w14:textId="77777777" w:rsidTr="005A4694">
        <w:trPr>
          <w:trHeight w:val="20"/>
        </w:trPr>
        <w:tc>
          <w:tcPr>
            <w:tcW w:w="1771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vAlign w:val="center"/>
            <w:hideMark/>
          </w:tcPr>
          <w:p w14:paraId="7C930222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Chomutov</w:t>
            </w:r>
          </w:p>
        </w:tc>
        <w:tc>
          <w:tcPr>
            <w:tcW w:w="396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2EC5CF55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75AFC8D1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73B7EB11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71C1CFCD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334DE994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4F06A13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4C639BA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2456A232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2A9913CF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4D99B62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1CEDDAB9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6BECBBE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73F17ECE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</w:tcBorders>
            <w:shd w:val="clear" w:color="auto" w:fill="auto"/>
            <w:noWrap/>
            <w:vAlign w:val="bottom"/>
            <w:hideMark/>
          </w:tcPr>
          <w:p w14:paraId="129AA8A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52443C2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F2540" w:rsidRPr="00377189" w14:paraId="20EAE635" w14:textId="77777777" w:rsidTr="005A4694">
        <w:trPr>
          <w:trHeight w:val="20"/>
        </w:trPr>
        <w:tc>
          <w:tcPr>
            <w:tcW w:w="1771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vAlign w:val="center"/>
            <w:hideMark/>
          </w:tcPr>
          <w:p w14:paraId="0FF5B86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Zlín</w:t>
            </w:r>
          </w:p>
        </w:tc>
        <w:tc>
          <w:tcPr>
            <w:tcW w:w="396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60B0C3C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78537A2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3581908B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4692F9D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0F8782AD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5CACEAF5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70BE971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5AB812C5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62B4E44F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50A7953F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481576F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7A81BCD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</w:tcBorders>
            <w:shd w:val="clear" w:color="auto" w:fill="auto"/>
            <w:noWrap/>
            <w:vAlign w:val="bottom"/>
            <w:hideMark/>
          </w:tcPr>
          <w:p w14:paraId="5E367F8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6BC6A4B8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3EAA28C5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F2540" w:rsidRPr="00377189" w14:paraId="366FAE18" w14:textId="77777777" w:rsidTr="005A4694">
        <w:trPr>
          <w:trHeight w:val="20"/>
        </w:trPr>
        <w:tc>
          <w:tcPr>
            <w:tcW w:w="1771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vAlign w:val="center"/>
            <w:hideMark/>
          </w:tcPr>
          <w:p w14:paraId="6E8E5485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Jihlava</w:t>
            </w:r>
          </w:p>
        </w:tc>
        <w:tc>
          <w:tcPr>
            <w:tcW w:w="396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654D674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657FFD7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7A2B7C91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7156CBA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29D06F3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3C47297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110F3CB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1099C51A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762B30E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71FF6860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6E542B1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</w:tcBorders>
            <w:shd w:val="clear" w:color="auto" w:fill="auto"/>
            <w:noWrap/>
            <w:vAlign w:val="bottom"/>
            <w:hideMark/>
          </w:tcPr>
          <w:p w14:paraId="2E057004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21A7038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1F3EFCC1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4E73401E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F2540" w:rsidRPr="00377189" w14:paraId="6797F613" w14:textId="77777777" w:rsidTr="005A4694">
        <w:trPr>
          <w:trHeight w:val="20"/>
        </w:trPr>
        <w:tc>
          <w:tcPr>
            <w:tcW w:w="1771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vAlign w:val="center"/>
            <w:hideMark/>
          </w:tcPr>
          <w:p w14:paraId="75769779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České Budějovice</w:t>
            </w:r>
          </w:p>
        </w:tc>
        <w:tc>
          <w:tcPr>
            <w:tcW w:w="396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619DE51B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016B293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07198FE8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7AB27818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2BB61AA2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042875E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1F4093A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0B6C90D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5EFD1331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2DD63A82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</w:tcBorders>
            <w:shd w:val="clear" w:color="auto" w:fill="auto"/>
            <w:noWrap/>
            <w:vAlign w:val="bottom"/>
            <w:hideMark/>
          </w:tcPr>
          <w:p w14:paraId="0E8F62C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2DCDF038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50857274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2A84AB60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3EAF568B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F2540" w:rsidRPr="00377189" w14:paraId="29CE8A01" w14:textId="77777777" w:rsidTr="005A4694">
        <w:trPr>
          <w:trHeight w:val="20"/>
        </w:trPr>
        <w:tc>
          <w:tcPr>
            <w:tcW w:w="1771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vAlign w:val="center"/>
            <w:hideMark/>
          </w:tcPr>
          <w:p w14:paraId="4BC8201A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Karlovy Vary</w:t>
            </w:r>
          </w:p>
        </w:tc>
        <w:tc>
          <w:tcPr>
            <w:tcW w:w="396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5784602F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0C6AC3A5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76E038E0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12F2E27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0AE690BA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4A4AEA7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3711A83B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3B6FA079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446C0EE9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</w:tcBorders>
            <w:shd w:val="clear" w:color="auto" w:fill="auto"/>
            <w:noWrap/>
            <w:vAlign w:val="bottom"/>
            <w:hideMark/>
          </w:tcPr>
          <w:p w14:paraId="0084C908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0120D6DB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63DF43B5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07356C48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2787B224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1BC9DA75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F2540" w:rsidRPr="00377189" w14:paraId="5C44E1B9" w14:textId="77777777" w:rsidTr="005A4694">
        <w:trPr>
          <w:trHeight w:val="20"/>
        </w:trPr>
        <w:tc>
          <w:tcPr>
            <w:tcW w:w="1771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vAlign w:val="center"/>
            <w:hideMark/>
          </w:tcPr>
          <w:p w14:paraId="7391177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Ústí nad Labem</w:t>
            </w:r>
          </w:p>
        </w:tc>
        <w:tc>
          <w:tcPr>
            <w:tcW w:w="396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203EE90F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287FA56A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43F9997E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5982434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755BBFB9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5BD7209B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670AB2A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20746A11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</w:tcBorders>
            <w:shd w:val="clear" w:color="auto" w:fill="auto"/>
            <w:noWrap/>
            <w:vAlign w:val="bottom"/>
            <w:hideMark/>
          </w:tcPr>
          <w:p w14:paraId="2D15C6E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377C2C4A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31BBD858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0E676A0F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305C7CDE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672F2C0F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17BA2C5E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F2540" w:rsidRPr="00377189" w14:paraId="031F68D5" w14:textId="77777777" w:rsidTr="005A4694">
        <w:trPr>
          <w:trHeight w:val="20"/>
        </w:trPr>
        <w:tc>
          <w:tcPr>
            <w:tcW w:w="1771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vAlign w:val="center"/>
            <w:hideMark/>
          </w:tcPr>
          <w:p w14:paraId="59944C4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Liberec</w:t>
            </w:r>
          </w:p>
        </w:tc>
        <w:tc>
          <w:tcPr>
            <w:tcW w:w="396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293FF480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159393C4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599881B2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4AB46C0B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06A1CEC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088711B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40BEAC3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</w:tcBorders>
            <w:shd w:val="clear" w:color="auto" w:fill="auto"/>
            <w:noWrap/>
            <w:vAlign w:val="bottom"/>
            <w:hideMark/>
          </w:tcPr>
          <w:p w14:paraId="6DE25A14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1FA69AC4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558C217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7BEC2738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2DA98582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5B7390EF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7B8C1050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475AD80E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F2540" w:rsidRPr="00377189" w14:paraId="63DEC4CC" w14:textId="77777777" w:rsidTr="005A4694">
        <w:trPr>
          <w:trHeight w:val="20"/>
        </w:trPr>
        <w:tc>
          <w:tcPr>
            <w:tcW w:w="1771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vAlign w:val="center"/>
            <w:hideMark/>
          </w:tcPr>
          <w:p w14:paraId="67055B6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Hradec Králové</w:t>
            </w:r>
          </w:p>
        </w:tc>
        <w:tc>
          <w:tcPr>
            <w:tcW w:w="396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538FE505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5251CB8E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26FADF2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014FA979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68253350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762E7248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</w:tcBorders>
            <w:shd w:val="clear" w:color="auto" w:fill="auto"/>
            <w:noWrap/>
            <w:vAlign w:val="bottom"/>
            <w:hideMark/>
          </w:tcPr>
          <w:p w14:paraId="6EE320E0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1A7120C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0103E97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0E20F671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219B0FF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54C03D9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6E07137E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2083BE4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7926E2F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F2540" w:rsidRPr="00377189" w14:paraId="32CF6176" w14:textId="77777777" w:rsidTr="005A4694">
        <w:trPr>
          <w:trHeight w:val="20"/>
        </w:trPr>
        <w:tc>
          <w:tcPr>
            <w:tcW w:w="1771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vAlign w:val="center"/>
            <w:hideMark/>
          </w:tcPr>
          <w:p w14:paraId="7430ABA2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Pardubice</w:t>
            </w:r>
          </w:p>
        </w:tc>
        <w:tc>
          <w:tcPr>
            <w:tcW w:w="396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0A356AC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3E4E10C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53E5D2B8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32D1BA6E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32E9E2C8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left w:val="single" w:sz="4" w:space="0" w:color="035D8D"/>
            </w:tcBorders>
            <w:shd w:val="clear" w:color="auto" w:fill="auto"/>
            <w:noWrap/>
            <w:vAlign w:val="bottom"/>
            <w:hideMark/>
          </w:tcPr>
          <w:p w14:paraId="51ADDDCF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16232F29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5ED4ED04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2995AA5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6DB4970E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4413F0EB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4C0E328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57B51FA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5A8B8BB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367B49EA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F2540" w:rsidRPr="00377189" w14:paraId="49643CE2" w14:textId="77777777" w:rsidTr="005A4694">
        <w:trPr>
          <w:trHeight w:val="20"/>
        </w:trPr>
        <w:tc>
          <w:tcPr>
            <w:tcW w:w="1771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vAlign w:val="center"/>
            <w:hideMark/>
          </w:tcPr>
          <w:p w14:paraId="58DAC255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Plzeň</w:t>
            </w:r>
          </w:p>
        </w:tc>
        <w:tc>
          <w:tcPr>
            <w:tcW w:w="396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5B5E283E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463ACBE8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58AD6702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0F55AEDE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</w:tcBorders>
            <w:shd w:val="clear" w:color="auto" w:fill="auto"/>
            <w:noWrap/>
            <w:vAlign w:val="bottom"/>
            <w:hideMark/>
          </w:tcPr>
          <w:p w14:paraId="652226C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6A369FF8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4CA3DAB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450A6E5B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3C3864A9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5A7A8BC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2A51FA3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25F9A392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7504CE5C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546D93B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0AC8835D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F2540" w:rsidRPr="00377189" w14:paraId="5D606C72" w14:textId="77777777" w:rsidTr="005A4694">
        <w:trPr>
          <w:trHeight w:val="20"/>
        </w:trPr>
        <w:tc>
          <w:tcPr>
            <w:tcW w:w="1771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vAlign w:val="center"/>
            <w:hideMark/>
          </w:tcPr>
          <w:p w14:paraId="2580897D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Olomouc</w:t>
            </w:r>
          </w:p>
        </w:tc>
        <w:tc>
          <w:tcPr>
            <w:tcW w:w="396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4F273CA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2F4EAE02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7876464F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</w:tcBorders>
            <w:shd w:val="clear" w:color="auto" w:fill="auto"/>
            <w:noWrap/>
            <w:vAlign w:val="bottom"/>
            <w:hideMark/>
          </w:tcPr>
          <w:p w14:paraId="6C743EC1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42986E45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6CCB262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4883A53F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7D673E1F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7CC71C1A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7D8E008F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4BB87C8A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7F8E8715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19E11F60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6C7D6B55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228B8455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F2540" w:rsidRPr="00377189" w14:paraId="0BC646F4" w14:textId="77777777" w:rsidTr="005A4694">
        <w:trPr>
          <w:trHeight w:val="20"/>
        </w:trPr>
        <w:tc>
          <w:tcPr>
            <w:tcW w:w="1771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vAlign w:val="center"/>
            <w:hideMark/>
          </w:tcPr>
          <w:p w14:paraId="572D3AC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Ostrava</w:t>
            </w:r>
          </w:p>
        </w:tc>
        <w:tc>
          <w:tcPr>
            <w:tcW w:w="396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7D34338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56A91F4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</w:tcBorders>
            <w:shd w:val="clear" w:color="auto" w:fill="auto"/>
            <w:noWrap/>
            <w:vAlign w:val="bottom"/>
            <w:hideMark/>
          </w:tcPr>
          <w:p w14:paraId="3121B5D8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7549EB25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2FCED5D1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2CED71A4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2C2D7BB1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67EF0A58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586CB20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5CF68B2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79449A5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57E14F79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79B2AF64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56FF98BF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2693B65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F2540" w:rsidRPr="00377189" w14:paraId="6251D311" w14:textId="77777777" w:rsidTr="005A4694">
        <w:trPr>
          <w:trHeight w:val="20"/>
        </w:trPr>
        <w:tc>
          <w:tcPr>
            <w:tcW w:w="1771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auto" w:fill="auto"/>
            <w:noWrap/>
            <w:vAlign w:val="center"/>
            <w:hideMark/>
          </w:tcPr>
          <w:p w14:paraId="509CA5FA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b/>
                <w:color w:val="035D8D"/>
                <w:sz w:val="22"/>
                <w:szCs w:val="22"/>
              </w:rPr>
              <w:t>Brno</w:t>
            </w:r>
          </w:p>
        </w:tc>
        <w:tc>
          <w:tcPr>
            <w:tcW w:w="396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24984F8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035D8D"/>
              <w:left w:val="single" w:sz="4" w:space="0" w:color="035D8D"/>
            </w:tcBorders>
            <w:shd w:val="clear" w:color="auto" w:fill="auto"/>
            <w:noWrap/>
            <w:vAlign w:val="bottom"/>
            <w:hideMark/>
          </w:tcPr>
          <w:p w14:paraId="022F8A25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74D3655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6CE3816A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6EE8A2EF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6DBFAC86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6D4A7AB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5D522621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338D98A1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5A252DC1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5F593A13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7D15D97E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4A45BADF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701EDFD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6B7E2B59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sz w:val="22"/>
                <w:szCs w:val="22"/>
              </w:rPr>
            </w:pPr>
            <w:r w:rsidRPr="0037718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F2540" w:rsidRPr="00377189" w14:paraId="16AB5C0C" w14:textId="77777777" w:rsidTr="005A4694">
        <w:trPr>
          <w:trHeight w:val="20"/>
        </w:trPr>
        <w:tc>
          <w:tcPr>
            <w:tcW w:w="1771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00B050"/>
            <w:noWrap/>
            <w:vAlign w:val="bottom"/>
            <w:hideMark/>
          </w:tcPr>
          <w:p w14:paraId="781B1601" w14:textId="77777777" w:rsidR="00EF2540" w:rsidRPr="000E073C" w:rsidRDefault="00EF2540" w:rsidP="00420F24">
            <w:pPr>
              <w:pStyle w:val="Bezmezer"/>
              <w:rPr>
                <w:sz w:val="20"/>
                <w:szCs w:val="20"/>
              </w:rPr>
            </w:pPr>
            <w:r w:rsidRPr="000E073C">
              <w:rPr>
                <w:sz w:val="20"/>
                <w:szCs w:val="20"/>
              </w:rPr>
              <w:t> </w:t>
            </w:r>
          </w:p>
        </w:tc>
        <w:tc>
          <w:tcPr>
            <w:tcW w:w="5954" w:type="dxa"/>
            <w:gridSpan w:val="15"/>
            <w:tcBorders>
              <w:left w:val="single" w:sz="4" w:space="0" w:color="035D8D"/>
            </w:tcBorders>
            <w:shd w:val="clear" w:color="auto" w:fill="auto"/>
            <w:noWrap/>
            <w:vAlign w:val="bottom"/>
            <w:hideMark/>
          </w:tcPr>
          <w:p w14:paraId="4228149B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color w:val="035D8D"/>
                <w:sz w:val="20"/>
                <w:szCs w:val="20"/>
              </w:rPr>
            </w:pPr>
            <w:r w:rsidRPr="00377189">
              <w:rPr>
                <w:rFonts w:asciiTheme="minorHAnsi" w:hAnsiTheme="minorHAnsi" w:cstheme="minorHAnsi"/>
                <w:color w:val="035D8D"/>
                <w:sz w:val="20"/>
                <w:szCs w:val="20"/>
              </w:rPr>
              <w:t>Vlak je v dané relaci rychlejší než auto</w:t>
            </w:r>
          </w:p>
        </w:tc>
      </w:tr>
      <w:tr w:rsidR="00EF2540" w:rsidRPr="00377189" w14:paraId="3F35EEE3" w14:textId="77777777" w:rsidTr="005A4694">
        <w:trPr>
          <w:trHeight w:val="20"/>
        </w:trPr>
        <w:tc>
          <w:tcPr>
            <w:tcW w:w="1771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FF00"/>
            <w:noWrap/>
            <w:vAlign w:val="bottom"/>
            <w:hideMark/>
          </w:tcPr>
          <w:p w14:paraId="46F6F4C0" w14:textId="77777777" w:rsidR="00EF2540" w:rsidRPr="000E073C" w:rsidRDefault="00EF2540" w:rsidP="00420F24">
            <w:pPr>
              <w:pStyle w:val="Bezmezer"/>
              <w:rPr>
                <w:sz w:val="20"/>
                <w:szCs w:val="20"/>
              </w:rPr>
            </w:pPr>
            <w:r w:rsidRPr="000E073C">
              <w:rPr>
                <w:sz w:val="20"/>
                <w:szCs w:val="20"/>
              </w:rPr>
              <w:t> </w:t>
            </w:r>
          </w:p>
        </w:tc>
        <w:tc>
          <w:tcPr>
            <w:tcW w:w="5954" w:type="dxa"/>
            <w:gridSpan w:val="15"/>
            <w:tcBorders>
              <w:left w:val="single" w:sz="4" w:space="0" w:color="035D8D"/>
            </w:tcBorders>
            <w:shd w:val="clear" w:color="auto" w:fill="auto"/>
            <w:noWrap/>
            <w:vAlign w:val="bottom"/>
            <w:hideMark/>
          </w:tcPr>
          <w:p w14:paraId="0B185307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color w:val="035D8D"/>
                <w:sz w:val="20"/>
                <w:szCs w:val="20"/>
              </w:rPr>
            </w:pPr>
            <w:r w:rsidRPr="00377189">
              <w:rPr>
                <w:rFonts w:asciiTheme="minorHAnsi" w:hAnsiTheme="minorHAnsi" w:cstheme="minorHAnsi"/>
                <w:color w:val="035D8D"/>
                <w:sz w:val="20"/>
                <w:szCs w:val="20"/>
              </w:rPr>
              <w:t>Vlak je v dané relaci pomalejší než auto, ale rychlejší než autobus</w:t>
            </w:r>
          </w:p>
        </w:tc>
      </w:tr>
      <w:tr w:rsidR="00EF2540" w:rsidRPr="00377189" w14:paraId="2E228BFD" w14:textId="77777777" w:rsidTr="005A4694">
        <w:trPr>
          <w:trHeight w:val="20"/>
        </w:trPr>
        <w:tc>
          <w:tcPr>
            <w:tcW w:w="1771" w:type="dxa"/>
            <w:tcBorders>
              <w:top w:val="single" w:sz="4" w:space="0" w:color="035D8D"/>
              <w:left w:val="single" w:sz="4" w:space="0" w:color="035D8D"/>
              <w:bottom w:val="single" w:sz="4" w:space="0" w:color="035D8D"/>
              <w:right w:val="single" w:sz="4" w:space="0" w:color="035D8D"/>
            </w:tcBorders>
            <w:shd w:val="clear" w:color="000000" w:fill="FF0000"/>
            <w:noWrap/>
            <w:vAlign w:val="bottom"/>
            <w:hideMark/>
          </w:tcPr>
          <w:p w14:paraId="131A4EE9" w14:textId="77777777" w:rsidR="00EF2540" w:rsidRPr="000E073C" w:rsidRDefault="00EF2540" w:rsidP="00420F24">
            <w:pPr>
              <w:pStyle w:val="Bezmezer"/>
              <w:rPr>
                <w:sz w:val="20"/>
                <w:szCs w:val="20"/>
              </w:rPr>
            </w:pPr>
            <w:r w:rsidRPr="000E073C">
              <w:rPr>
                <w:sz w:val="20"/>
                <w:szCs w:val="20"/>
              </w:rPr>
              <w:t> </w:t>
            </w:r>
          </w:p>
        </w:tc>
        <w:tc>
          <w:tcPr>
            <w:tcW w:w="5954" w:type="dxa"/>
            <w:gridSpan w:val="15"/>
            <w:tcBorders>
              <w:left w:val="single" w:sz="4" w:space="0" w:color="035D8D"/>
            </w:tcBorders>
            <w:shd w:val="clear" w:color="auto" w:fill="auto"/>
            <w:noWrap/>
            <w:vAlign w:val="bottom"/>
            <w:hideMark/>
          </w:tcPr>
          <w:p w14:paraId="73520F51" w14:textId="77777777" w:rsidR="00EF2540" w:rsidRPr="00377189" w:rsidRDefault="00EF2540" w:rsidP="00420F24">
            <w:pPr>
              <w:pStyle w:val="Bezmezer"/>
              <w:rPr>
                <w:rFonts w:asciiTheme="minorHAnsi" w:hAnsiTheme="minorHAnsi" w:cstheme="minorHAnsi"/>
                <w:color w:val="035D8D"/>
                <w:sz w:val="20"/>
                <w:szCs w:val="20"/>
              </w:rPr>
            </w:pPr>
            <w:r w:rsidRPr="00377189">
              <w:rPr>
                <w:rFonts w:asciiTheme="minorHAnsi" w:hAnsiTheme="minorHAnsi" w:cstheme="minorHAnsi"/>
                <w:color w:val="035D8D"/>
                <w:sz w:val="20"/>
                <w:szCs w:val="20"/>
              </w:rPr>
              <w:t>Vlak je v dané relaci pomalejší než auto i autobus</w:t>
            </w:r>
          </w:p>
        </w:tc>
      </w:tr>
    </w:tbl>
    <w:p w14:paraId="0C2D5760" w14:textId="77777777" w:rsidR="00EF2540" w:rsidRDefault="00EF2540" w:rsidP="005605E0">
      <w:pPr>
        <w:jc w:val="both"/>
      </w:pPr>
    </w:p>
    <w:p w14:paraId="40C4E5E4" w14:textId="77777777" w:rsidR="00377189" w:rsidRPr="00377189" w:rsidRDefault="00377189" w:rsidP="005605E0">
      <w:pPr>
        <w:jc w:val="both"/>
        <w:rPr>
          <w:b/>
          <w:u w:val="single"/>
        </w:rPr>
      </w:pPr>
      <w:r w:rsidRPr="00377189">
        <w:rPr>
          <w:b/>
          <w:u w:val="single"/>
        </w:rPr>
        <w:t>Závěr</w:t>
      </w:r>
    </w:p>
    <w:p w14:paraId="6FC21565" w14:textId="7832B75A" w:rsidR="00342662" w:rsidRPr="00342662" w:rsidRDefault="004966D5" w:rsidP="005605E0">
      <w:pPr>
        <w:jc w:val="both"/>
      </w:pPr>
      <w:r>
        <w:t>Realizace koncepce navržené v</w:t>
      </w:r>
      <w:r w:rsidR="00EF2540">
        <w:t> </w:t>
      </w:r>
      <w:r w:rsidR="00EF2540" w:rsidRPr="00A22EFB">
        <w:rPr>
          <w:b/>
        </w:rPr>
        <w:t>Programu rozvoje</w:t>
      </w:r>
      <w:r w:rsidRPr="00A22EFB">
        <w:rPr>
          <w:b/>
        </w:rPr>
        <w:t xml:space="preserve"> Rychlých železničních spojení v ČR</w:t>
      </w:r>
      <w:r>
        <w:t xml:space="preserve"> </w:t>
      </w:r>
      <w:r w:rsidR="00377189">
        <w:t>znamená obrovskou příležitost pro změnu dopravní nabídky v ČR. V případě úspěšné realizace této koncepce dojde k zásadním změnám v dopravním chování obyvatelstva díky nabídce zcela nových možností cestování. Úspěšná realizace koncepce je však podmíněna řadou procesních rizik, která je nutné po celou dobu realizace koncepce řídit</w:t>
      </w:r>
      <w:r w:rsidR="003A489F">
        <w:t xml:space="preserve">. Snahou je </w:t>
      </w:r>
      <w:r w:rsidR="00377189">
        <w:t xml:space="preserve">eliminovat procesní zdržení v jednotlivých fázích přípravy. Realizace koncepce </w:t>
      </w:r>
      <w:r>
        <w:t xml:space="preserve">bude představovat </w:t>
      </w:r>
      <w:r w:rsidRPr="003A489F">
        <w:rPr>
          <w:b/>
        </w:rPr>
        <w:t>investiční náklady ve výši stovek miliard Kč</w:t>
      </w:r>
      <w:r w:rsidR="00377189" w:rsidRPr="003A489F">
        <w:rPr>
          <w:b/>
        </w:rPr>
        <w:t xml:space="preserve"> a následné provozní náklady ve výši jednotek miliard Kč ročně. </w:t>
      </w:r>
      <w:r w:rsidR="00377189">
        <w:t xml:space="preserve">Na základě provedených analýz lze však konstatovat, že ČR by se tohoto úkolu měla zhostit a nerezignovat na tento obtížný úkol ve snaze posunout kulturu cestování v ČR na kvalitativně zcela novou úroveň odpovídají poloze ČR </w:t>
      </w:r>
      <w:r w:rsidR="003016B5">
        <w:t>v Evropě</w:t>
      </w:r>
      <w:r w:rsidR="00377189">
        <w:t xml:space="preserve"> a jejímu hospodářskému významu v rámci EU.</w:t>
      </w:r>
      <w:r w:rsidR="003016B5">
        <w:t xml:space="preserve"> Realizace koncepce pak výrazně přispěje k zajištění udržitelné mobility obyvatelstva nezávislé na fosilních zdrojích. Zároveň dojde k podstatnému zlepšení napojení regionů pomocí kvalitní veřejné dopravy. V neposlední řadě pak realizace Rychlých spojení poskytuje výrazné možnosti i pro průmysl, který bude vystaven výzvě k výrazné inovaci vyráběných železničních vozidel.</w:t>
      </w:r>
    </w:p>
    <w:sectPr w:rsidR="00342662" w:rsidRPr="00342662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0653F" w14:textId="77777777" w:rsidR="009D2DD4" w:rsidRDefault="009D2DD4" w:rsidP="00B05C3E">
      <w:pPr>
        <w:spacing w:after="0" w:line="240" w:lineRule="auto"/>
      </w:pPr>
      <w:r>
        <w:separator/>
      </w:r>
    </w:p>
  </w:endnote>
  <w:endnote w:type="continuationSeparator" w:id="0">
    <w:p w14:paraId="3C436E66" w14:textId="77777777" w:rsidR="009D2DD4" w:rsidRDefault="009D2DD4" w:rsidP="00B05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4280432"/>
      <w:docPartObj>
        <w:docPartGallery w:val="Page Numbers (Bottom of Page)"/>
        <w:docPartUnique/>
      </w:docPartObj>
    </w:sdtPr>
    <w:sdtEndPr/>
    <w:sdtContent>
      <w:p w14:paraId="34E3058F" w14:textId="072862A9" w:rsidR="009D2DD4" w:rsidRDefault="009D2DD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8D4">
          <w:rPr>
            <w:noProof/>
          </w:rPr>
          <w:t>6</w:t>
        </w:r>
        <w:r>
          <w:fldChar w:fldCharType="end"/>
        </w:r>
      </w:p>
    </w:sdtContent>
  </w:sdt>
  <w:p w14:paraId="0B171E2C" w14:textId="77777777" w:rsidR="009D2DD4" w:rsidRDefault="009D2D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74E2F" w14:textId="77777777" w:rsidR="009D2DD4" w:rsidRDefault="009D2DD4" w:rsidP="00B05C3E">
      <w:pPr>
        <w:spacing w:after="0" w:line="240" w:lineRule="auto"/>
      </w:pPr>
      <w:r>
        <w:separator/>
      </w:r>
    </w:p>
  </w:footnote>
  <w:footnote w:type="continuationSeparator" w:id="0">
    <w:p w14:paraId="66A53E4E" w14:textId="77777777" w:rsidR="009D2DD4" w:rsidRDefault="009D2DD4" w:rsidP="00B05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E66F3A"/>
    <w:multiLevelType w:val="hybridMultilevel"/>
    <w:tmpl w:val="9570966C"/>
    <w:lvl w:ilvl="0" w:tplc="6C94EC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C4"/>
    <w:rsid w:val="00042E4D"/>
    <w:rsid w:val="00065CD2"/>
    <w:rsid w:val="000719BC"/>
    <w:rsid w:val="0007465D"/>
    <w:rsid w:val="000B48B9"/>
    <w:rsid w:val="000D416B"/>
    <w:rsid w:val="000D6706"/>
    <w:rsid w:val="0010549B"/>
    <w:rsid w:val="0014247A"/>
    <w:rsid w:val="001872C4"/>
    <w:rsid w:val="00192D48"/>
    <w:rsid w:val="00195621"/>
    <w:rsid w:val="001B1042"/>
    <w:rsid w:val="001F1942"/>
    <w:rsid w:val="001F1FAA"/>
    <w:rsid w:val="002336F3"/>
    <w:rsid w:val="00240D53"/>
    <w:rsid w:val="00245342"/>
    <w:rsid w:val="00270E7C"/>
    <w:rsid w:val="002748A9"/>
    <w:rsid w:val="0027718B"/>
    <w:rsid w:val="002A0710"/>
    <w:rsid w:val="002B0DBD"/>
    <w:rsid w:val="002C1BBB"/>
    <w:rsid w:val="003016B5"/>
    <w:rsid w:val="00310850"/>
    <w:rsid w:val="003109A7"/>
    <w:rsid w:val="00342662"/>
    <w:rsid w:val="00347A05"/>
    <w:rsid w:val="00350A2F"/>
    <w:rsid w:val="00375749"/>
    <w:rsid w:val="00377189"/>
    <w:rsid w:val="003A489F"/>
    <w:rsid w:val="003A7237"/>
    <w:rsid w:val="003B45C4"/>
    <w:rsid w:val="003B4D33"/>
    <w:rsid w:val="003C2712"/>
    <w:rsid w:val="00420F24"/>
    <w:rsid w:val="00446AF4"/>
    <w:rsid w:val="0045015B"/>
    <w:rsid w:val="00460999"/>
    <w:rsid w:val="00494542"/>
    <w:rsid w:val="004966D5"/>
    <w:rsid w:val="004B1D57"/>
    <w:rsid w:val="004C67AA"/>
    <w:rsid w:val="004E6D59"/>
    <w:rsid w:val="005605E0"/>
    <w:rsid w:val="00592C6A"/>
    <w:rsid w:val="00597423"/>
    <w:rsid w:val="005A4694"/>
    <w:rsid w:val="005A521C"/>
    <w:rsid w:val="005B3BEC"/>
    <w:rsid w:val="005E42A1"/>
    <w:rsid w:val="006238D4"/>
    <w:rsid w:val="006356F4"/>
    <w:rsid w:val="00673728"/>
    <w:rsid w:val="00673B7A"/>
    <w:rsid w:val="00675627"/>
    <w:rsid w:val="006915BC"/>
    <w:rsid w:val="006929FE"/>
    <w:rsid w:val="006A5F35"/>
    <w:rsid w:val="006C58EC"/>
    <w:rsid w:val="006E771E"/>
    <w:rsid w:val="00722806"/>
    <w:rsid w:val="007274C2"/>
    <w:rsid w:val="00764E90"/>
    <w:rsid w:val="0078588E"/>
    <w:rsid w:val="00802EEB"/>
    <w:rsid w:val="008105A4"/>
    <w:rsid w:val="00835F28"/>
    <w:rsid w:val="00857B83"/>
    <w:rsid w:val="00886528"/>
    <w:rsid w:val="008866ED"/>
    <w:rsid w:val="008A2228"/>
    <w:rsid w:val="008D4F99"/>
    <w:rsid w:val="008E2FA3"/>
    <w:rsid w:val="008F1150"/>
    <w:rsid w:val="00907225"/>
    <w:rsid w:val="00914640"/>
    <w:rsid w:val="009912E6"/>
    <w:rsid w:val="00994108"/>
    <w:rsid w:val="009C5AB4"/>
    <w:rsid w:val="009D2311"/>
    <w:rsid w:val="009D2DD4"/>
    <w:rsid w:val="009F7FC1"/>
    <w:rsid w:val="00A05C69"/>
    <w:rsid w:val="00A22EFB"/>
    <w:rsid w:val="00A54CF3"/>
    <w:rsid w:val="00AA09A8"/>
    <w:rsid w:val="00AA2E89"/>
    <w:rsid w:val="00B05C3E"/>
    <w:rsid w:val="00B37339"/>
    <w:rsid w:val="00B47EE3"/>
    <w:rsid w:val="00B60974"/>
    <w:rsid w:val="00B727FD"/>
    <w:rsid w:val="00B818F6"/>
    <w:rsid w:val="00BA0C93"/>
    <w:rsid w:val="00BA66CA"/>
    <w:rsid w:val="00BD6C00"/>
    <w:rsid w:val="00C11995"/>
    <w:rsid w:val="00C76541"/>
    <w:rsid w:val="00CD62E5"/>
    <w:rsid w:val="00CE334F"/>
    <w:rsid w:val="00D2385C"/>
    <w:rsid w:val="00D261E2"/>
    <w:rsid w:val="00D3077E"/>
    <w:rsid w:val="00D466D8"/>
    <w:rsid w:val="00D53B42"/>
    <w:rsid w:val="00D848BD"/>
    <w:rsid w:val="00D878C7"/>
    <w:rsid w:val="00D95980"/>
    <w:rsid w:val="00DB1780"/>
    <w:rsid w:val="00DC61DD"/>
    <w:rsid w:val="00DF0467"/>
    <w:rsid w:val="00E27B68"/>
    <w:rsid w:val="00E31D3A"/>
    <w:rsid w:val="00E84F29"/>
    <w:rsid w:val="00EC181E"/>
    <w:rsid w:val="00EF2540"/>
    <w:rsid w:val="00EF30A7"/>
    <w:rsid w:val="00F2436D"/>
    <w:rsid w:val="00F67DEA"/>
    <w:rsid w:val="00FB1DB2"/>
    <w:rsid w:val="00FC438E"/>
    <w:rsid w:val="00FF145E"/>
    <w:rsid w:val="00FF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6874"/>
  <w15:docId w15:val="{0A66A6B8-BC66-41F5-BB15-70D5F36B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qFormat/>
    <w:rsid w:val="00B05C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05C3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qFormat/>
    <w:rsid w:val="00B05C3E"/>
    <w:rPr>
      <w:vertAlign w:val="superscript"/>
    </w:rPr>
  </w:style>
  <w:style w:type="table" w:styleId="Mkatabulky">
    <w:name w:val="Table Grid"/>
    <w:basedOn w:val="Normlntabulka"/>
    <w:rsid w:val="00B05C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866E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qFormat/>
    <w:rsid w:val="008866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66E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66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66E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66E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F3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30A7"/>
  </w:style>
  <w:style w:type="paragraph" w:styleId="Zpat">
    <w:name w:val="footer"/>
    <w:basedOn w:val="Normln"/>
    <w:link w:val="ZpatChar"/>
    <w:uiPriority w:val="99"/>
    <w:unhideWhenUsed/>
    <w:rsid w:val="00EF3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30A7"/>
  </w:style>
  <w:style w:type="paragraph" w:styleId="Bezmezer">
    <w:name w:val="No Spacing"/>
    <w:uiPriority w:val="1"/>
    <w:qFormat/>
    <w:rsid w:val="00CE3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F1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5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AFE61-D5D4-4EB1-BA9D-E32A3DAEA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1306</TotalTime>
  <Pages>10</Pages>
  <Words>3065</Words>
  <Characters>18088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21111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Kliský Michal Ing.</dc:creator>
  <cp:keywords/>
  <dc:description/>
  <cp:lastModifiedBy>Sosna Luděk, Ing., Ph.D.</cp:lastModifiedBy>
  <cp:revision>82</cp:revision>
  <cp:lastPrinted>2017-01-20T12:15:00Z</cp:lastPrinted>
  <dcterms:created xsi:type="dcterms:W3CDTF">2016-10-14T13:18:00Z</dcterms:created>
  <dcterms:modified xsi:type="dcterms:W3CDTF">2017-05-04T06:52:00Z</dcterms:modified>
</cp:coreProperties>
</file>