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118917330"/>
        <w:docPartObj>
          <w:docPartGallery w:val="Cover Pages"/>
          <w:docPartUnique/>
        </w:docPartObj>
      </w:sdtPr>
      <w:sdtEndPr/>
      <w:sdtContent>
        <w:p w:rsidR="003816D0" w:rsidRPr="00C066D6" w:rsidRDefault="003816D0">
          <w:r w:rsidRPr="00C066D6">
            <w:rPr>
              <w:noProof/>
              <w:lang w:eastAsia="cs-CZ"/>
            </w:rPr>
            <mc:AlternateContent>
              <mc:Choice Requires="wps">
                <w:drawing>
                  <wp:anchor distT="0" distB="0" distL="114300" distR="114300" simplePos="0" relativeHeight="251667456" behindDoc="1" locked="0" layoutInCell="1" allowOverlap="1" wp14:anchorId="6AE3F214" wp14:editId="45CADCBB">
                    <wp:simplePos x="0" y="0"/>
                    <wp:positionH relativeFrom="page">
                      <wp:align>center</wp:align>
                    </wp:positionH>
                    <wp:positionV relativeFrom="page">
                      <wp:align>center</wp:align>
                    </wp:positionV>
                    <wp:extent cx="7383780" cy="9555480"/>
                    <wp:effectExtent l="0" t="0" r="7620" b="7620"/>
                    <wp:wrapNone/>
                    <wp:docPr id="466" name="Obdélník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DC47AC" w:rsidRDefault="00DC47AC"/>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AE3F214" id="Obdélník 466" o:spid="_x0000_s1026" style="position:absolute;left:0;text-align:left;margin-left:0;margin-top:0;width:581.4pt;height:752.4pt;z-index:-25164902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" fillcolor="#deeaf6 [660]" stroked="f" strokeweight="1pt">
                    <v:fill color2="#9cc2e5 [1940]" rotate="t" focus="100%" type="gradient">
                      <o:fill v:ext="view" type="gradientUnscaled"/>
                    </v:fill>
                    <v:path arrowok="t"/>
                    <v:textbox inset="21.6pt,,21.6pt">
                      <w:txbxContent>
                        <w:p w:rsidR="00DC47AC" w:rsidRDefault="00DC47AC"/>
                      </w:txbxContent>
                    </v:textbox>
                    <w10:wrap anchorx="page" anchory="page"/>
                  </v:rect>
                </w:pict>
              </mc:Fallback>
            </mc:AlternateContent>
          </w:r>
          <w:r w:rsidRPr="00C066D6">
            <w:rPr>
              <w:noProof/>
              <w:lang w:eastAsia="cs-CZ"/>
            </w:rPr>
            <mc:AlternateContent>
              <mc:Choice Requires="wps">
                <w:drawing>
                  <wp:anchor distT="0" distB="0" distL="114300" distR="114300" simplePos="0" relativeHeight="251664384" behindDoc="0" locked="0" layoutInCell="1" allowOverlap="1" wp14:anchorId="1282C854" wp14:editId="3E4C028D">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467" name="Obdélník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C47AC" w:rsidRDefault="008B3A2E">
                                <w:pPr>
                                  <w:spacing w:before="240"/>
                                  <w:jc w:val="center"/>
                                  <w:rPr>
                                    <w:color w:val="FFFFFF" w:themeColor="background1"/>
                                  </w:rPr>
                                </w:pPr>
                                <w:sdt>
                                  <w:sdtPr>
                                    <w:rPr>
                                      <w:color w:val="FFFFFF" w:themeColor="background1"/>
                                    </w:rPr>
                                    <w:alias w:val="Resumé"/>
                                    <w:id w:val="8276291"/>
                                    <w:showingPlcHdr/>
                                    <w:dataBinding w:prefixMappings="xmlns:ns0='http://schemas.microsoft.com/office/2006/coverPageProps'" w:xpath="/ns0:CoverPageProperties[1]/ns0:Abstract[1]" w:storeItemID="{55AF091B-3C7A-41E3-B477-F2FDAA23CFDA}"/>
                                    <w:text/>
                                  </w:sdtPr>
                                  <w:sdtEndPr/>
                                  <w:sdtContent>
                                    <w:r w:rsidR="00DC47AC">
                                      <w:rPr>
                                        <w:color w:val="FFFFFF" w:themeColor="background1"/>
                                      </w:rPr>
                                      <w:t xml:space="preserve">     </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1282C854" id="Obdélník 467" o:spid="_x0000_s1027" style="position:absolute;left:0;text-align:left;margin-left:0;margin-top:0;width:226.45pt;height:237.6pt;z-index:251664384;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" fillcolor="#44546a [3215]" stroked="f" strokeweight="1pt">
                    <v:textbox inset="14.4pt,14.4pt,14.4pt,28.8pt">
                      <w:txbxContent>
                        <w:p w:rsidR="00DC47AC" w:rsidRDefault="00DC47AC">
                          <w:pPr>
                            <w:spacing w:before="240"/>
                            <w:jc w:val="center"/>
                            <w:rPr>
                              <w:color w:val="FFFFFF" w:themeColor="background1"/>
                            </w:rPr>
                          </w:pPr>
                          <w:sdt>
                            <w:sdtPr>
                              <w:rPr>
                                <w:color w:val="FFFFFF" w:themeColor="background1"/>
                              </w:rPr>
                              <w:alias w:val="Resumé"/>
                              <w:id w:val="8276291"/>
                              <w:showingPlcHdr/>
                              <w:dataBinding w:prefixMappings="xmlns:ns0='http://schemas.microsoft.com/office/2006/coverPageProps'" w:xpath="/ns0:CoverPageProperties[1]/ns0:Abstract[1]" w:storeItemID="{55AF091B-3C7A-41E3-B477-F2FDAA23CFDA}"/>
                              <w:text/>
                            </w:sdtPr>
                            <w:sdtContent>
                              <w:r>
                                <w:rPr>
                                  <w:color w:val="FFFFFF" w:themeColor="background1"/>
                                </w:rPr>
                                <w:t xml:space="preserve">     </w:t>
                              </w:r>
                            </w:sdtContent>
                          </w:sdt>
                        </w:p>
                      </w:txbxContent>
                    </v:textbox>
                    <w10:wrap anchorx="page" anchory="page"/>
                  </v:rect>
                </w:pict>
              </mc:Fallback>
            </mc:AlternateContent>
          </w:r>
          <w:r w:rsidRPr="00C066D6">
            <w:rPr>
              <w:noProof/>
              <w:lang w:eastAsia="cs-CZ"/>
            </w:rPr>
            <mc:AlternateContent>
              <mc:Choice Requires="wps">
                <w:drawing>
                  <wp:anchor distT="0" distB="0" distL="114300" distR="114300" simplePos="0" relativeHeight="251663360" behindDoc="0" locked="0" layoutInCell="1" allowOverlap="1" wp14:anchorId="050AB25E" wp14:editId="06697D25">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Obdélník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6BE973CE" id="Obdélník 468" o:spid="_x0000_s1026" style="position:absolute;margin-left:0;margin-top:0;width:244.8pt;height:554.4pt;z-index:251663360;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" fillcolor="white [3212]" strokecolor="#747070 [1614]" strokeweight="1.25pt">
                    <w10:wrap anchorx="page" anchory="page"/>
                  </v:rect>
                </w:pict>
              </mc:Fallback>
            </mc:AlternateContent>
          </w:r>
          <w:r w:rsidRPr="00C066D6">
            <w:rPr>
              <w:noProof/>
              <w:lang w:eastAsia="cs-CZ"/>
            </w:rPr>
            <mc:AlternateContent>
              <mc:Choice Requires="wps">
                <w:drawing>
                  <wp:anchor distT="0" distB="0" distL="114300" distR="114300" simplePos="0" relativeHeight="251666432" behindDoc="0" locked="0" layoutInCell="1" allowOverlap="1" wp14:anchorId="17F2A260" wp14:editId="524BFD9D">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469" name="Obdélník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26B66B2A" id="Obdélník 469" o:spid="_x0000_s1026" style="position:absolute;margin-left:0;margin-top:0;width:226.45pt;height:9.35pt;z-index:251666432;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" fillcolor="#5b9bd5 [3204]" stroked="f" strokeweight="1pt">
                    <w10:wrap anchorx="page" anchory="page"/>
                  </v:rect>
                </w:pict>
              </mc:Fallback>
            </mc:AlternateContent>
          </w:r>
          <w:r w:rsidRPr="00C066D6">
            <w:rPr>
              <w:noProof/>
              <w:lang w:eastAsia="cs-CZ"/>
            </w:rPr>
            <mc:AlternateContent>
              <mc:Choice Requires="wps">
                <w:drawing>
                  <wp:anchor distT="0" distB="0" distL="114300" distR="114300" simplePos="0" relativeHeight="251665408" behindDoc="0" locked="0" layoutInCell="1" allowOverlap="1" wp14:anchorId="484D477A" wp14:editId="57BBEC2F">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470" name="Textové pole 470"/>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sz w:val="48"/>
                                    <w:szCs w:val="48"/>
                                  </w:rPr>
                                  <w:alias w:val="Název"/>
                                  <w:id w:val="-958338334"/>
                                  <w:dataBinding w:prefixMappings="xmlns:ns0='http://schemas.openxmlformats.org/package/2006/metadata/core-properties' xmlns:ns1='http://purl.org/dc/elements/1.1/'" w:xpath="/ns0:coreProperties[1]/ns1:title[1]" w:storeItemID="{6C3C8BC8-F283-45AE-878A-BAB7291924A1}"/>
                                  <w:text/>
                                </w:sdtPr>
                                <w:sdtEndPr/>
                                <w:sdtContent>
                                  <w:p w:rsidR="00DC47AC" w:rsidRPr="00381874" w:rsidRDefault="00DC47AC" w:rsidP="00D01A68">
                                    <w:pPr>
                                      <w:spacing w:line="240" w:lineRule="auto"/>
                                      <w:jc w:val="left"/>
                                      <w:rPr>
                                        <w:rFonts w:asciiTheme="majorHAnsi" w:eastAsiaTheme="majorEastAsia" w:hAnsiTheme="majorHAnsi" w:cstheme="majorBidi"/>
                                        <w:color w:val="5B9BD5" w:themeColor="accent1"/>
                                        <w:sz w:val="48"/>
                                        <w:szCs w:val="48"/>
                                      </w:rPr>
                                    </w:pPr>
                                    <w:r w:rsidRPr="00381874">
                                      <w:rPr>
                                        <w:sz w:val="48"/>
                                        <w:szCs w:val="48"/>
                                      </w:rPr>
                                      <w:t>Metodika pro uplatnění pokročilých rizikových metod v predikci rizika požáru v silničních tunelech</w:t>
                                    </w:r>
                                  </w:p>
                                </w:sdtContent>
                              </w:sdt>
                              <w:sdt>
                                <w:sdtPr>
                                  <w:rPr>
                                    <w:rFonts w:asciiTheme="majorHAnsi" w:eastAsiaTheme="majorEastAsia" w:hAnsiTheme="majorHAnsi" w:cstheme="majorBidi"/>
                                    <w:color w:val="44546A" w:themeColor="text2"/>
                                    <w:sz w:val="32"/>
                                    <w:szCs w:val="32"/>
                                  </w:rPr>
                                  <w:alias w:val="Podtitul"/>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rsidR="00DC47AC" w:rsidRDefault="00DC47AC">
                                    <w:pP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color w:val="44546A" w:themeColor="text2"/>
                                        <w:sz w:val="32"/>
                                        <w:szCs w:val="32"/>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type w14:anchorId="484D477A" id="_x0000_t202" coordsize="21600,21600" o:spt="202" path="m,l,21600r21600,l21600,xe">
                    <v:stroke joinstyle="miter"/>
                    <v:path gradientshapeok="t" o:connecttype="rect"/>
                  </v:shapetype>
                  <v:shape id="Textové pole 470" o:spid="_x0000_s1028" type="#_x0000_t202" style="position:absolute;left:0;text-align:left;margin-left:0;margin-top:0;width:220.3pt;height:194.9pt;z-index:251665408;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" filled="f" stroked="f" strokeweight=".5pt">
                    <v:textbox style="mso-fit-shape-to-text:t">
                      <w:txbxContent>
                        <w:sdt>
                          <w:sdtPr>
                            <w:rPr>
                              <w:sz w:val="48"/>
                              <w:szCs w:val="48"/>
                            </w:rPr>
                            <w:alias w:val="Název"/>
                            <w:id w:val="-958338334"/>
                            <w:dataBinding w:prefixMappings="xmlns:ns0='http://schemas.openxmlformats.org/package/2006/metadata/core-properties' xmlns:ns1='http://purl.org/dc/elements/1.1/'" w:xpath="/ns0:coreProperties[1]/ns1:title[1]" w:storeItemID="{6C3C8BC8-F283-45AE-878A-BAB7291924A1}"/>
                            <w:text/>
                          </w:sdtPr>
                          <w:sdtContent>
                            <w:p w:rsidR="00DC47AC" w:rsidRPr="00381874" w:rsidRDefault="00DC47AC" w:rsidP="00D01A68">
                              <w:pPr>
                                <w:spacing w:line="240" w:lineRule="auto"/>
                                <w:jc w:val="left"/>
                                <w:rPr>
                                  <w:rFonts w:asciiTheme="majorHAnsi" w:eastAsiaTheme="majorEastAsia" w:hAnsiTheme="majorHAnsi" w:cstheme="majorBidi"/>
                                  <w:color w:val="5B9BD5" w:themeColor="accent1"/>
                                  <w:sz w:val="48"/>
                                  <w:szCs w:val="48"/>
                                </w:rPr>
                              </w:pPr>
                              <w:r w:rsidRPr="00381874">
                                <w:rPr>
                                  <w:sz w:val="48"/>
                                  <w:szCs w:val="48"/>
                                </w:rPr>
                                <w:t>Metodika pro uplatnění pokročilých rizikových metod v predikci rizika požáru v silničních tunelech</w:t>
                              </w:r>
                            </w:p>
                          </w:sdtContent>
                        </w:sdt>
                        <w:sdt>
                          <w:sdtPr>
                            <w:rPr>
                              <w:rFonts w:asciiTheme="majorHAnsi" w:eastAsiaTheme="majorEastAsia" w:hAnsiTheme="majorHAnsi" w:cstheme="majorBidi"/>
                              <w:color w:val="44546A" w:themeColor="text2"/>
                              <w:sz w:val="32"/>
                              <w:szCs w:val="32"/>
                            </w:rPr>
                            <w:alias w:val="Podtitul"/>
                            <w:id w:val="15524255"/>
                            <w:showingPlcHdr/>
                            <w:dataBinding w:prefixMappings="xmlns:ns0='http://schemas.openxmlformats.org/package/2006/metadata/core-properties' xmlns:ns1='http://purl.org/dc/elements/1.1/'" w:xpath="/ns0:coreProperties[1]/ns1:subject[1]" w:storeItemID="{6C3C8BC8-F283-45AE-878A-BAB7291924A1}"/>
                            <w:text/>
                          </w:sdtPr>
                          <w:sdtContent>
                            <w:p w:rsidR="00DC47AC" w:rsidRDefault="00DC47AC">
                              <w:pP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color w:val="44546A" w:themeColor="text2"/>
                                  <w:sz w:val="32"/>
                                  <w:szCs w:val="32"/>
                                </w:rPr>
                                <w:t xml:space="preserve">     </w:t>
                              </w:r>
                            </w:p>
                          </w:sdtContent>
                        </w:sdt>
                      </w:txbxContent>
                    </v:textbox>
                    <w10:wrap type="square" anchorx="page" anchory="page"/>
                  </v:shape>
                </w:pict>
              </mc:Fallback>
            </mc:AlternateContent>
          </w:r>
        </w:p>
        <w:p w:rsidR="003816D0" w:rsidRPr="00C066D6" w:rsidRDefault="00D01A68" w:rsidP="003816D0">
          <w:pPr>
            <w:jc w:val="left"/>
            <w:rPr>
              <w:rFonts w:asciiTheme="majorHAnsi" w:eastAsiaTheme="majorEastAsia" w:hAnsiTheme="majorHAnsi" w:cstheme="majorBidi"/>
              <w:color w:val="2E74B5" w:themeColor="accent1" w:themeShade="BF"/>
              <w:sz w:val="32"/>
              <w:szCs w:val="32"/>
            </w:rPr>
          </w:pPr>
          <w:r w:rsidRPr="00C066D6">
            <w:rPr>
              <w:noProof/>
              <w:lang w:eastAsia="cs-CZ"/>
            </w:rPr>
            <mc:AlternateContent>
              <mc:Choice Requires="wps">
                <w:drawing>
                  <wp:anchor distT="0" distB="0" distL="114300" distR="114300" simplePos="0" relativeHeight="251668480" behindDoc="0" locked="0" layoutInCell="1" allowOverlap="1" wp14:anchorId="5F60B13F" wp14:editId="1B7CA67D">
                    <wp:simplePos x="0" y="0"/>
                    <wp:positionH relativeFrom="page">
                      <wp:posOffset>3468370</wp:posOffset>
                    </wp:positionH>
                    <wp:positionV relativeFrom="page">
                      <wp:posOffset>6694805</wp:posOffset>
                    </wp:positionV>
                    <wp:extent cx="2797810" cy="268605"/>
                    <wp:effectExtent l="0" t="0" r="0" b="0"/>
                    <wp:wrapSquare wrapText="bothSides"/>
                    <wp:docPr id="465" name="Textové pole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rsidR="00DC47AC" w:rsidRDefault="00DC47AC">
                                <w:pPr>
                                  <w:pStyle w:val="Bezmezer"/>
                                  <w:rPr>
                                    <w:color w:val="44546A" w:themeColor="text2"/>
                                  </w:rPr>
                                </w:pPr>
                                <w:r>
                                  <w:rPr>
                                    <w:color w:val="44546A" w:themeColor="text2"/>
                                  </w:rPr>
                                  <w:t>Prof. Ing. Jiří ŠEJNOHA, DrSc., FEng.</w:t>
                                </w:r>
                              </w:p>
                              <w:p w:rsidR="00DC47AC" w:rsidRDefault="00DC47AC">
                                <w:pPr>
                                  <w:pStyle w:val="Bezmezer"/>
                                  <w:rPr>
                                    <w:color w:val="44546A" w:themeColor="text2"/>
                                  </w:rPr>
                                </w:pPr>
                                <w:r>
                                  <w:rPr>
                                    <w:color w:val="44546A" w:themeColor="text2"/>
                                  </w:rPr>
                                  <w:t>Ing. Jan SÝKORA, Ph.D.</w:t>
                                </w:r>
                              </w:p>
                              <w:p w:rsidR="00DC47AC" w:rsidRDefault="00DC47AC">
                                <w:pPr>
                                  <w:pStyle w:val="Bezmezer"/>
                                  <w:rPr>
                                    <w:color w:val="44546A" w:themeColor="text2"/>
                                  </w:rPr>
                                </w:pPr>
                                <w:r>
                                  <w:rPr>
                                    <w:color w:val="44546A" w:themeColor="text2"/>
                                  </w:rPr>
                                  <w:t>Ing. Eva NOVOTNÁ, Ph.D.</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 w14:anchorId="5F60B13F" id="Textové pole 465" o:spid="_x0000_s1029" type="#_x0000_t202" style="position:absolute;margin-left:273.1pt;margin-top:527.15pt;width:220.3pt;height:21.15pt;z-index:251668480;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" filled="f" stroked="f" strokeweight=".5pt">
                    <v:textbox style="mso-fit-shape-to-text:t">
                      <w:txbxContent>
                        <w:p w:rsidR="00DC47AC" w:rsidRDefault="00DC47AC">
                          <w:pPr>
                            <w:pStyle w:val="Bezmezer"/>
                            <w:rPr>
                              <w:color w:val="44546A" w:themeColor="text2"/>
                            </w:rPr>
                          </w:pPr>
                          <w:r>
                            <w:rPr>
                              <w:color w:val="44546A" w:themeColor="text2"/>
                            </w:rPr>
                            <w:t>Prof. Ing. Jiří ŠEJNOHA, DrSc., FEng.</w:t>
                          </w:r>
                        </w:p>
                        <w:p w:rsidR="00DC47AC" w:rsidRDefault="00DC47AC">
                          <w:pPr>
                            <w:pStyle w:val="Bezmezer"/>
                            <w:rPr>
                              <w:color w:val="44546A" w:themeColor="text2"/>
                            </w:rPr>
                          </w:pPr>
                          <w:r>
                            <w:rPr>
                              <w:color w:val="44546A" w:themeColor="text2"/>
                            </w:rPr>
                            <w:t>Ing. Jan SÝKORA, Ph.D.</w:t>
                          </w:r>
                        </w:p>
                        <w:p w:rsidR="00DC47AC" w:rsidRDefault="00DC47AC">
                          <w:pPr>
                            <w:pStyle w:val="Bezmezer"/>
                            <w:rPr>
                              <w:color w:val="44546A" w:themeColor="text2"/>
                            </w:rPr>
                          </w:pPr>
                          <w:r>
                            <w:rPr>
                              <w:color w:val="44546A" w:themeColor="text2"/>
                            </w:rPr>
                            <w:t>Ing. Eva NOVOTNÁ, Ph.D.</w:t>
                          </w:r>
                        </w:p>
                      </w:txbxContent>
                    </v:textbox>
                    <w10:wrap type="square" anchorx="page" anchory="page"/>
                  </v:shape>
                </w:pict>
              </mc:Fallback>
            </mc:AlternateContent>
          </w:r>
          <w:r w:rsidR="003816D0" w:rsidRPr="00C066D6">
            <w:br w:type="page"/>
          </w:r>
        </w:p>
      </w:sdtContent>
    </w:sdt>
    <w:p w:rsidR="00371129" w:rsidRPr="00C066D6" w:rsidRDefault="008C3304" w:rsidP="00EB1FA8">
      <w:pPr>
        <w:pStyle w:val="Nadpis1"/>
      </w:pPr>
      <w:r w:rsidRPr="00C066D6">
        <w:lastRenderedPageBreak/>
        <w:t xml:space="preserve">1 Úvod </w:t>
      </w:r>
    </w:p>
    <w:p w:rsidR="008C3304" w:rsidRPr="00C066D6" w:rsidRDefault="008C3304" w:rsidP="00296218">
      <w:r w:rsidRPr="00C066D6">
        <w:t>Z hlediska kvantitativní rizikové analýzy (QRA) je riziko v navrhované metodice chápáno jako pravděpodobná peněžní ztráta způsobená požárem v silničním tunelu.  Vyjadřuje se jako součin pravděpodobnosti výskytu události (četnosti za rok) a důsledku těchto událostí (finanční ztráty).</w:t>
      </w:r>
    </w:p>
    <w:p w:rsidR="008C3304" w:rsidRPr="00C066D6" w:rsidRDefault="008C3304" w:rsidP="00296218">
      <w:r w:rsidRPr="00C066D6">
        <w:t>Metodika navazuje na model QRAM, vytvořený ve spolupráci OECD (</w:t>
      </w:r>
      <w:r w:rsidR="009748F6" w:rsidRPr="00C066D6">
        <w:t>Organization</w:t>
      </w:r>
      <w:r w:rsidRPr="00C066D6">
        <w:t xml:space="preserve"> for Economic Cooperation and Development), PIARC (World Road Association) a Evropské komise, viz [</w:t>
      </w:r>
      <w:r w:rsidR="00296218" w:rsidRPr="00C066D6">
        <w:t>1</w:t>
      </w:r>
      <w:r w:rsidRPr="00C066D6">
        <w:t xml:space="preserve">], a zaměřený především na </w:t>
      </w:r>
      <w:r w:rsidRPr="00C066D6">
        <w:rPr>
          <w:i/>
        </w:rPr>
        <w:t xml:space="preserve">škody na zdraví a na ztráty na životech </w:t>
      </w:r>
      <w:r w:rsidRPr="00C066D6">
        <w:t xml:space="preserve">způsobené nehodami při přepravě nebezpečného zboží. Principy řešení jsou pro úplnost shrnuty v Odst. 3.1. </w:t>
      </w:r>
    </w:p>
    <w:p w:rsidR="008C3304" w:rsidRPr="00C066D6" w:rsidRDefault="008C3304" w:rsidP="008C3304">
      <w:r w:rsidRPr="00C066D6">
        <w:t>Oproti QRAM je</w:t>
      </w:r>
      <w:r w:rsidR="00296218" w:rsidRPr="00C066D6">
        <w:t xml:space="preserve"> nově navržená metodika zaměřená</w:t>
      </w:r>
      <w:r w:rsidRPr="00C066D6">
        <w:t xml:space="preserve"> na hodnocení </w:t>
      </w:r>
      <w:r w:rsidRPr="00C066D6">
        <w:rPr>
          <w:i/>
        </w:rPr>
        <w:t>škody na majetku</w:t>
      </w:r>
      <w:r w:rsidRPr="00C066D6">
        <w:t>, konkrétně</w:t>
      </w:r>
      <w:r w:rsidR="00296218" w:rsidRPr="00C066D6">
        <w:t xml:space="preserve"> na</w:t>
      </w:r>
      <w:r w:rsidRPr="00C066D6">
        <w:t xml:space="preserve"> tunelovém ostění za požáru. </w:t>
      </w:r>
    </w:p>
    <w:p w:rsidR="008C3304" w:rsidRPr="00C066D6" w:rsidRDefault="008C3304" w:rsidP="008C3304">
      <w:r w:rsidRPr="00C066D6">
        <w:t xml:space="preserve">Z porovnání odlišnosti obou přístupů ke kvantitativní rizikové analýze je patrná novost aktuálně navrhované metodiky. </w:t>
      </w:r>
    </w:p>
    <w:p w:rsidR="008C3304" w:rsidRPr="00C066D6" w:rsidRDefault="008C3304" w:rsidP="008C3304">
      <w:r w:rsidRPr="00C066D6">
        <w:t>Jako podklad pro ekonomické hodnocení a výběr optimálních varia</w:t>
      </w:r>
      <w:r w:rsidR="00296218" w:rsidRPr="00C066D6">
        <w:t xml:space="preserve">nt konstrukčních řešení je v Čl. 3.3 </w:t>
      </w:r>
      <w:r w:rsidRPr="00C066D6">
        <w:t xml:space="preserve"> aplikována teorie užitku. Zahrnuje jak přímé škody na majetku způsobené požárem, tak nepřímé finanční ztráty vyvolané přerušením provozu v tunelu, ale i zvýšené náklady na protipožární opatření a opatření ke zmírnění dopadů požáru. </w:t>
      </w:r>
    </w:p>
    <w:p w:rsidR="008C3304" w:rsidRPr="00C066D6" w:rsidRDefault="008C3304" w:rsidP="008C3304">
      <w:r w:rsidRPr="00C066D6">
        <w:t>Teoretické základy metodiky jsou p</w:t>
      </w:r>
      <w:r w:rsidR="00296218" w:rsidRPr="00C066D6">
        <w:t xml:space="preserve">odrobně popsány v publikacích </w:t>
      </w:r>
      <w:r w:rsidR="003B6A1C" w:rsidRPr="00C066D6">
        <w:t>[12]</w:t>
      </w:r>
      <w:r w:rsidRPr="00C066D6">
        <w:t xml:space="preserve">, </w:t>
      </w:r>
      <w:r w:rsidR="003B6A1C" w:rsidRPr="00C066D6">
        <w:t>[13]</w:t>
      </w:r>
      <w:r w:rsidRPr="00C066D6">
        <w:t xml:space="preserve"> a </w:t>
      </w:r>
      <w:r w:rsidR="003B6A1C" w:rsidRPr="00C066D6">
        <w:t>[14]</w:t>
      </w:r>
      <w:r w:rsidR="00296218" w:rsidRPr="00C066D6">
        <w:t xml:space="preserve">. Kromě prestižní publikace </w:t>
      </w:r>
      <w:r w:rsidR="003B6A1C" w:rsidRPr="00C066D6">
        <w:t>[12]</w:t>
      </w:r>
      <w:r w:rsidRPr="00C066D6">
        <w:t xml:space="preserve"> lze možnosti dalšího rozvoje metodiky nalézt v prestižní publikaci autorského kolektivu </w:t>
      </w:r>
      <w:r w:rsidR="003B6A1C" w:rsidRPr="00C066D6">
        <w:t>[15]</w:t>
      </w:r>
      <w:r w:rsidRPr="00C066D6">
        <w:t>.</w:t>
      </w:r>
    </w:p>
    <w:p w:rsidR="00371129" w:rsidRPr="00C066D6" w:rsidRDefault="00371129" w:rsidP="00EB1FA8"/>
    <w:p w:rsidR="002A3F62" w:rsidRPr="00C066D6" w:rsidRDefault="00371129" w:rsidP="00EB1FA8">
      <w:pPr>
        <w:pStyle w:val="Nadpis1"/>
      </w:pPr>
      <w:r w:rsidRPr="00C066D6">
        <w:t>2</w:t>
      </w:r>
      <w:r w:rsidR="002A3F62" w:rsidRPr="00C066D6">
        <w:t xml:space="preserve"> Cíl metodiky</w:t>
      </w:r>
    </w:p>
    <w:p w:rsidR="008C3304" w:rsidRPr="00C066D6" w:rsidRDefault="008C3304" w:rsidP="008C3304">
      <w:r w:rsidRPr="00C066D6">
        <w:t>Cílem metodiky je předložit prakticky využitelné postupy k efektivní predikci rizika finančních ztrát vyvolaných požárem v silničním tunelu.</w:t>
      </w:r>
    </w:p>
    <w:p w:rsidR="002A3F62" w:rsidRPr="00C066D6" w:rsidRDefault="002A3F62" w:rsidP="00EB1FA8">
      <w:r w:rsidRPr="00C066D6">
        <w:t xml:space="preserve">Rámec rizikové analýzy je schematicky znázorněn v Obr. 1. Metody zaměřené na analýzu rizika za požáru vyžadují (i) </w:t>
      </w:r>
      <w:r w:rsidRPr="00C066D6">
        <w:rPr>
          <w:i/>
        </w:rPr>
        <w:t>vyhodnocení nebezpečí požáru</w:t>
      </w:r>
      <w:r w:rsidRPr="00C066D6">
        <w:t xml:space="preserve"> a (ii) </w:t>
      </w:r>
      <w:r w:rsidRPr="00C066D6">
        <w:rPr>
          <w:i/>
        </w:rPr>
        <w:t>analýzu důsledků požáru</w:t>
      </w:r>
      <w:r w:rsidRPr="00C066D6">
        <w:t>. První krok využívá zejména techniku HAZOP</w:t>
      </w:r>
      <w:r w:rsidRPr="00C066D6">
        <w:rPr>
          <w:rStyle w:val="Znakapoznpodarou"/>
        </w:rPr>
        <w:footnoteReference w:id="1"/>
      </w:r>
      <w:r w:rsidRPr="00C066D6">
        <w:t>, často ve spojení s metodami FMA či FMEA</w:t>
      </w:r>
      <w:r w:rsidRPr="00C066D6">
        <w:rPr>
          <w:rStyle w:val="Znakapoznpodarou"/>
        </w:rPr>
        <w:footnoteReference w:id="2"/>
      </w:r>
      <w:r w:rsidRPr="00C066D6">
        <w:t>. Je zaměřen na nebezpečí vzniku požáru a výbuchu, scénáře za požáru, jakož i otázky ochrany majetku a lidí. Předmětem druhého kroku je analýza důsledků požáru, při čemž se zpravidla využívá hybridní přístup, spočívající v kombinaci historických dat o požárních událostech s modelovými nástroji, jako je počítačová fluidní dynamika (CFD) nebo metoda konečných prvků (FEM), a s inženýrským úsudkem, viz např. [</w:t>
      </w:r>
      <w:r w:rsidR="00C23E65" w:rsidRPr="00C066D6">
        <w:t>2</w:t>
      </w:r>
      <w:r w:rsidRPr="00C066D6">
        <w:t>], [</w:t>
      </w:r>
      <w:r w:rsidR="00C23E65" w:rsidRPr="00C066D6">
        <w:t>3</w:t>
      </w:r>
      <w:r w:rsidRPr="00C066D6">
        <w:t xml:space="preserve">]. Navazující krokem je (iii) </w:t>
      </w:r>
      <w:r w:rsidRPr="00C066D6">
        <w:rPr>
          <w:i/>
        </w:rPr>
        <w:t xml:space="preserve">vyhodnocení rizika za požáru </w:t>
      </w:r>
      <w:r w:rsidRPr="00C066D6">
        <w:t xml:space="preserve">a (iv) </w:t>
      </w:r>
      <w:r w:rsidRPr="00C066D6">
        <w:rPr>
          <w:i/>
        </w:rPr>
        <w:t xml:space="preserve">monitoring rizika. </w:t>
      </w:r>
    </w:p>
    <w:p w:rsidR="002A3F62" w:rsidRPr="00C066D6" w:rsidRDefault="002A3F62" w:rsidP="00EB1FA8">
      <w:r w:rsidRPr="00C066D6">
        <w:lastRenderedPageBreak/>
        <w:t xml:space="preserve">Vyhodnocení rizika vyžaduje (iiia) </w:t>
      </w:r>
      <w:r w:rsidRPr="00C066D6">
        <w:rPr>
          <w:i/>
        </w:rPr>
        <w:t>výběr vhodné metody</w:t>
      </w:r>
      <w:r w:rsidRPr="00C066D6">
        <w:t xml:space="preserve"> (kvalitativní analýza, analýza LOPA,</w:t>
      </w:r>
      <w:r w:rsidRPr="00C066D6">
        <w:rPr>
          <w:rStyle w:val="Znakapoznpodarou"/>
        </w:rPr>
        <w:footnoteReference w:id="3"/>
      </w:r>
      <w:r w:rsidRPr="00C066D6">
        <w:t xml:space="preserve"> kvantitativní riziková analýza (QRA)) a (iiib) </w:t>
      </w:r>
      <w:r w:rsidRPr="00C066D6">
        <w:rPr>
          <w:i/>
        </w:rPr>
        <w:t>návrh opatření na redukci rizika.</w:t>
      </w:r>
      <w:r w:rsidRPr="00C066D6">
        <w:t xml:space="preserve"> (preventivní opatření, ochranná opatření)</w:t>
      </w:r>
    </w:p>
    <w:p w:rsidR="00B23F2D" w:rsidRPr="00C066D6" w:rsidRDefault="00A60793" w:rsidP="00EB1FA8">
      <w:r w:rsidRPr="00C066D6">
        <w:rPr>
          <w:noProof/>
          <w:lang w:eastAsia="cs-CZ"/>
        </w:rPr>
        <w:drawing>
          <wp:inline distT="0" distB="0" distL="0" distR="0" wp14:anchorId="180BD2C5" wp14:editId="18A17C60">
            <wp:extent cx="5758180" cy="3571875"/>
            <wp:effectExtent l="0" t="0" r="0" b="952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11459"/>
                    <a:stretch/>
                  </pic:blipFill>
                  <pic:spPr bwMode="auto">
                    <a:xfrm>
                      <a:off x="0" y="0"/>
                      <a:ext cx="5758180" cy="3571875"/>
                    </a:xfrm>
                    <a:prstGeom prst="rect">
                      <a:avLst/>
                    </a:prstGeom>
                    <a:noFill/>
                    <a:ln>
                      <a:noFill/>
                    </a:ln>
                    <a:extLst>
                      <a:ext uri="{53640926-AAD7-44D8-BBD7-CCE9431645EC}">
                        <a14:shadowObscured xmlns:a14="http://schemas.microsoft.com/office/drawing/2010/main"/>
                      </a:ext>
                    </a:extLst>
                  </pic:spPr>
                </pic:pic>
              </a:graphicData>
            </a:graphic>
          </wp:inline>
        </w:drawing>
      </w:r>
    </w:p>
    <w:p w:rsidR="002A3F62" w:rsidRPr="00C066D6" w:rsidRDefault="002A3F62" w:rsidP="002F542E">
      <w:pPr>
        <w:jc w:val="center"/>
      </w:pPr>
      <w:r w:rsidRPr="00C066D6">
        <w:t>Obr. 1 Rámec rizikové analýzy</w:t>
      </w:r>
    </w:p>
    <w:p w:rsidR="002A3F62" w:rsidRPr="00C066D6" w:rsidRDefault="002A3F62" w:rsidP="00163B46">
      <w:r w:rsidRPr="00C066D6">
        <w:t xml:space="preserve">V této metodice je aplikována QRA </w:t>
      </w:r>
      <w:r w:rsidRPr="00C066D6">
        <w:rPr>
          <w:b/>
        </w:rPr>
        <w:t>- kvantitativní riziková analýza</w:t>
      </w:r>
      <w:r w:rsidRPr="00C066D6">
        <w:t xml:space="preserve"> (vyznačená na Obr. 1 tučně). </w:t>
      </w:r>
    </w:p>
    <w:p w:rsidR="002A3F62" w:rsidRPr="00C066D6" w:rsidRDefault="00371129" w:rsidP="00EB1FA8">
      <w:pPr>
        <w:pStyle w:val="Nadpis1"/>
      </w:pPr>
      <w:r w:rsidRPr="00C066D6">
        <w:t>3</w:t>
      </w:r>
      <w:r w:rsidR="002A3F62" w:rsidRPr="00C066D6">
        <w:t xml:space="preserve"> Popis </w:t>
      </w:r>
      <w:r w:rsidR="00A60793" w:rsidRPr="00C066D6">
        <w:t xml:space="preserve">stávající </w:t>
      </w:r>
      <w:r w:rsidR="002A3F62" w:rsidRPr="00C066D6">
        <w:t>metodiky</w:t>
      </w:r>
    </w:p>
    <w:p w:rsidR="002A3F62" w:rsidRPr="00C066D6" w:rsidRDefault="00371129" w:rsidP="00EB1FA8">
      <w:pPr>
        <w:pStyle w:val="Nadpis2"/>
      </w:pPr>
      <w:r w:rsidRPr="00C066D6">
        <w:t>3</w:t>
      </w:r>
      <w:r w:rsidR="002A3F62" w:rsidRPr="00C066D6">
        <w:t>.1 Hodnocení rizika škody na zdraví a ztrát na lidských životech</w:t>
      </w:r>
    </w:p>
    <w:p w:rsidR="002A3F62" w:rsidRPr="00C066D6" w:rsidRDefault="002A3F62" w:rsidP="00EB1FA8">
      <w:r w:rsidRPr="00C066D6">
        <w:t>Důležitost predikce škod na zdraví a ztrát na životech je mimo pochybnost. Obtížné je najít a odhadnout monetární ekvivalent pro takový důsledek požáru a porovnat jej s náklady a monetárními ekvivalenty jiných typů, jako jsou škody na majetku a nepřímé ztráty, např. v důsledku přerušení provozu v tunelu. Uznávané jsou čtyři základní metody:</w:t>
      </w:r>
    </w:p>
    <w:p w:rsidR="002A3F62" w:rsidRPr="00C066D6" w:rsidRDefault="002A3F62" w:rsidP="00EB1FA8">
      <w:pPr>
        <w:pStyle w:val="Odstavecseseznamem"/>
        <w:numPr>
          <w:ilvl w:val="0"/>
          <w:numId w:val="1"/>
        </w:numPr>
      </w:pPr>
      <w:r w:rsidRPr="00C066D6">
        <w:t>Ekvivalentem hodnoty lidského života je hrubý výkon, vyjádřený množstvím zboží a služeb, které by osoba mohla vyprodukovat, pokud by nedošlo ke smrti</w:t>
      </w:r>
    </w:p>
    <w:p w:rsidR="002A3F62" w:rsidRPr="00C066D6" w:rsidRDefault="002A3F62" w:rsidP="00EB1FA8">
      <w:pPr>
        <w:pStyle w:val="Odstavecseseznamem"/>
        <w:numPr>
          <w:ilvl w:val="0"/>
          <w:numId w:val="1"/>
        </w:numPr>
      </w:pPr>
      <w:r w:rsidRPr="00C066D6">
        <w:t>Hodnota života se odvozuje od výše životní pojistky osob</w:t>
      </w:r>
    </w:p>
    <w:p w:rsidR="002A3F62" w:rsidRPr="00C066D6" w:rsidRDefault="002A3F62" w:rsidP="00EB1FA8">
      <w:pPr>
        <w:pStyle w:val="Odstavecseseznamem"/>
        <w:numPr>
          <w:ilvl w:val="0"/>
          <w:numId w:val="1"/>
        </w:numPr>
      </w:pPr>
      <w:r w:rsidRPr="00C066D6">
        <w:t xml:space="preserve">Hodnota života se odvozuje od soudně stanovených náhrad pozůstalým </w:t>
      </w:r>
    </w:p>
    <w:p w:rsidR="002A3F62" w:rsidRPr="00C066D6" w:rsidRDefault="002A3F62" w:rsidP="00EB1FA8">
      <w:pPr>
        <w:pStyle w:val="Odstavecseseznamem"/>
        <w:numPr>
          <w:ilvl w:val="0"/>
          <w:numId w:val="1"/>
        </w:numPr>
      </w:pPr>
      <w:r w:rsidRPr="00C066D6">
        <w:t>Hodnota života se měří množstvím peněz, které jsou osoby ochotny utratit za zvýšení své bezpečnosti a redukovat riziko úmrtnosti.</w:t>
      </w:r>
    </w:p>
    <w:p w:rsidR="002A3F62" w:rsidRPr="00C066D6" w:rsidRDefault="002A3F62" w:rsidP="00EB1FA8">
      <w:r w:rsidRPr="00C066D6">
        <w:lastRenderedPageBreak/>
        <w:t xml:space="preserve">Všechny metody mají svá zjevná úskalí. Proto ekonomové kombinují tyto přístupy a i tak docházejí ke značným rozdílům ve svých inferencích. Pro určitost, </w:t>
      </w:r>
      <w:r w:rsidR="00A60793" w:rsidRPr="00C066D6">
        <w:t xml:space="preserve">publikace </w:t>
      </w:r>
      <w:r w:rsidRPr="00C066D6">
        <w:t>[</w:t>
      </w:r>
      <w:r w:rsidR="00C23E65" w:rsidRPr="00C066D6">
        <w:t>2</w:t>
      </w:r>
      <w:r w:rsidRPr="00C066D6">
        <w:t>] se odvolává na zprávu z roku 1981, která uvádí hodnoty statistického života v rozpětí 50000 USD – 8 mil. USD.</w:t>
      </w:r>
    </w:p>
    <w:p w:rsidR="002A3F62" w:rsidRPr="00C066D6" w:rsidRDefault="002A3F62" w:rsidP="00EB1FA8">
      <w:r w:rsidRPr="00C066D6">
        <w:t xml:space="preserve">Důsledek se proto obvykle vyjadřuje počtem obětí </w:t>
      </w:r>
      <w:r w:rsidRPr="00C066D6">
        <w:rPr>
          <w:i/>
        </w:rPr>
        <w:t xml:space="preserve">N. </w:t>
      </w:r>
      <w:r w:rsidRPr="00C066D6">
        <w:t>Potom</w:t>
      </w:r>
      <w:r w:rsidRPr="00C066D6">
        <w:rPr>
          <w:i/>
        </w:rPr>
        <w:t xml:space="preserve"> sociální riziko</w:t>
      </w:r>
      <w:r w:rsidRPr="00C066D6">
        <w:t>, které se vztahuje na skupinu osob</w:t>
      </w:r>
      <w:r w:rsidRPr="00C066D6">
        <w:rPr>
          <w:rStyle w:val="Znakapoznpodarou"/>
        </w:rPr>
        <w:footnoteReference w:id="4"/>
      </w:r>
      <w:r w:rsidRPr="00C066D6">
        <w:t xml:space="preserve">, je reprezentováno </w:t>
      </w:r>
      <w:r w:rsidRPr="00C066D6">
        <w:rPr>
          <w:i/>
        </w:rPr>
        <w:t xml:space="preserve">F-N </w:t>
      </w:r>
      <w:r w:rsidRPr="00C066D6">
        <w:t xml:space="preserve">diagramem. V něm </w:t>
      </w:r>
      <w:r w:rsidRPr="00C066D6">
        <w:rPr>
          <w:i/>
        </w:rPr>
        <w:t>F</w:t>
      </w:r>
      <w:r w:rsidRPr="00C066D6">
        <w:t xml:space="preserve"> je</w:t>
      </w:r>
      <w:r w:rsidRPr="00C066D6">
        <w:rPr>
          <w:i/>
        </w:rPr>
        <w:t xml:space="preserve"> kumulativní četnost, </w:t>
      </w:r>
      <w:r w:rsidRPr="00C066D6">
        <w:t xml:space="preserve">s níž událost způsobí větší počet obětí než </w:t>
      </w:r>
      <w:r w:rsidRPr="00C066D6">
        <w:rPr>
          <w:i/>
        </w:rPr>
        <w:t>N</w:t>
      </w:r>
      <w:r w:rsidRPr="00C066D6">
        <w:t xml:space="preserve">, viz Obr. 2. Křivku </w:t>
      </w:r>
      <w:r w:rsidRPr="00C066D6">
        <w:rPr>
          <w:i/>
        </w:rPr>
        <w:t xml:space="preserve">F-N </w:t>
      </w:r>
      <w:r w:rsidRPr="00C066D6">
        <w:t xml:space="preserve">lze sestrojit pomocí </w:t>
      </w:r>
      <w:r w:rsidR="00833369" w:rsidRPr="00C066D6">
        <w:t xml:space="preserve"> SW </w:t>
      </w:r>
      <w:r w:rsidRPr="00C066D6">
        <w:t xml:space="preserve">nástroje QRAM. K tomu jsou nezbytná vstupní data, jako jsou údaje o dopravě a četnosti nehod, dále možné scénáře, za nichž k nehodě dojde, meteorologické podmínky, údaje o vybavení tunelu, pokud je tunel na trase, ad. Křivka </w:t>
      </w:r>
      <w:r w:rsidRPr="00C066D6">
        <w:rPr>
          <w:i/>
        </w:rPr>
        <w:t xml:space="preserve">F-N </w:t>
      </w:r>
      <w:r w:rsidRPr="00C066D6">
        <w:t xml:space="preserve">by se měla nacházet v oblasti ALARP (As Low As Reasonably Practicable), která je vymezena dvěma úrovněmi oddělujícími oblasti nepřijatelně vysokého rizika </w:t>
      </w:r>
      <w:r w:rsidRPr="00C066D6">
        <w:rPr>
          <w:b/>
        </w:rPr>
        <w:t xml:space="preserve">H </w:t>
      </w:r>
      <w:r w:rsidRPr="00C066D6">
        <w:t xml:space="preserve">a a široce akceptovatelného (tolerovatelného) rizika </w:t>
      </w:r>
      <w:r w:rsidRPr="00C066D6">
        <w:rPr>
          <w:b/>
        </w:rPr>
        <w:t>L</w:t>
      </w:r>
      <w:r w:rsidRPr="00C066D6">
        <w:t xml:space="preserve">. </w:t>
      </w:r>
    </w:p>
    <w:p w:rsidR="00B23F2D" w:rsidRPr="00C066D6" w:rsidRDefault="003816D0" w:rsidP="003816D0">
      <w:pPr>
        <w:jc w:val="center"/>
      </w:pPr>
      <w:r w:rsidRPr="00C066D6">
        <w:rPr>
          <w:noProof/>
          <w:lang w:eastAsia="cs-CZ"/>
        </w:rPr>
        <w:drawing>
          <wp:inline distT="0" distB="0" distL="0" distR="0" wp14:anchorId="062D3A2F" wp14:editId="101DBF3F">
            <wp:extent cx="4743011" cy="2936149"/>
            <wp:effectExtent l="0" t="0" r="635"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3938" cy="2942913"/>
                    </a:xfrm>
                    <a:prstGeom prst="rect">
                      <a:avLst/>
                    </a:prstGeom>
                    <a:noFill/>
                    <a:ln>
                      <a:noFill/>
                    </a:ln>
                  </pic:spPr>
                </pic:pic>
              </a:graphicData>
            </a:graphic>
          </wp:inline>
        </w:drawing>
      </w:r>
    </w:p>
    <w:p w:rsidR="00355865" w:rsidRPr="00C066D6" w:rsidRDefault="00DA1450" w:rsidP="002F542E">
      <w:pPr>
        <w:jc w:val="center"/>
      </w:pPr>
      <w:r w:rsidRPr="00C066D6">
        <w:t>Obr. 2 Křivka F-N</w:t>
      </w:r>
    </w:p>
    <w:p w:rsidR="006826DE" w:rsidRPr="00C066D6" w:rsidRDefault="006826DE" w:rsidP="00EB1FA8"/>
    <w:p w:rsidR="006826DE" w:rsidRPr="00C066D6" w:rsidRDefault="00263B35" w:rsidP="00EB1FA8">
      <w:r w:rsidRPr="00C066D6">
        <w:t xml:space="preserve">Tři oblasti v Obr. 2 jsou </w:t>
      </w:r>
      <w:r w:rsidR="00045B46" w:rsidRPr="00C066D6">
        <w:t xml:space="preserve">verbálně </w:t>
      </w:r>
      <w:r w:rsidRPr="00C066D6">
        <w:t>definovány takto:</w:t>
      </w:r>
    </w:p>
    <w:p w:rsidR="00263B35" w:rsidRPr="00C066D6" w:rsidRDefault="00263B35" w:rsidP="00EB1FA8">
      <w:pPr>
        <w:pStyle w:val="Odstavecseseznamem"/>
        <w:numPr>
          <w:ilvl w:val="0"/>
          <w:numId w:val="4"/>
        </w:numPr>
      </w:pPr>
      <w:r w:rsidRPr="00C066D6">
        <w:t xml:space="preserve">Nepřijatelně vysoké (netolerovatelné) riziko </w:t>
      </w:r>
      <w:r w:rsidR="008E5573" w:rsidRPr="00C066D6">
        <w:rPr>
          <w:b/>
        </w:rPr>
        <w:t>H</w:t>
      </w:r>
      <w:r w:rsidRPr="00C066D6">
        <w:t>: neo</w:t>
      </w:r>
      <w:r w:rsidR="008E5573" w:rsidRPr="00C066D6">
        <w:t>důvod</w:t>
      </w:r>
      <w:r w:rsidRPr="00C066D6">
        <w:t>něné za žádných okolností</w:t>
      </w:r>
    </w:p>
    <w:p w:rsidR="008E5573" w:rsidRPr="00C066D6" w:rsidRDefault="008E5573" w:rsidP="00EB1FA8">
      <w:pPr>
        <w:pStyle w:val="Odstavecseseznamem"/>
        <w:numPr>
          <w:ilvl w:val="0"/>
          <w:numId w:val="4"/>
        </w:numPr>
      </w:pPr>
      <w:r w:rsidRPr="00C066D6">
        <w:t xml:space="preserve">Oblast ALARP je rozdělena hranicí ALARA (As Low As Reasonably Achievable). Nad ní je řešení tolerovatelné, jen pokud náklady na snížení rizika hrubě převyšují získané zlepšení. Pod hranicí je řešení tolerovatelné, i když náklady převýší </w:t>
      </w:r>
      <w:r w:rsidR="000E3EFA" w:rsidRPr="00C066D6">
        <w:t>získané zlepšení.</w:t>
      </w:r>
    </w:p>
    <w:p w:rsidR="000E3EFA" w:rsidRPr="00C066D6" w:rsidRDefault="00045B46" w:rsidP="00EB1FA8">
      <w:pPr>
        <w:pStyle w:val="Odstavecseseznamem"/>
        <w:numPr>
          <w:ilvl w:val="0"/>
          <w:numId w:val="4"/>
        </w:numPr>
      </w:pPr>
      <w:r w:rsidRPr="00C066D6">
        <w:t xml:space="preserve">Oblast široce akceptovatelného rizika </w:t>
      </w:r>
      <w:r w:rsidRPr="00C066D6">
        <w:rPr>
          <w:b/>
        </w:rPr>
        <w:t>L</w:t>
      </w:r>
      <w:r w:rsidRPr="00C066D6">
        <w:t xml:space="preserve">: </w:t>
      </w:r>
      <w:r w:rsidR="000E3EFA" w:rsidRPr="00C066D6">
        <w:t xml:space="preserve">Je </w:t>
      </w:r>
      <w:r w:rsidRPr="00C066D6">
        <w:t>třeba zajistit, aby riziko zůstalo</w:t>
      </w:r>
      <w:r w:rsidR="000E3EFA" w:rsidRPr="00C066D6">
        <w:t xml:space="preserve"> v této úrovni</w:t>
      </w:r>
      <w:r w:rsidRPr="00C066D6">
        <w:t>.</w:t>
      </w:r>
    </w:p>
    <w:p w:rsidR="00045B46" w:rsidRPr="00C066D6" w:rsidRDefault="00045B46" w:rsidP="00EB1FA8">
      <w:pPr>
        <w:pStyle w:val="Odstavecseseznamem"/>
      </w:pPr>
    </w:p>
    <w:p w:rsidR="00045B46" w:rsidRPr="00C066D6" w:rsidRDefault="00371129" w:rsidP="00EB1FA8">
      <w:pPr>
        <w:pStyle w:val="Nadpis3"/>
      </w:pPr>
      <w:r w:rsidRPr="00C066D6">
        <w:lastRenderedPageBreak/>
        <w:t>3</w:t>
      </w:r>
      <w:r w:rsidR="00045B46" w:rsidRPr="00C066D6">
        <w:t>.1.1 Metodika QRAM v kombinaci s analýzou podloženou scénáři</w:t>
      </w:r>
      <w:r w:rsidR="00EC23FF" w:rsidRPr="00C066D6">
        <w:t xml:space="preserve"> nehody </w:t>
      </w:r>
      <w:r w:rsidR="00045B46" w:rsidRPr="00C066D6">
        <w:t>[Ghoumas]</w:t>
      </w:r>
    </w:p>
    <w:p w:rsidR="00EC23FF" w:rsidRPr="00C066D6" w:rsidRDefault="00D4722D" w:rsidP="00EB1FA8">
      <w:r w:rsidRPr="00C066D6">
        <w:t>K popsání vývoje fyzikálního jevu za požáru jsou v QRAM použity zjednodušené modely a výsledky možných řešení uspořádány do kontingenčních</w:t>
      </w:r>
      <w:r w:rsidR="00785A17" w:rsidRPr="00C066D6">
        <w:rPr>
          <w:rStyle w:val="Znakapoznpodarou"/>
        </w:rPr>
        <w:footnoteReference w:id="5"/>
      </w:r>
      <w:r w:rsidRPr="00C066D6">
        <w:t xml:space="preserve"> tabulek. QRAM pak umožňuje uživateli kombinovat při kvantitativním odhadu rizika vlastní data s daty, jež si vybere z</w:t>
      </w:r>
      <w:r w:rsidR="00785A17" w:rsidRPr="00C066D6">
        <w:t xml:space="preserve"> těchto </w:t>
      </w:r>
      <w:r w:rsidRPr="00C066D6">
        <w:t xml:space="preserve">tabulek. </w:t>
      </w:r>
      <w:r w:rsidR="00821D84" w:rsidRPr="00C066D6">
        <w:t xml:space="preserve">Tento přístup však </w:t>
      </w:r>
      <w:r w:rsidR="00B9433F" w:rsidRPr="00C066D6">
        <w:t xml:space="preserve">nedovoluje efektivně vystihnout důsledky různých zmírňujících opatření, ať už se jedná o pasivní, aktivní, či procesní systémy, na změnu </w:t>
      </w:r>
      <w:r w:rsidR="00821D84" w:rsidRPr="00C066D6">
        <w:t xml:space="preserve">uvažovaného </w:t>
      </w:r>
      <w:r w:rsidR="00B9433F" w:rsidRPr="00C066D6">
        <w:t xml:space="preserve">scénáře </w:t>
      </w:r>
      <w:r w:rsidR="00821D84" w:rsidRPr="00C066D6">
        <w:t xml:space="preserve">v důsledku odlišného </w:t>
      </w:r>
      <w:r w:rsidR="00B9433F" w:rsidRPr="00C066D6">
        <w:t>toku plynů</w:t>
      </w:r>
      <w:r w:rsidR="00821D84" w:rsidRPr="00C066D6">
        <w:t>, způsobeného např. rozhodnutím o uplatnění příčného větrání apod.</w:t>
      </w:r>
      <w:r w:rsidR="00B9433F" w:rsidRPr="00C066D6">
        <w:t xml:space="preserve"> </w:t>
      </w:r>
      <w:r w:rsidR="00821D84" w:rsidRPr="00C066D6">
        <w:t xml:space="preserve">Tento nedostatek tradiční metodiky QRAM lze do značné míry překonat jejím propojením se </w:t>
      </w:r>
      <w:r w:rsidR="00FF4231" w:rsidRPr="00C066D6">
        <w:t>simulacemi pomocí CFD a evakuačními modely</w:t>
      </w:r>
      <w:r w:rsidR="00520F3B" w:rsidRPr="00C066D6">
        <w:t>, v</w:t>
      </w:r>
      <w:r w:rsidR="00821D84" w:rsidRPr="00C066D6">
        <w:t xml:space="preserve">iz např. </w:t>
      </w:r>
      <w:r w:rsidR="00FF4231" w:rsidRPr="00C066D6">
        <w:t>[</w:t>
      </w:r>
      <w:r w:rsidR="00C23E65" w:rsidRPr="00C066D6">
        <w:t>4</w:t>
      </w:r>
      <w:r w:rsidR="00FF4231" w:rsidRPr="00C066D6">
        <w:t>].</w:t>
      </w:r>
      <w:r w:rsidR="00821D84" w:rsidRPr="00C066D6">
        <w:t xml:space="preserve"> </w:t>
      </w:r>
      <w:r w:rsidR="00520F3B" w:rsidRPr="00C066D6">
        <w:t>V takovém případě se doporučuje napřed identifikovat kritické scénáře s významným příspěvkem k celkovému riziku pomocí QRAM</w:t>
      </w:r>
      <w:r w:rsidR="00EC23FF" w:rsidRPr="00C066D6">
        <w:t xml:space="preserve"> a potom simulovat tyto scénáře</w:t>
      </w:r>
      <w:r w:rsidR="00520F3B" w:rsidRPr="00C066D6">
        <w:t xml:space="preserve"> s ohledem na ná</w:t>
      </w:r>
      <w:r w:rsidR="00EC23FF" w:rsidRPr="00C066D6">
        <w:t xml:space="preserve">vrh mitigačních (zmírňujících) </w:t>
      </w:r>
      <w:r w:rsidR="00520F3B" w:rsidRPr="00C066D6">
        <w:t>opatření</w:t>
      </w:r>
      <w:r w:rsidR="00EC23FF" w:rsidRPr="00C066D6">
        <w:t>.</w:t>
      </w:r>
    </w:p>
    <w:p w:rsidR="006A102F" w:rsidRPr="00C066D6" w:rsidRDefault="00EC23FF" w:rsidP="00EB1FA8">
      <w:r w:rsidRPr="00C066D6">
        <w:rPr>
          <w:i/>
        </w:rPr>
        <w:t>Scénář nehody</w:t>
      </w:r>
      <w:r w:rsidRPr="00C066D6">
        <w:t xml:space="preserve"> je</w:t>
      </w:r>
      <w:r w:rsidRPr="00C066D6">
        <w:rPr>
          <w:i/>
        </w:rPr>
        <w:t xml:space="preserve"> </w:t>
      </w:r>
      <w:r w:rsidRPr="00C066D6">
        <w:t xml:space="preserve">základní charakteristikou rizikové analýzy, tj. stanovení křivky </w:t>
      </w:r>
      <w:r w:rsidRPr="00C066D6">
        <w:rPr>
          <w:i/>
        </w:rPr>
        <w:t>F-N.</w:t>
      </w:r>
      <w:r w:rsidRPr="00C066D6">
        <w:t xml:space="preserve"> Model nejprve uvažuje určité typy nebezpečného zboží</w:t>
      </w:r>
      <w:r w:rsidR="003B33A9" w:rsidRPr="00C066D6">
        <w:t xml:space="preserve"> (DG)</w:t>
      </w:r>
      <w:r w:rsidRPr="00C066D6">
        <w:t>: (i) LPG (</w:t>
      </w:r>
      <w:r w:rsidR="000B7482" w:rsidRPr="00C066D6">
        <w:t>Liquified Petroleum Gas), hořlavé směsi hydro-karbonových plyn</w:t>
      </w:r>
      <w:r w:rsidR="003B33A9" w:rsidRPr="00C066D6">
        <w:t>ů; (ii) hořlavé kapaliny;</w:t>
      </w:r>
      <w:r w:rsidR="000B7482" w:rsidRPr="00C066D6">
        <w:t xml:space="preserve"> (iii)</w:t>
      </w:r>
      <w:r w:rsidR="003B33A9" w:rsidRPr="00C066D6">
        <w:t xml:space="preserve"> Acrolein (C</w:t>
      </w:r>
      <w:r w:rsidR="003B33A9" w:rsidRPr="00C066D6">
        <w:rPr>
          <w:vertAlign w:val="subscript"/>
        </w:rPr>
        <w:t>3</w:t>
      </w:r>
      <w:r w:rsidR="003B33A9" w:rsidRPr="00C066D6">
        <w:t>H</w:t>
      </w:r>
      <w:r w:rsidR="003B33A9" w:rsidRPr="00C066D6">
        <w:rPr>
          <w:vertAlign w:val="subscript"/>
        </w:rPr>
        <w:t>4</w:t>
      </w:r>
      <w:r w:rsidR="003B33A9" w:rsidRPr="00C066D6">
        <w:t>O), toxická kapalina; (iv) chlor (Cl</w:t>
      </w:r>
      <w:r w:rsidR="003B33A9" w:rsidRPr="00C066D6">
        <w:rPr>
          <w:vertAlign w:val="subscript"/>
        </w:rPr>
        <w:t>2</w:t>
      </w:r>
      <w:r w:rsidR="003B33A9" w:rsidRPr="00C066D6">
        <w:t>) a amoniak (NH</w:t>
      </w:r>
      <w:r w:rsidR="003B33A9" w:rsidRPr="00C066D6">
        <w:rPr>
          <w:vertAlign w:val="subscript"/>
        </w:rPr>
        <w:t>3</w:t>
      </w:r>
      <w:r w:rsidR="003B33A9" w:rsidRPr="00C066D6">
        <w:t>): toxické plyny; (v) zkapalněný CO</w:t>
      </w:r>
      <w:r w:rsidR="003B33A9" w:rsidRPr="00C066D6">
        <w:rPr>
          <w:vertAlign w:val="subscript"/>
        </w:rPr>
        <w:t>2</w:t>
      </w:r>
      <w:r w:rsidR="003B33A9" w:rsidRPr="00C066D6">
        <w:t xml:space="preserve"> pod tlakem.</w:t>
      </w:r>
      <w:r w:rsidR="006A102F" w:rsidRPr="00C066D6">
        <w:t xml:space="preserve"> </w:t>
      </w:r>
      <w:r w:rsidR="003B33A9" w:rsidRPr="00C066D6">
        <w:t xml:space="preserve">Každé DG může vést k různým scénářům podle </w:t>
      </w:r>
      <w:r w:rsidR="004F69A7" w:rsidRPr="00C066D6">
        <w:t>typu přepravní nádoby a způsobu uvol</w:t>
      </w:r>
      <w:r w:rsidR="006A102F" w:rsidRPr="00C066D6">
        <w:t xml:space="preserve">ňování </w:t>
      </w:r>
      <w:r w:rsidR="004F69A7" w:rsidRPr="00C066D6">
        <w:t xml:space="preserve">substance. QRAM rozlišuje 13 scénářů, charakterizovaných druhem DG, typem přepravního kontejnmentu (válec 50 kg, resp. 100 l, objem (18 t, 20 t, resp. 30 000 l), průměrem otvoru úniku DG (4 mm, 50 mm, 100 mm), typem scénáře (20 MW HGV požár, 100 MW HGW požár, </w:t>
      </w:r>
      <w:r w:rsidR="00695DF1" w:rsidRPr="00C066D6">
        <w:t>BLEVE</w:t>
      </w:r>
      <w:r w:rsidR="006A102F" w:rsidRPr="00C066D6">
        <w:t>,</w:t>
      </w:r>
      <w:r w:rsidR="00695DF1" w:rsidRPr="00C066D6">
        <w:rPr>
          <w:rStyle w:val="Znakapoznpodarou"/>
        </w:rPr>
        <w:footnoteReference w:id="6"/>
      </w:r>
      <w:r w:rsidR="006A102F" w:rsidRPr="00C066D6">
        <w:t xml:space="preserve"> únik toxického plynu, či toxické kapaliny ad.). Pro každý scénář model uvažuje tři typy </w:t>
      </w:r>
      <w:r w:rsidR="006A102F" w:rsidRPr="00C066D6">
        <w:rPr>
          <w:i/>
        </w:rPr>
        <w:t xml:space="preserve">fyzikálních účinků </w:t>
      </w:r>
      <w:r w:rsidR="006A102F" w:rsidRPr="00C066D6">
        <w:t xml:space="preserve">na uživatele silnic a populaci: (i) </w:t>
      </w:r>
      <w:r w:rsidR="006A102F" w:rsidRPr="00C066D6">
        <w:rPr>
          <w:i/>
        </w:rPr>
        <w:t>teplotní účinky</w:t>
      </w:r>
      <w:r w:rsidR="00F65FA9" w:rsidRPr="00C066D6">
        <w:t>, tj. teplotní radiace vyprodukovaná plameny a měřená radiačním tepelným tokem (kW/m</w:t>
      </w:r>
      <w:r w:rsidR="00F65FA9" w:rsidRPr="00C066D6">
        <w:rPr>
          <w:vertAlign w:val="superscript"/>
        </w:rPr>
        <w:t>2</w:t>
      </w:r>
      <w:r w:rsidR="00F65FA9" w:rsidRPr="00C066D6">
        <w:t>): tato hodnota závisí na vzdálenosti od plamenů, emisivitě povrchu (kW/m</w:t>
      </w:r>
      <w:r w:rsidR="00F65FA9" w:rsidRPr="00C066D6">
        <w:rPr>
          <w:vertAlign w:val="superscript"/>
        </w:rPr>
        <w:t>2</w:t>
      </w:r>
      <w:r w:rsidR="00F65FA9" w:rsidRPr="00C066D6">
        <w:t xml:space="preserve">), na orientaci vůči plamenům, na atmosférické transmisivitě a na době vystavené plamenům; (ii) </w:t>
      </w:r>
      <w:r w:rsidR="00F65FA9" w:rsidRPr="00C066D6">
        <w:rPr>
          <w:i/>
        </w:rPr>
        <w:t>tlakové účinky,</w:t>
      </w:r>
      <w:r w:rsidR="00F65FA9" w:rsidRPr="00C066D6">
        <w:t xml:space="preserve"> rázová vlna při explozi; (iii) </w:t>
      </w:r>
      <w:r w:rsidR="00F65FA9" w:rsidRPr="00C066D6">
        <w:rPr>
          <w:i/>
        </w:rPr>
        <w:t>toxické účinky</w:t>
      </w:r>
      <w:r w:rsidR="00664991" w:rsidRPr="00C066D6">
        <w:rPr>
          <w:i/>
        </w:rPr>
        <w:t xml:space="preserve">, </w:t>
      </w:r>
      <w:r w:rsidR="00664991" w:rsidRPr="00C066D6">
        <w:t>otrava způsobená únikem toxických substancí.</w:t>
      </w:r>
    </w:p>
    <w:p w:rsidR="00C23E65" w:rsidRPr="00C066D6" w:rsidRDefault="00C23E65" w:rsidP="00EB1FA8"/>
    <w:p w:rsidR="00B14223" w:rsidRPr="00C066D6" w:rsidRDefault="00371129" w:rsidP="00EB1FA8">
      <w:pPr>
        <w:pStyle w:val="Nadpis3"/>
      </w:pPr>
      <w:r w:rsidRPr="00C066D6">
        <w:t>3</w:t>
      </w:r>
      <w:r w:rsidR="00B14223" w:rsidRPr="00C066D6">
        <w:t>.1.2 Proces QRAM</w:t>
      </w:r>
    </w:p>
    <w:p w:rsidR="00664991" w:rsidRPr="00C066D6" w:rsidRDefault="00664991" w:rsidP="00EB1FA8">
      <w:r w:rsidRPr="00C066D6">
        <w:t xml:space="preserve">Vlastní řešení QRAM, směřující ke stanovení indikátorů sociálního rizika, tj. křivky </w:t>
      </w:r>
      <w:r w:rsidRPr="00C066D6">
        <w:rPr>
          <w:i/>
        </w:rPr>
        <w:t xml:space="preserve">F-N </w:t>
      </w:r>
      <w:r w:rsidRPr="00C066D6">
        <w:t xml:space="preserve">a střední hodnoty obětí nehody </w:t>
      </w:r>
      <w:r w:rsidRPr="00C066D6">
        <w:rPr>
          <w:i/>
        </w:rPr>
        <w:t>EVs</w:t>
      </w:r>
      <w:r w:rsidRPr="00C066D6">
        <w:rPr>
          <w:rStyle w:val="Znakapoznpodarou"/>
          <w:i/>
        </w:rPr>
        <w:footnoteReference w:id="7"/>
      </w:r>
      <w:r w:rsidRPr="00C066D6">
        <w:t xml:space="preserve">, charakterizované scénářem </w:t>
      </w:r>
      <w:r w:rsidRPr="00C066D6">
        <w:rPr>
          <w:i/>
        </w:rPr>
        <w:t>s</w:t>
      </w:r>
      <w:r w:rsidRPr="00C066D6">
        <w:t xml:space="preserve">, </w:t>
      </w:r>
      <w:r w:rsidR="00830B01" w:rsidRPr="00C066D6">
        <w:t>se řídí algoritmem na Obr. 3</w:t>
      </w:r>
    </w:p>
    <w:p w:rsidR="00C23E65" w:rsidRPr="00C066D6" w:rsidRDefault="00C23E65" w:rsidP="00EB1FA8"/>
    <w:p w:rsidR="00C23E65" w:rsidRPr="00C066D6" w:rsidRDefault="00C23E65" w:rsidP="00EB1FA8"/>
    <w:p w:rsidR="00C23E65" w:rsidRPr="00C066D6" w:rsidRDefault="00C23E65" w:rsidP="00EB1FA8"/>
    <w:p w:rsidR="00C23E65" w:rsidRPr="00C066D6" w:rsidRDefault="00C23E65" w:rsidP="00EB1FA8"/>
    <w:p w:rsidR="00C23E65" w:rsidRPr="00C066D6" w:rsidRDefault="00C23E65" w:rsidP="00EB1FA8"/>
    <w:p w:rsidR="00830B01" w:rsidRPr="00C066D6" w:rsidRDefault="00830B01" w:rsidP="00EB1FA8">
      <w:pPr>
        <w:pStyle w:val="Odstavecseseznamem"/>
        <w:numPr>
          <w:ilvl w:val="0"/>
          <w:numId w:val="6"/>
        </w:numPr>
      </w:pPr>
      <w:r w:rsidRPr="00C066D6">
        <w:rPr>
          <w:i/>
        </w:rPr>
        <w:lastRenderedPageBreak/>
        <w:t>Výběr scénářů</w:t>
      </w:r>
      <w:r w:rsidRPr="00C066D6">
        <w:t xml:space="preserve"> nehody s ohledem na přepravu DG</w:t>
      </w:r>
    </w:p>
    <w:p w:rsidR="00C45665" w:rsidRPr="00C066D6" w:rsidRDefault="00830B01" w:rsidP="00EB1FA8">
      <w:pPr>
        <w:pStyle w:val="Odstavecseseznamem"/>
        <w:numPr>
          <w:ilvl w:val="0"/>
          <w:numId w:val="6"/>
        </w:numPr>
      </w:pPr>
      <w:r w:rsidRPr="00C066D6">
        <w:rPr>
          <w:i/>
        </w:rPr>
        <w:t>Účinek E</w:t>
      </w:r>
      <w:r w:rsidRPr="00C066D6">
        <w:rPr>
          <w:i/>
          <w:vertAlign w:val="subscript"/>
        </w:rPr>
        <w:t>j</w:t>
      </w:r>
      <w:r w:rsidRPr="00C066D6">
        <w:rPr>
          <w:i/>
        </w:rPr>
        <w:t xml:space="preserve"> </w:t>
      </w:r>
      <w:r w:rsidRPr="00C066D6">
        <w:t xml:space="preserve">scénáře </w:t>
      </w:r>
      <w:r w:rsidRPr="00C066D6">
        <w:rPr>
          <w:i/>
        </w:rPr>
        <w:t>s</w:t>
      </w:r>
      <w:r w:rsidR="00C45665" w:rsidRPr="00C066D6">
        <w:rPr>
          <w:i/>
        </w:rPr>
        <w:t> </w:t>
      </w:r>
      <w:r w:rsidR="00C45665" w:rsidRPr="00C066D6">
        <w:t xml:space="preserve">jako funkce vzdálenosti </w:t>
      </w:r>
      <w:r w:rsidR="00C45665" w:rsidRPr="00C066D6">
        <w:rPr>
          <w:i/>
        </w:rPr>
        <w:t>d</w:t>
      </w:r>
      <w:r w:rsidR="00C45665" w:rsidRPr="00C066D6">
        <w:t xml:space="preserve"> od centra nehody: </w:t>
      </w:r>
      <w:r w:rsidR="00C45665" w:rsidRPr="00C066D6">
        <w:rPr>
          <w:i/>
        </w:rPr>
        <w:t>E</w:t>
      </w:r>
      <w:r w:rsidR="00C45665" w:rsidRPr="00C066D6">
        <w:rPr>
          <w:i/>
          <w:vertAlign w:val="subscript"/>
        </w:rPr>
        <w:t xml:space="preserve">j  </w:t>
      </w:r>
      <w:r w:rsidR="00C45665" w:rsidRPr="00C066D6">
        <w:rPr>
          <w:i/>
        </w:rPr>
        <w:t xml:space="preserve">= </w:t>
      </w:r>
      <w:r w:rsidR="00C45665" w:rsidRPr="00C066D6">
        <w:rPr>
          <w:vertAlign w:val="subscript"/>
        </w:rPr>
        <w:t xml:space="preserve"> </w:t>
      </w:r>
      <w:r w:rsidR="00C45665" w:rsidRPr="00C066D6">
        <w:rPr>
          <w:i/>
        </w:rPr>
        <w:t>f</w:t>
      </w:r>
      <w:r w:rsidR="00C45665" w:rsidRPr="00C066D6">
        <w:t>(d)</w:t>
      </w:r>
    </w:p>
    <w:p w:rsidR="00C45665" w:rsidRPr="00C066D6" w:rsidRDefault="00C45665" w:rsidP="00EB1FA8">
      <w:pPr>
        <w:pStyle w:val="Odstavecseseznamem"/>
        <w:numPr>
          <w:ilvl w:val="0"/>
          <w:numId w:val="6"/>
        </w:numPr>
      </w:pPr>
      <w:r w:rsidRPr="00C066D6">
        <w:t>Procentuální</w:t>
      </w:r>
      <w:r w:rsidRPr="00C066D6">
        <w:rPr>
          <w:i/>
        </w:rPr>
        <w:t xml:space="preserve"> úmrtnost </w:t>
      </w:r>
      <w:r w:rsidRPr="00C066D6">
        <w:t>v závislosti na vzdálenost</w:t>
      </w:r>
      <w:r w:rsidR="00C23E65" w:rsidRPr="00C066D6">
        <w:t>i</w:t>
      </w:r>
      <w:r w:rsidRPr="00C066D6">
        <w:t>: %LETH</w:t>
      </w:r>
      <w:r w:rsidRPr="00C066D6">
        <w:rPr>
          <w:i/>
          <w:vertAlign w:val="subscript"/>
        </w:rPr>
        <w:t>j</w:t>
      </w:r>
      <w:r w:rsidRPr="00C066D6">
        <w:rPr>
          <w:i/>
        </w:rPr>
        <w:t xml:space="preserve"> </w:t>
      </w:r>
      <w:r w:rsidR="000F1C28" w:rsidRPr="00C066D6">
        <w:t>(</w:t>
      </w:r>
      <w:r w:rsidR="005C0330" w:rsidRPr="00C066D6">
        <w:t>lethality</w:t>
      </w:r>
      <w:r w:rsidR="00A246C9" w:rsidRPr="00C066D6">
        <w:t xml:space="preserve"> percentage</w:t>
      </w:r>
      <w:r w:rsidR="005C0330" w:rsidRPr="00C066D6">
        <w:t>)</w:t>
      </w:r>
    </w:p>
    <w:p w:rsidR="00830B01" w:rsidRPr="00C066D6" w:rsidRDefault="00C45665" w:rsidP="00EB1FA8">
      <w:pPr>
        <w:pStyle w:val="Odstavecseseznamem"/>
        <w:numPr>
          <w:ilvl w:val="0"/>
          <w:numId w:val="6"/>
        </w:numPr>
      </w:pPr>
      <w:r w:rsidRPr="00C066D6">
        <w:t xml:space="preserve">Procentuální </w:t>
      </w:r>
      <w:r w:rsidRPr="00C066D6">
        <w:rPr>
          <w:i/>
        </w:rPr>
        <w:t>úmrtnost</w:t>
      </w:r>
      <w:r w:rsidRPr="00C066D6">
        <w:t xml:space="preserve"> korigovaná s ohledem na možnost úniku: %LETH</w:t>
      </w:r>
      <w:r w:rsidRPr="00C066D6">
        <w:rPr>
          <w:i/>
          <w:vertAlign w:val="subscript"/>
        </w:rPr>
        <w:t>j</w:t>
      </w:r>
      <w:r w:rsidR="00830B01" w:rsidRPr="00C066D6">
        <w:rPr>
          <w:i/>
        </w:rPr>
        <w:t xml:space="preserve"> </w:t>
      </w:r>
      <w:r w:rsidRPr="00C066D6">
        <w:t xml:space="preserve">= </w:t>
      </w:r>
      <w:r w:rsidR="00172D76" w:rsidRPr="00C066D6">
        <w:rPr>
          <w:i/>
        </w:rPr>
        <w:t>f</w:t>
      </w:r>
      <w:r w:rsidR="00172D76" w:rsidRPr="00C066D6">
        <w:t>(</w:t>
      </w:r>
      <w:r w:rsidR="00172D76" w:rsidRPr="00C066D6">
        <w:rPr>
          <w:i/>
        </w:rPr>
        <w:t>t</w:t>
      </w:r>
      <w:r w:rsidR="00172D76" w:rsidRPr="00C066D6">
        <w:rPr>
          <w:i/>
          <w:vertAlign w:val="subscript"/>
        </w:rPr>
        <w:t>evac</w:t>
      </w:r>
      <w:r w:rsidR="00172D76" w:rsidRPr="00C066D6">
        <w:t>)</w:t>
      </w:r>
    </w:p>
    <w:p w:rsidR="00172D76" w:rsidRPr="00C066D6" w:rsidRDefault="00172D76" w:rsidP="00EB1FA8">
      <w:pPr>
        <w:pStyle w:val="Odstavecseseznamem"/>
        <w:numPr>
          <w:ilvl w:val="0"/>
          <w:numId w:val="6"/>
        </w:numPr>
      </w:pPr>
      <w:r w:rsidRPr="00C066D6">
        <w:t>Pravděpodobnost výskytu scénáře s</w:t>
      </w:r>
    </w:p>
    <w:p w:rsidR="000C1E80" w:rsidRPr="00C066D6" w:rsidRDefault="00172D76" w:rsidP="00EB1FA8">
      <w:pPr>
        <w:pStyle w:val="Odstavecseseznamem"/>
        <w:numPr>
          <w:ilvl w:val="0"/>
          <w:numId w:val="6"/>
        </w:numPr>
      </w:pPr>
      <w:r w:rsidRPr="00C066D6">
        <w:t>Počet obětí v důsledku realizace scénáře s:</w:t>
      </w:r>
      <m:oMath>
        <m:r>
          <m:rPr>
            <m:sty m:val="p"/>
          </m:rPr>
          <w:rPr>
            <w:rFonts w:ascii="Cambria Math" w:hAnsi="Cambria Math"/>
          </w:rPr>
          <m:t xml:space="preserve"> </m:t>
        </m:r>
        <m:r>
          <w:rPr>
            <w:rFonts w:ascii="Cambria Math" w:hAnsi="Cambria Math"/>
          </w:rPr>
          <m:t>N</m:t>
        </m:r>
        <m:r>
          <m:rPr>
            <m:sty m:val="p"/>
          </m:rPr>
          <w:rPr>
            <w:rFonts w:ascii="Cambria Math" w:hAnsi="Cambria Math"/>
          </w:rPr>
          <m:t xml:space="preserve">= </m:t>
        </m:r>
        <m:nary>
          <m:naryPr>
            <m:chr m:val="∑"/>
            <m:limLoc m:val="undOvr"/>
            <m:supHide m:val="1"/>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N</m:t>
                </m:r>
              </m:e>
              <m:sub>
                <m:r>
                  <w:rPr>
                    <w:rFonts w:ascii="Cambria Math" w:hAnsi="Cambria Math"/>
                  </w:rPr>
                  <m:t>j</m:t>
                </m:r>
                <m:r>
                  <m:rPr>
                    <m:sty m:val="p"/>
                  </m:rPr>
                  <w:rPr>
                    <w:rFonts w:ascii="Cambria Math" w:hAnsi="Cambria Math"/>
                  </w:rPr>
                  <m:t xml:space="preserve"> </m:t>
                </m:r>
              </m:sub>
            </m:sSub>
            <m:r>
              <m:rPr>
                <m:sty m:val="p"/>
              </m:rPr>
              <w:rPr>
                <w:rFonts w:ascii="Cambria Math" w:hAnsi="Cambria Math"/>
              </w:rPr>
              <m:t xml:space="preserve">= </m:t>
            </m:r>
          </m:e>
        </m:nary>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j</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D</m:t>
            </m:r>
          </m:e>
          <m:sub>
            <m:r>
              <w:rPr>
                <w:rFonts w:ascii="Cambria Math" w:hAnsi="Cambria Math"/>
              </w:rPr>
              <m:t>ru</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w:rPr>
                <w:rFonts w:ascii="Cambria Math" w:hAnsi="Cambria Math"/>
              </w:rPr>
              <m:t>jam</m:t>
            </m:r>
          </m:sub>
        </m:sSub>
        <m:r>
          <m:rPr>
            <m:sty m:val="p"/>
          </m:rPr>
          <w:rPr>
            <w:rFonts w:ascii="Cambria Math" w:hAnsi="Cambria Math"/>
          </w:rPr>
          <m:t>,</m:t>
        </m:r>
      </m:oMath>
      <w:r w:rsidR="000C1E80" w:rsidRPr="00C066D6">
        <w:rPr>
          <w:rFonts w:eastAsiaTheme="minorEastAsia"/>
        </w:rPr>
        <w:t xml:space="preserve"> </w:t>
      </w:r>
      <m:oMath>
        <m:sSub>
          <m:sSubPr>
            <m:ctrlPr>
              <w:rPr>
                <w:rFonts w:ascii="Cambria Math" w:eastAsiaTheme="minorEastAsia" w:hAnsi="Cambria Math"/>
              </w:rPr>
            </m:ctrlPr>
          </m:sSubPr>
          <m:e>
            <m:r>
              <m:rPr>
                <m:sty m:val="p"/>
              </m:rPr>
              <w:rPr>
                <w:rFonts w:ascii="Cambria Math" w:eastAsiaTheme="minorEastAsia" w:hAnsi="Cambria Math"/>
              </w:rPr>
              <m:t>%</m:t>
            </m:r>
            <m:r>
              <w:rPr>
                <w:rFonts w:ascii="Cambria Math" w:eastAsiaTheme="minorEastAsia" w:hAnsi="Cambria Math"/>
              </w:rPr>
              <m:t>LETH</m:t>
            </m:r>
          </m:e>
          <m:sub>
            <m:r>
              <w:rPr>
                <w:rFonts w:ascii="Cambria Math" w:eastAsiaTheme="minorEastAsia" w:hAnsi="Cambria Math"/>
              </w:rPr>
              <m:t>j</m:t>
            </m:r>
          </m:sub>
        </m:sSub>
        <m:r>
          <m:rPr>
            <m:sty m:val="p"/>
          </m:rPr>
          <w:rPr>
            <w:rFonts w:ascii="Cambria Math" w:eastAsiaTheme="minorEastAsia" w:hAnsi="Cambria Math"/>
          </w:rPr>
          <m:t>)</m:t>
        </m:r>
      </m:oMath>
      <w:r w:rsidR="000C1E80" w:rsidRPr="00C066D6">
        <w:rPr>
          <w:rFonts w:eastAsiaTheme="minorEastAsia"/>
        </w:rPr>
        <w:t xml:space="preserve"> </w:t>
      </w:r>
    </w:p>
    <w:p w:rsidR="00172D76" w:rsidRPr="00C066D6" w:rsidRDefault="000C1E80" w:rsidP="00EB1FA8">
      <w:pPr>
        <w:pStyle w:val="Odstavecseseznamem"/>
        <w:numPr>
          <w:ilvl w:val="0"/>
          <w:numId w:val="6"/>
        </w:numPr>
      </w:pPr>
      <w:r w:rsidRPr="00C066D6">
        <w:t>Křivka F-N pro scénář s a střední počet obětí: EVs</w:t>
      </w:r>
    </w:p>
    <w:p w:rsidR="000C1E80" w:rsidRPr="00C066D6" w:rsidRDefault="000C1E80" w:rsidP="00C23E65">
      <w:pPr>
        <w:jc w:val="center"/>
      </w:pPr>
      <w:r w:rsidRPr="00C066D6">
        <w:t>0br. 3 Proces QRAM</w:t>
      </w:r>
    </w:p>
    <w:p w:rsidR="00D4722D" w:rsidRPr="00C066D6" w:rsidRDefault="00DB6634" w:rsidP="00EB1FA8">
      <w:pPr>
        <w:rPr>
          <w:rFonts w:eastAsiaTheme="minorEastAsia"/>
        </w:rPr>
      </w:pPr>
      <w:r w:rsidRPr="00C066D6">
        <w:t xml:space="preserve">Redukce úmrtnosti s uvážením možnosti úniku je závislá na době evakuace, počet obětí </w:t>
      </w:r>
      <w:r w:rsidRPr="00C066D6">
        <w:rPr>
          <w:i/>
        </w:rPr>
        <w:t xml:space="preserve">N </w:t>
      </w:r>
      <w:r w:rsidRPr="00C066D6">
        <w:t xml:space="preserve">je funkcí rozsahu účinku </w:t>
      </w:r>
      <m:oMath>
        <m:sSub>
          <m:sSubPr>
            <m:ctrlPr>
              <w:rPr>
                <w:rFonts w:ascii="Cambria Math" w:hAnsi="Cambria Math"/>
                <w:i/>
              </w:rPr>
            </m:ctrlPr>
          </m:sSubPr>
          <m:e>
            <m:r>
              <w:rPr>
                <w:rFonts w:ascii="Cambria Math" w:hAnsi="Cambria Math"/>
              </w:rPr>
              <m:t>R</m:t>
            </m:r>
          </m:e>
          <m:sub>
            <m:r>
              <w:rPr>
                <w:rFonts w:ascii="Cambria Math" w:hAnsi="Cambria Math"/>
              </w:rPr>
              <m:t>j</m:t>
            </m:r>
          </m:sub>
        </m:sSub>
        <m:r>
          <w:rPr>
            <w:rFonts w:ascii="Cambria Math" w:hAnsi="Cambria Math"/>
          </w:rPr>
          <m:t xml:space="preserve">, </m:t>
        </m:r>
      </m:oMath>
      <w:r w:rsidRPr="00C066D6">
        <w:rPr>
          <w:rFonts w:eastAsiaTheme="minorEastAsia"/>
        </w:rPr>
        <w:t xml:space="preserve">hustoty </w:t>
      </w:r>
      <w:r w:rsidR="00A246C9" w:rsidRPr="00C066D6">
        <w:rPr>
          <w:rFonts w:eastAsiaTheme="minorEastAsia"/>
        </w:rPr>
        <w:t>dopravy (</w:t>
      </w:r>
      <w:r w:rsidRPr="00C066D6">
        <w:rPr>
          <w:rFonts w:eastAsiaTheme="minorEastAsia"/>
        </w:rPr>
        <w:t>uživatelů cesty</w:t>
      </w:r>
      <w:r w:rsidR="00A246C9" w:rsidRPr="00C066D6">
        <w:rPr>
          <w:rFonts w:eastAsiaTheme="minorEastAsia"/>
        </w:rPr>
        <w:t>)</w:t>
      </w:r>
      <w:r w:rsidRPr="00C066D6">
        <w:rPr>
          <w:rFonts w:eastAsiaTheme="minorEastAsia"/>
        </w:rPr>
        <w:t xml:space="preserve"> </w:t>
      </w:r>
      <m:oMath>
        <m:sSub>
          <m:sSubPr>
            <m:ctrlPr>
              <w:rPr>
                <w:rFonts w:ascii="Cambria Math" w:hAnsi="Cambria Math"/>
                <w:i/>
              </w:rPr>
            </m:ctrlPr>
          </m:sSubPr>
          <m:e>
            <m:r>
              <w:rPr>
                <w:rFonts w:ascii="Cambria Math" w:hAnsi="Cambria Math"/>
              </w:rPr>
              <m:t>D</m:t>
            </m:r>
          </m:e>
          <m:sub>
            <m:r>
              <w:rPr>
                <w:rFonts w:ascii="Cambria Math" w:hAnsi="Cambria Math"/>
              </w:rPr>
              <m:t>ru</m:t>
            </m:r>
          </m:sub>
        </m:sSub>
      </m:oMath>
      <w:r w:rsidRPr="00C066D6">
        <w:rPr>
          <w:rFonts w:eastAsiaTheme="minorEastAsia"/>
        </w:rPr>
        <w:t xml:space="preserve"> (rozlišuje se hustota za plynulého toku dopravy</w:t>
      </w:r>
      <w:r w:rsidR="00A246C9" w:rsidRPr="00C066D6">
        <w:rPr>
          <w:rFonts w:eastAsiaTheme="minorEastAsia"/>
        </w:rPr>
        <w:t xml:space="preserve">, </w:t>
      </w:r>
      <w:r w:rsidR="00A246C9" w:rsidRPr="00C066D6">
        <w:rPr>
          <w:rFonts w:eastAsiaTheme="minorEastAsia"/>
          <w:i/>
        </w:rPr>
        <w:t>D</w:t>
      </w:r>
      <w:r w:rsidR="00A246C9" w:rsidRPr="00C066D6">
        <w:rPr>
          <w:rFonts w:eastAsiaTheme="minorEastAsia"/>
          <w:i/>
          <w:vertAlign w:val="subscript"/>
        </w:rPr>
        <w:t>RUF</w:t>
      </w:r>
      <w:r w:rsidR="00A246C9" w:rsidRPr="00C066D6">
        <w:rPr>
          <w:rFonts w:eastAsiaTheme="minorEastAsia"/>
          <w:i/>
        </w:rPr>
        <w:t>,</w:t>
      </w:r>
      <w:r w:rsidRPr="00C066D6">
        <w:rPr>
          <w:rFonts w:eastAsiaTheme="minorEastAsia"/>
        </w:rPr>
        <w:t xml:space="preserve"> a při</w:t>
      </w:r>
      <w:r w:rsidR="00A246C9" w:rsidRPr="00C066D6">
        <w:rPr>
          <w:rFonts w:eastAsiaTheme="minorEastAsia"/>
        </w:rPr>
        <w:t xml:space="preserve"> zácpě, </w:t>
      </w:r>
      <w:r w:rsidR="00A246C9" w:rsidRPr="00C066D6">
        <w:rPr>
          <w:rFonts w:eastAsiaTheme="minorEastAsia"/>
          <w:i/>
        </w:rPr>
        <w:t>D</w:t>
      </w:r>
      <w:r w:rsidR="00A246C9" w:rsidRPr="00C066D6">
        <w:rPr>
          <w:rFonts w:eastAsiaTheme="minorEastAsia"/>
          <w:i/>
          <w:vertAlign w:val="subscript"/>
        </w:rPr>
        <w:t>RUJ</w:t>
      </w:r>
      <w:r w:rsidR="00A246C9" w:rsidRPr="00C066D6">
        <w:rPr>
          <w:rFonts w:eastAsiaTheme="minorEastAsia"/>
          <w:i/>
        </w:rPr>
        <w:t xml:space="preserve">), </w:t>
      </w:r>
      <w:r w:rsidR="00A246C9" w:rsidRPr="00C066D6">
        <w:rPr>
          <w:rFonts w:eastAsiaTheme="minorEastAsia"/>
        </w:rPr>
        <w:t xml:space="preserve">a délky úseku při dopravní zácpě </w:t>
      </w:r>
      <m:oMath>
        <m:sSub>
          <m:sSubPr>
            <m:ctrlPr>
              <w:rPr>
                <w:rFonts w:ascii="Cambria Math" w:hAnsi="Cambria Math"/>
                <w:i/>
              </w:rPr>
            </m:ctrlPr>
          </m:sSubPr>
          <m:e>
            <m:r>
              <w:rPr>
                <w:rFonts w:ascii="Cambria Math" w:hAnsi="Cambria Math"/>
              </w:rPr>
              <m:t>L</m:t>
            </m:r>
          </m:e>
          <m:sub>
            <m:r>
              <w:rPr>
                <w:rFonts w:ascii="Cambria Math" w:hAnsi="Cambria Math"/>
              </w:rPr>
              <m:t>jam</m:t>
            </m:r>
          </m:sub>
        </m:sSub>
        <m:r>
          <w:rPr>
            <w:rFonts w:ascii="Cambria Math" w:hAnsi="Cambria Math"/>
          </w:rPr>
          <m:t>.</m:t>
        </m:r>
      </m:oMath>
    </w:p>
    <w:p w:rsidR="00FE29F5" w:rsidRPr="00C066D6" w:rsidRDefault="00FE29F5" w:rsidP="00EB1FA8">
      <w:r w:rsidRPr="00C066D6">
        <w:t>QRAM poskytuje vztah mezi účinkem a vzdáleností od epicentra nehody, Obr. 4</w:t>
      </w:r>
      <w:r w:rsidR="00D16E65" w:rsidRPr="00C066D6">
        <w:t xml:space="preserve">. Křivky tohoto typu mohou být sestrojeny pro vystavení osoby různým </w:t>
      </w:r>
      <w:r w:rsidR="009A58B4" w:rsidRPr="00C066D6">
        <w:t>typům účinků</w:t>
      </w:r>
      <w:r w:rsidR="00D16E65" w:rsidRPr="00C066D6">
        <w:t>, jako je teplo, tlak, toxicita plynů apod.  Pro snadnější</w:t>
      </w:r>
      <w:r w:rsidR="009A58B4" w:rsidRPr="00C066D6">
        <w:t xml:space="preserve"> predikci procentuální úmrtnosti, </w:t>
      </w:r>
      <w:r w:rsidR="009A58B4" w:rsidRPr="00C066D6">
        <w:rPr>
          <w:i/>
        </w:rPr>
        <w:t xml:space="preserve">P </w:t>
      </w:r>
      <w:r w:rsidR="009A58B4" w:rsidRPr="00C066D6">
        <w:t xml:space="preserve">= </w:t>
      </w:r>
      <m:oMath>
        <m:sSub>
          <m:sSubPr>
            <m:ctrlPr>
              <w:rPr>
                <w:rFonts w:ascii="Cambria Math" w:hAnsi="Cambria Math"/>
                <w:i/>
              </w:rPr>
            </m:ctrlPr>
          </m:sSubPr>
          <m:e>
            <m:r>
              <w:rPr>
                <w:rFonts w:ascii="Cambria Math" w:hAnsi="Cambria Math"/>
              </w:rPr>
              <m:t>%LETH</m:t>
            </m:r>
          </m:e>
          <m:sub>
            <m:r>
              <w:rPr>
                <w:rFonts w:ascii="Cambria Math" w:hAnsi="Cambria Math"/>
              </w:rPr>
              <m:t>j</m:t>
            </m:r>
          </m:sub>
        </m:sSub>
      </m:oMath>
      <w:r w:rsidR="009A58B4" w:rsidRPr="00C066D6">
        <w:t xml:space="preserve">, v závislosti na </w:t>
      </w:r>
      <w:r w:rsidR="00294163" w:rsidRPr="00C066D6">
        <w:t xml:space="preserve">intenzitě účinku (týká se i </w:t>
      </w:r>
      <w:r w:rsidR="009A58B4" w:rsidRPr="00C066D6">
        <w:t>dáv</w:t>
      </w:r>
      <w:r w:rsidR="00294163" w:rsidRPr="00C066D6">
        <w:t>ky</w:t>
      </w:r>
      <w:r w:rsidR="009A58B4" w:rsidRPr="00C066D6">
        <w:t xml:space="preserve"> unikající toxické substance</w:t>
      </w:r>
      <w:r w:rsidR="00294163" w:rsidRPr="00C066D6">
        <w:t>)</w:t>
      </w:r>
      <w:r w:rsidR="009A58B4" w:rsidRPr="00C066D6">
        <w:t xml:space="preserve"> se využívá pomocná proměnná </w:t>
      </w:r>
      <w:r w:rsidR="009A58B4" w:rsidRPr="00C066D6">
        <w:rPr>
          <w:i/>
        </w:rPr>
        <w:t xml:space="preserve">probit </w:t>
      </w:r>
      <w:r w:rsidR="009A58B4" w:rsidRPr="00C066D6">
        <w:t>(PROBability unIT), získaná Finneyovou transformací [</w:t>
      </w:r>
      <w:r w:rsidR="009A58B4" w:rsidRPr="00C066D6">
        <w:rPr>
          <w:i/>
        </w:rPr>
        <w:t>Finney</w:t>
      </w:r>
      <w:r w:rsidR="009A58B4" w:rsidRPr="00C066D6">
        <w:t>]</w:t>
      </w:r>
      <w:r w:rsidR="00294163" w:rsidRPr="00C066D6">
        <w:rPr>
          <w:rStyle w:val="Znakapoznpodarou"/>
          <w:rFonts w:eastAsiaTheme="minorEastAsia"/>
        </w:rPr>
        <w:footnoteReference w:id="8"/>
      </w:r>
      <w:r w:rsidR="009A58B4" w:rsidRPr="00C066D6">
        <w:t>.</w:t>
      </w:r>
    </w:p>
    <w:p w:rsidR="00FE29F5" w:rsidRPr="00C066D6" w:rsidRDefault="00116820" w:rsidP="00EB1FA8">
      <w:r w:rsidRPr="00C066D6">
        <w:rPr>
          <w:noProof/>
          <w:lang w:eastAsia="cs-CZ"/>
        </w:rPr>
        <w:drawing>
          <wp:inline distT="0" distB="0" distL="0" distR="0" wp14:anchorId="603E80C4" wp14:editId="58DED7D6">
            <wp:extent cx="5760720" cy="232861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328610"/>
                    </a:xfrm>
                    <a:prstGeom prst="rect">
                      <a:avLst/>
                    </a:prstGeom>
                    <a:noFill/>
                    <a:ln>
                      <a:noFill/>
                    </a:ln>
                  </pic:spPr>
                </pic:pic>
              </a:graphicData>
            </a:graphic>
          </wp:inline>
        </w:drawing>
      </w:r>
    </w:p>
    <w:p w:rsidR="00D16E65" w:rsidRPr="00C066D6" w:rsidRDefault="00FE29F5" w:rsidP="002F542E">
      <w:pPr>
        <w:jc w:val="center"/>
      </w:pPr>
      <w:r w:rsidRPr="00C066D6">
        <w:t xml:space="preserve">Obr. 4 </w:t>
      </w:r>
      <w:r w:rsidR="00D16E65" w:rsidRPr="00C066D6">
        <w:t>Příklad závislosti procentuální úmrtnosti na vzdálenosti od epicentra požáru        (výkon 100MW)</w:t>
      </w:r>
    </w:p>
    <w:p w:rsidR="00294163" w:rsidRPr="00C066D6" w:rsidRDefault="00294163" w:rsidP="00EB1FA8">
      <w:r w:rsidRPr="00C066D6">
        <w:t xml:space="preserve">QRAM poskytuje i </w:t>
      </w:r>
      <w:r w:rsidRPr="00C066D6">
        <w:rPr>
          <w:i/>
        </w:rPr>
        <w:t xml:space="preserve">četnost výskytu </w:t>
      </w:r>
      <w:r w:rsidRPr="00C066D6">
        <w:t>každého scénáře, k němuž došlo za účasti HGV (</w:t>
      </w:r>
      <w:r w:rsidR="00B14223" w:rsidRPr="00C066D6">
        <w:t>Heavy Good Vehicle – těžké nákladní vozidlo), a to jak bez nebezpečných látek (požáry o výkonech 20 MW a 100MW), tak s nebezpečn</w:t>
      </w:r>
      <w:r w:rsidR="00C23E65" w:rsidRPr="00C066D6">
        <w:t>ými látkami, DG-HGV. Pro scénáře</w:t>
      </w:r>
      <w:r w:rsidR="00B14223" w:rsidRPr="00C066D6">
        <w:t xml:space="preserve"> se zahrnutím DG-HGV platí: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2"/>
      </w:tblGrid>
      <w:tr w:rsidR="008D1C58" w:rsidRPr="00C066D6" w:rsidTr="008D1C58">
        <w:tc>
          <w:tcPr>
            <w:tcW w:w="8500" w:type="dxa"/>
          </w:tcPr>
          <w:p w:rsidR="008D1C58" w:rsidRPr="00C066D6" w:rsidRDefault="008B3A2E" w:rsidP="008D1C58">
            <w:pPr>
              <w:spacing w:after="120"/>
              <w:rPr>
                <w:rFonts w:ascii="Times New Roman" w:eastAsiaTheme="minorEastAsia" w:hAnsi="Times New Roman"/>
              </w:rPr>
            </w:pPr>
            <m:oMathPara>
              <m:oMath>
                <m:sSub>
                  <m:sSubPr>
                    <m:ctrlPr>
                      <w:rPr>
                        <w:rFonts w:ascii="Cambria Math" w:hAnsi="Cambria Math"/>
                      </w:rPr>
                    </m:ctrlPr>
                  </m:sSubPr>
                  <m:e>
                    <m:r>
                      <w:rPr>
                        <w:rFonts w:ascii="Cambria Math" w:hAnsi="Cambria Math"/>
                      </w:rPr>
                      <m:t>f</m:t>
                    </m:r>
                  </m:e>
                  <m:sub>
                    <m:r>
                      <w:rPr>
                        <w:rFonts w:ascii="Cambria Math" w:hAnsi="Cambria Math"/>
                      </w:rPr>
                      <m:t>ijk</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P</m:t>
                    </m:r>
                  </m:e>
                  <m:sub>
                    <m:r>
                      <w:rPr>
                        <w:rFonts w:ascii="Cambria Math" w:hAnsi="Cambria Math"/>
                      </w:rPr>
                      <m:t>ijk</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f</m:t>
                    </m:r>
                  </m:e>
                  <m:sub>
                    <m:r>
                      <w:rPr>
                        <w:rFonts w:ascii="Cambria Math" w:hAnsi="Cambria Math"/>
                      </w:rPr>
                      <m:t>ac</m:t>
                    </m:r>
                    <m:sSub>
                      <m:sSubPr>
                        <m:ctrlPr>
                          <w:rPr>
                            <w:rFonts w:ascii="Cambria Math" w:hAnsi="Cambria Math"/>
                            <w:lang w:val="en-US"/>
                          </w:rPr>
                        </m:ctrlPr>
                      </m:sSubPr>
                      <m:e>
                        <m:r>
                          <w:rPr>
                            <w:rFonts w:ascii="Cambria Math" w:hAnsi="Cambria Math"/>
                          </w:rPr>
                          <m:t>c</m:t>
                        </m:r>
                        <m:r>
                          <m:rPr>
                            <m:sty m:val="p"/>
                          </m:rPr>
                          <w:rPr>
                            <w:rFonts w:ascii="Cambria Math" w:hAnsi="Cambria Math"/>
                            <w:lang w:val="en-US"/>
                          </w:rPr>
                          <m:t>_</m:t>
                        </m:r>
                        <m:ctrlPr>
                          <w:rPr>
                            <w:rFonts w:ascii="Cambria Math" w:hAnsi="Cambria Math"/>
                          </w:rPr>
                        </m:ctrlPr>
                      </m:e>
                      <m:sub>
                        <m:r>
                          <w:rPr>
                            <w:rFonts w:ascii="Cambria Math" w:hAnsi="Cambria Math"/>
                          </w:rPr>
                          <m:t>DG</m:t>
                        </m:r>
                      </m:sub>
                    </m:sSub>
                    <m:r>
                      <m:rPr>
                        <m:sty m:val="p"/>
                      </m:rPr>
                      <w:rPr>
                        <w:rFonts w:ascii="Cambria Math" w:hAnsi="Cambria Math"/>
                      </w:rPr>
                      <m:t>,</m:t>
                    </m:r>
                    <m:r>
                      <w:rPr>
                        <w:rFonts w:ascii="Cambria Math" w:hAnsi="Cambria Math"/>
                      </w:rPr>
                      <m:t>i</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TD</m:t>
                        </m:r>
                      </m:e>
                      <m:sub>
                        <m:r>
                          <w:rPr>
                            <w:rFonts w:ascii="Cambria Math" w:hAnsi="Cambria Math"/>
                          </w:rPr>
                          <m:t>ik</m:t>
                        </m:r>
                      </m:sub>
                    </m:sSub>
                    <m:sSub>
                      <m:sSubPr>
                        <m:ctrlPr>
                          <w:rPr>
                            <w:rFonts w:ascii="Cambria Math" w:hAnsi="Cambria Math"/>
                          </w:rPr>
                        </m:ctrlPr>
                      </m:sSubPr>
                      <m:e>
                        <m:r>
                          <w:rPr>
                            <w:rFonts w:ascii="Cambria Math" w:hAnsi="Cambria Math"/>
                          </w:rPr>
                          <m:t>L</m:t>
                        </m:r>
                      </m:e>
                      <m:sub>
                        <m:r>
                          <w:rPr>
                            <w:rFonts w:ascii="Cambria Math" w:hAnsi="Cambria Math"/>
                          </w:rPr>
                          <m:t>i</m:t>
                        </m:r>
                      </m:sub>
                    </m:sSub>
                    <m:r>
                      <m:rPr>
                        <m:sty m:val="p"/>
                      </m:rPr>
                      <w:rPr>
                        <w:rFonts w:ascii="Cambria Math" w:hAnsi="Cambria Math"/>
                      </w:rPr>
                      <m:t>.24.365</m:t>
                    </m:r>
                  </m:e>
                </m:d>
                <m:r>
                  <m:rPr>
                    <m:sty m:val="p"/>
                  </m:rPr>
                  <w:rPr>
                    <w:rFonts w:ascii="Cambria Math" w:hAnsi="Cambria Math"/>
                  </w:rPr>
                  <m:t>,</m:t>
                </m:r>
              </m:oMath>
            </m:oMathPara>
          </w:p>
        </w:tc>
        <w:tc>
          <w:tcPr>
            <w:tcW w:w="562" w:type="dxa"/>
            <w:vAlign w:val="center"/>
          </w:tcPr>
          <w:p w:rsidR="008D1C58" w:rsidRPr="00C066D6" w:rsidRDefault="008D1C58" w:rsidP="008D1C58">
            <w:r w:rsidRPr="00C066D6">
              <w:rPr>
                <w:lang w:val="en-US"/>
              </w:rPr>
              <w:t>(1)</w:t>
            </w:r>
          </w:p>
        </w:tc>
      </w:tr>
    </w:tbl>
    <w:p w:rsidR="003646B9" w:rsidRPr="00C066D6" w:rsidRDefault="003646B9" w:rsidP="00EB1FA8">
      <w:r w:rsidRPr="00C066D6">
        <w:t xml:space="preserve">kde </w:t>
      </w:r>
      <m:oMath>
        <m:sSub>
          <m:sSubPr>
            <m:ctrlPr>
              <w:rPr>
                <w:rFonts w:ascii="Cambria Math" w:hAnsi="Cambria Math"/>
                <w:i/>
              </w:rPr>
            </m:ctrlPr>
          </m:sSubPr>
          <m:e>
            <m:r>
              <w:rPr>
                <w:rFonts w:ascii="Cambria Math" w:hAnsi="Cambria Math"/>
              </w:rPr>
              <m:t>f</m:t>
            </m:r>
          </m:e>
          <m:sub>
            <m:r>
              <w:rPr>
                <w:rFonts w:ascii="Cambria Math" w:hAnsi="Cambria Math"/>
              </w:rPr>
              <m:t>ijk</m:t>
            </m:r>
          </m:sub>
        </m:sSub>
      </m:oMath>
      <w:r w:rsidRPr="00C066D6">
        <w:t xml:space="preserve"> je </w:t>
      </w:r>
      <w:r w:rsidR="00D24B62" w:rsidRPr="00C066D6">
        <w:t xml:space="preserve">roční </w:t>
      </w:r>
      <w:r w:rsidRPr="00C066D6">
        <w:t xml:space="preserve">četnost výskytu scénáře </w:t>
      </w:r>
      <w:r w:rsidRPr="00C066D6">
        <w:rPr>
          <w:i/>
        </w:rPr>
        <w:t>j</w:t>
      </w:r>
      <w:r w:rsidRPr="00C066D6">
        <w:t xml:space="preserve"> </w:t>
      </w:r>
      <w:r w:rsidR="00D24B62" w:rsidRPr="00C066D6">
        <w:t>se zahrnutím  DG typu</w:t>
      </w:r>
      <w:r w:rsidR="00D24B62" w:rsidRPr="00C066D6">
        <w:rPr>
          <w:i/>
        </w:rPr>
        <w:t xml:space="preserve"> k</w:t>
      </w:r>
      <w:r w:rsidR="00D24B62" w:rsidRPr="00C066D6">
        <w:t xml:space="preserve"> v úseku trasy </w:t>
      </w:r>
      <w:r w:rsidR="00D24B62" w:rsidRPr="00C066D6">
        <w:rPr>
          <w:i/>
        </w:rPr>
        <w:t>i</w:t>
      </w:r>
      <w:r w:rsidR="00D24B62" w:rsidRPr="00C066D6">
        <w:t xml:space="preserve">, </w:t>
      </w:r>
      <m:oMath>
        <m:sSub>
          <m:sSubPr>
            <m:ctrlPr>
              <w:rPr>
                <w:rFonts w:ascii="Cambria Math" w:hAnsi="Cambria Math"/>
                <w:i/>
              </w:rPr>
            </m:ctrlPr>
          </m:sSubPr>
          <m:e>
            <m:r>
              <w:rPr>
                <w:rFonts w:ascii="Cambria Math" w:hAnsi="Cambria Math"/>
              </w:rPr>
              <m:t>P</m:t>
            </m:r>
          </m:e>
          <m:sub>
            <m:r>
              <w:rPr>
                <w:rFonts w:ascii="Cambria Math" w:hAnsi="Cambria Math"/>
              </w:rPr>
              <m:t>ijk</m:t>
            </m:r>
          </m:sub>
        </m:sSub>
      </m:oMath>
      <w:r w:rsidR="00D24B62" w:rsidRPr="00C066D6">
        <w:t xml:space="preserve"> je podmíněná pravděpodobnost, že se scénář </w:t>
      </w:r>
      <w:r w:rsidR="00D24B62" w:rsidRPr="00C066D6">
        <w:rPr>
          <w:i/>
        </w:rPr>
        <w:t>j</w:t>
      </w:r>
      <w:r w:rsidR="00D24B62" w:rsidRPr="00C066D6">
        <w:t xml:space="preserve"> uplatní, jakmile dojde k nehodě, </w:t>
      </w:r>
      <m:oMath>
        <m:sSub>
          <m:sSubPr>
            <m:ctrlPr>
              <w:rPr>
                <w:rFonts w:ascii="Cambria Math" w:hAnsi="Cambria Math"/>
                <w:i/>
              </w:rPr>
            </m:ctrlPr>
          </m:sSubPr>
          <m:e>
            <m:r>
              <w:rPr>
                <w:rFonts w:ascii="Cambria Math" w:hAnsi="Cambria Math"/>
              </w:rPr>
              <m:t>f</m:t>
            </m:r>
          </m:e>
          <m:sub>
            <m:r>
              <w:rPr>
                <w:rFonts w:ascii="Cambria Math" w:hAnsi="Cambria Math"/>
              </w:rPr>
              <m:t>ac</m:t>
            </m:r>
            <m:sSub>
              <m:sSubPr>
                <m:ctrlPr>
                  <w:rPr>
                    <w:rFonts w:ascii="Cambria Math" w:hAnsi="Cambria Math"/>
                    <w:i/>
                    <w:lang w:val="en-US"/>
                  </w:rPr>
                </m:ctrlPr>
              </m:sSubPr>
              <m:e>
                <m:r>
                  <w:rPr>
                    <w:rFonts w:ascii="Cambria Math" w:hAnsi="Cambria Math"/>
                  </w:rPr>
                  <m:t>c_</m:t>
                </m:r>
                <m:ctrlPr>
                  <w:rPr>
                    <w:rFonts w:ascii="Cambria Math" w:hAnsi="Cambria Math"/>
                    <w:i/>
                  </w:rPr>
                </m:ctrlPr>
              </m:e>
              <m:sub>
                <m:r>
                  <w:rPr>
                    <w:rFonts w:ascii="Cambria Math" w:hAnsi="Cambria Math"/>
                  </w:rPr>
                  <m:t>DG</m:t>
                </m:r>
              </m:sub>
            </m:sSub>
            <m:r>
              <w:rPr>
                <w:rFonts w:ascii="Cambria Math" w:hAnsi="Cambria Math"/>
              </w:rPr>
              <m:t>,i</m:t>
            </m:r>
          </m:sub>
        </m:sSub>
      </m:oMath>
      <w:r w:rsidR="00D24B62" w:rsidRPr="00C066D6">
        <w:t xml:space="preserve"> je roční četnost nehod s účastí DG-HGV</w:t>
      </w:r>
      <w:r w:rsidR="001860A1" w:rsidRPr="00C066D6">
        <w:t>, konečně</w:t>
      </w:r>
      <w:r w:rsidR="00D24B62" w:rsidRPr="00C066D6">
        <w:t xml:space="preserve"> </w:t>
      </w:r>
      <m:oMath>
        <m:sSub>
          <m:sSubPr>
            <m:ctrlPr>
              <w:rPr>
                <w:rFonts w:ascii="Cambria Math" w:hAnsi="Cambria Math"/>
                <w:i/>
              </w:rPr>
            </m:ctrlPr>
          </m:sSubPr>
          <m:e>
            <m:r>
              <w:rPr>
                <w:rFonts w:ascii="Cambria Math" w:hAnsi="Cambria Math"/>
              </w:rPr>
              <m:t>TD</m:t>
            </m:r>
          </m:e>
          <m:sub>
            <m:r>
              <w:rPr>
                <w:rFonts w:ascii="Cambria Math" w:hAnsi="Cambria Math"/>
              </w:rPr>
              <m:t>ik</m:t>
            </m:r>
          </m:sub>
        </m:sSub>
      </m:oMath>
      <w:r w:rsidR="001860A1" w:rsidRPr="00C066D6">
        <w:t xml:space="preserve"> je počet vozidel s účastí </w:t>
      </w:r>
      <w:r w:rsidR="001860A1" w:rsidRPr="00C066D6">
        <w:rPr>
          <w:i/>
        </w:rPr>
        <w:t>DG</w:t>
      </w:r>
      <w:r w:rsidR="001860A1" w:rsidRPr="00C066D6">
        <w:t xml:space="preserve">, která projedou </w:t>
      </w:r>
      <w:r w:rsidR="001860A1" w:rsidRPr="00C066D6">
        <w:lastRenderedPageBreak/>
        <w:t>úsekem</w:t>
      </w:r>
      <w:r w:rsidR="001860A1" w:rsidRPr="00C066D6">
        <w:rPr>
          <w:i/>
        </w:rPr>
        <w:t xml:space="preserve"> i </w:t>
      </w:r>
      <w:r w:rsidR="001860A1" w:rsidRPr="00C066D6">
        <w:t xml:space="preserve">za hodinu. Pravděpodobnosti </w:t>
      </w:r>
      <m:oMath>
        <m:sSub>
          <m:sSubPr>
            <m:ctrlPr>
              <w:rPr>
                <w:rFonts w:ascii="Cambria Math" w:hAnsi="Cambria Math"/>
                <w:i/>
              </w:rPr>
            </m:ctrlPr>
          </m:sSubPr>
          <m:e>
            <m:r>
              <w:rPr>
                <w:rFonts w:ascii="Cambria Math" w:hAnsi="Cambria Math"/>
              </w:rPr>
              <m:t>P</m:t>
            </m:r>
          </m:e>
          <m:sub>
            <m:r>
              <w:rPr>
                <w:rFonts w:ascii="Cambria Math" w:hAnsi="Cambria Math"/>
              </w:rPr>
              <m:t>ijk</m:t>
            </m:r>
          </m:sub>
        </m:sSub>
        <m:r>
          <w:rPr>
            <w:rFonts w:ascii="Cambria Math" w:hAnsi="Cambria Math"/>
          </w:rPr>
          <m:t xml:space="preserve"> </m:t>
        </m:r>
      </m:oMath>
      <w:r w:rsidR="001860A1" w:rsidRPr="00C066D6">
        <w:t>se automaticky načítají z předkompilovaných tabulek získaných s využitím analýzy stromem selhání FTA (Fault Tree Analysis).</w:t>
      </w:r>
    </w:p>
    <w:p w:rsidR="0053765B" w:rsidRPr="00C066D6" w:rsidRDefault="0053765B" w:rsidP="00EB1FA8">
      <w:pPr>
        <w:rPr>
          <w:i/>
        </w:rPr>
      </w:pPr>
      <w:r w:rsidRPr="00C066D6">
        <w:t xml:space="preserve">Změnou vstupních parametrů, jako je uvažovaný úsek, poloha místa nehody, směr dopravy, referenční doba dne (např. dopravní špička) apod.,  QRAM nakonec bere v úvahu, že každý scénář </w:t>
      </w:r>
      <w:r w:rsidRPr="00C066D6">
        <w:rPr>
          <w:i/>
        </w:rPr>
        <w:t>s </w:t>
      </w:r>
      <w:r w:rsidRPr="00C066D6">
        <w:t xml:space="preserve">se může vyskytnout jako zvláštní událost </w:t>
      </w:r>
      <w:r w:rsidRPr="00C066D6">
        <w:rPr>
          <w:i/>
        </w:rPr>
        <w:t>E</w:t>
      </w:r>
      <w:r w:rsidRPr="00C066D6">
        <w:rPr>
          <w:i/>
          <w:vertAlign w:val="subscript"/>
        </w:rPr>
        <w:t>j</w:t>
      </w:r>
      <w:r w:rsidRPr="00C066D6">
        <w:t xml:space="preserve">, určí k ní příslušný počet obětí </w:t>
      </w:r>
      <w:r w:rsidRPr="00C066D6">
        <w:rPr>
          <w:i/>
        </w:rPr>
        <w:t>N</w:t>
      </w:r>
      <w:r w:rsidRPr="00C066D6">
        <w:rPr>
          <w:i/>
          <w:vertAlign w:val="subscript"/>
        </w:rPr>
        <w:t xml:space="preserve">j </w:t>
      </w:r>
      <w:r w:rsidRPr="00C066D6">
        <w:t xml:space="preserve">a přiřadí </w:t>
      </w:r>
      <w:r w:rsidR="00427FA6" w:rsidRPr="00C066D6">
        <w:t>k obětem četnosti výskytu</w:t>
      </w:r>
      <w:r w:rsidR="00F01E20" w:rsidRPr="00C066D6">
        <w:t>. Jeji</w:t>
      </w:r>
      <w:r w:rsidR="00427FA6" w:rsidRPr="00C066D6">
        <w:t>ch sumací přes</w:t>
      </w:r>
      <w:r w:rsidR="00F01E20" w:rsidRPr="00C066D6">
        <w:t xml:space="preserve"> jednotlivé </w:t>
      </w:r>
      <w:r w:rsidR="00427FA6" w:rsidRPr="00C066D6">
        <w:t>události vyplynou nakonec kumulativní četnosti, jež jsou spolu s počtem obětí vstupními hodnotami k sestrojení křivky</w:t>
      </w:r>
      <w:r w:rsidR="00A2272E" w:rsidRPr="00C066D6">
        <w:t xml:space="preserve">   </w:t>
      </w:r>
      <w:r w:rsidR="00427FA6" w:rsidRPr="00C066D6">
        <w:rPr>
          <w:i/>
        </w:rPr>
        <w:t>F–N.</w:t>
      </w:r>
    </w:p>
    <w:p w:rsidR="00F01E20" w:rsidRPr="00C066D6" w:rsidRDefault="00371129" w:rsidP="00EB1FA8">
      <w:pPr>
        <w:pStyle w:val="Nadpis3"/>
        <w:rPr>
          <w:rFonts w:eastAsiaTheme="minorEastAsia"/>
        </w:rPr>
      </w:pPr>
      <w:r w:rsidRPr="00C066D6">
        <w:rPr>
          <w:rFonts w:eastAsiaTheme="minorEastAsia"/>
        </w:rPr>
        <w:t>3</w:t>
      </w:r>
      <w:r w:rsidR="00F01E20" w:rsidRPr="00C066D6">
        <w:rPr>
          <w:rFonts w:eastAsiaTheme="minorEastAsia"/>
        </w:rPr>
        <w:t>.1.3 Shrnutí poznatků o metodice QRAM</w:t>
      </w:r>
    </w:p>
    <w:p w:rsidR="00F01E20" w:rsidRPr="00C066D6" w:rsidRDefault="001345C9" w:rsidP="00EB1FA8">
      <w:r w:rsidRPr="00C066D6">
        <w:t>QRAM je zal</w:t>
      </w:r>
      <w:r w:rsidR="00054A7E" w:rsidRPr="00C066D6">
        <w:t>ožen na Microsoft Excel a</w:t>
      </w:r>
      <w:r w:rsidRPr="00C066D6">
        <w:t xml:space="preserve"> výsledky jsou vyjádřeny formou sociálního rizika.</w:t>
      </w:r>
      <w:r w:rsidR="00054A7E" w:rsidRPr="00C066D6">
        <w:t xml:space="preserve"> Model bere v úvahu tyto faktory, viz </w:t>
      </w:r>
      <w:r w:rsidR="00054A7E" w:rsidRPr="00C066D6">
        <w:rPr>
          <w:lang w:val="en-US"/>
        </w:rPr>
        <w:t>[</w:t>
      </w:r>
      <w:r w:rsidR="00C23E65" w:rsidRPr="00C066D6">
        <w:rPr>
          <w:lang w:val="en-US"/>
        </w:rPr>
        <w:t>1</w:t>
      </w:r>
      <w:r w:rsidR="00054A7E" w:rsidRPr="00C066D6">
        <w:rPr>
          <w:lang w:val="en-US"/>
        </w:rPr>
        <w:t>]</w:t>
      </w:r>
      <w:r w:rsidR="00054A7E" w:rsidRPr="00C066D6">
        <w:t>:</w:t>
      </w:r>
    </w:p>
    <w:p w:rsidR="001345C9" w:rsidRPr="00C066D6" w:rsidRDefault="001345C9" w:rsidP="00EB1FA8">
      <w:pPr>
        <w:pStyle w:val="Odstavecseseznamem"/>
        <w:numPr>
          <w:ilvl w:val="0"/>
          <w:numId w:val="7"/>
        </w:numPr>
      </w:pPr>
      <w:r w:rsidRPr="00C066D6">
        <w:t>Četnosti nehod převzatých z historických databází</w:t>
      </w:r>
    </w:p>
    <w:p w:rsidR="001345C9" w:rsidRPr="00C066D6" w:rsidRDefault="001345C9" w:rsidP="00EB1FA8">
      <w:pPr>
        <w:pStyle w:val="Odstavecseseznamem"/>
        <w:numPr>
          <w:ilvl w:val="0"/>
          <w:numId w:val="7"/>
        </w:numPr>
      </w:pPr>
      <w:r w:rsidRPr="00C066D6">
        <w:t>Fyzikální důsledky nehod uvnitř tunelu i na otevřených cestách</w:t>
      </w:r>
    </w:p>
    <w:p w:rsidR="001345C9" w:rsidRPr="00C066D6" w:rsidRDefault="001345C9" w:rsidP="00EB1FA8">
      <w:pPr>
        <w:pStyle w:val="Odstavecseseznamem"/>
        <w:numPr>
          <w:ilvl w:val="0"/>
          <w:numId w:val="7"/>
        </w:numPr>
      </w:pPr>
      <w:r w:rsidRPr="00C066D6">
        <w:t>Účinky možnosti úniku a úkrytu (shelter)</w:t>
      </w:r>
      <w:r w:rsidR="00054A7E" w:rsidRPr="00C066D6">
        <w:t xml:space="preserve"> osob</w:t>
      </w:r>
    </w:p>
    <w:p w:rsidR="001345C9" w:rsidRPr="00C066D6" w:rsidRDefault="001345C9" w:rsidP="00EB1FA8">
      <w:pPr>
        <w:pStyle w:val="Odstavecseseznamem"/>
        <w:numPr>
          <w:ilvl w:val="0"/>
          <w:numId w:val="7"/>
        </w:numPr>
      </w:pPr>
      <w:r w:rsidRPr="00C066D6">
        <w:t xml:space="preserve">Účinky ohrožující lidi, jako </w:t>
      </w:r>
      <w:r w:rsidR="00054A7E" w:rsidRPr="00C066D6">
        <w:t xml:space="preserve">je </w:t>
      </w:r>
      <w:r w:rsidRPr="00C066D6">
        <w:t>kouř, teplo ad.</w:t>
      </w:r>
    </w:p>
    <w:p w:rsidR="00054A7E" w:rsidRPr="00C066D6" w:rsidRDefault="00054A7E" w:rsidP="00EB1FA8">
      <w:r w:rsidRPr="00C066D6">
        <w:t>Model QRAM byl aplikován na řadě dopravních cest s tunely, zejména v UK, Rakousku, Francii).</w:t>
      </w:r>
      <w:r w:rsidR="00A2272E" w:rsidRPr="00C066D6">
        <w:t xml:space="preserve"> </w:t>
      </w:r>
    </w:p>
    <w:p w:rsidR="00A2272E" w:rsidRPr="00C066D6" w:rsidRDefault="00A2272E" w:rsidP="00EB1FA8">
      <w:pPr>
        <w:rPr>
          <w:rFonts w:eastAsiaTheme="minorEastAsia"/>
        </w:rPr>
      </w:pPr>
      <w:r w:rsidRPr="00C066D6">
        <w:rPr>
          <w:i/>
        </w:rPr>
        <w:t>Citlivostní analýza</w:t>
      </w:r>
      <w:r w:rsidRPr="00C066D6">
        <w:t xml:space="preserve"> podaná v </w:t>
      </w:r>
      <w:r w:rsidR="00C23E65" w:rsidRPr="00C066D6">
        <w:t>[4</w:t>
      </w:r>
      <w:r w:rsidRPr="00C066D6">
        <w:t xml:space="preserve">] vytipovala parametry, jež nejvíce ovlivňují tvar křivky </w:t>
      </w:r>
      <w:r w:rsidRPr="00C066D6">
        <w:rPr>
          <w:rFonts w:eastAsiaTheme="minorEastAsia"/>
          <w:i/>
        </w:rPr>
        <w:t>F–N</w:t>
      </w:r>
      <w:r w:rsidRPr="00C066D6">
        <w:rPr>
          <w:rFonts w:eastAsiaTheme="minorEastAsia"/>
        </w:rPr>
        <w:t>:</w:t>
      </w:r>
    </w:p>
    <w:p w:rsidR="00A2272E" w:rsidRPr="00C066D6" w:rsidRDefault="000C2C72" w:rsidP="00EB1FA8">
      <w:pPr>
        <w:pStyle w:val="Odstavecseseznamem"/>
        <w:numPr>
          <w:ilvl w:val="0"/>
          <w:numId w:val="8"/>
        </w:numPr>
      </w:pPr>
      <w:r w:rsidRPr="00C066D6">
        <w:t xml:space="preserve">Parametry definující hustotu dopravy za plynulé dopravy </w:t>
      </w:r>
      <w:r w:rsidRPr="00C066D6">
        <w:rPr>
          <w:i/>
        </w:rPr>
        <w:t>D</w:t>
      </w:r>
      <w:r w:rsidRPr="00C066D6">
        <w:rPr>
          <w:i/>
          <w:vertAlign w:val="subscript"/>
        </w:rPr>
        <w:t>RUF</w:t>
      </w:r>
      <w:r w:rsidRPr="00C066D6">
        <w:rPr>
          <w:vertAlign w:val="subscript"/>
        </w:rPr>
        <w:t xml:space="preserve"> </w:t>
      </w:r>
      <w:r w:rsidRPr="00C066D6">
        <w:t xml:space="preserve">a při dopravní zácpě </w:t>
      </w:r>
      <w:r w:rsidRPr="00C066D6">
        <w:rPr>
          <w:i/>
        </w:rPr>
        <w:t>D</w:t>
      </w:r>
      <w:r w:rsidRPr="00C066D6">
        <w:rPr>
          <w:i/>
          <w:vertAlign w:val="subscript"/>
        </w:rPr>
        <w:t>RUJ</w:t>
      </w:r>
      <w:r w:rsidRPr="00C066D6">
        <w:t xml:space="preserve"> při realizaci scénáře </w:t>
      </w:r>
      <w:r w:rsidRPr="00C066D6">
        <w:rPr>
          <w:i/>
        </w:rPr>
        <w:t>s</w:t>
      </w:r>
      <w:r w:rsidRPr="00C066D6">
        <w:t xml:space="preserve">: celková intenzita dopravy [veh/h], procentuální podíl autobusů v celkové dopravě, průměrné obsazení </w:t>
      </w:r>
      <w:r w:rsidR="009B4D80" w:rsidRPr="00C066D6">
        <w:t>vozidla, počet pruhů</w:t>
      </w:r>
    </w:p>
    <w:p w:rsidR="009B4D80" w:rsidRPr="00C066D6" w:rsidRDefault="009B4D80" w:rsidP="00EB1FA8">
      <w:pPr>
        <w:pStyle w:val="Odstavecseseznamem"/>
        <w:numPr>
          <w:ilvl w:val="0"/>
          <w:numId w:val="8"/>
        </w:numPr>
      </w:pPr>
      <w:r w:rsidRPr="00C066D6">
        <w:t xml:space="preserve">Parametry ovlivňující délku dopravní zácpy </w:t>
      </w:r>
      <w:r w:rsidRPr="00C066D6">
        <w:rPr>
          <w:i/>
        </w:rPr>
        <w:t>L</w:t>
      </w:r>
      <w:r w:rsidRPr="00C066D6">
        <w:rPr>
          <w:i/>
          <w:vertAlign w:val="subscript"/>
        </w:rPr>
        <w:t>jam</w:t>
      </w:r>
      <w:r w:rsidR="00C23E65" w:rsidRPr="00C066D6">
        <w:t>,</w:t>
      </w:r>
      <w:r w:rsidRPr="00C066D6">
        <w:t xml:space="preserve"> než dojde k realizaci scénáře </w:t>
      </w:r>
      <w:r w:rsidRPr="00C066D6">
        <w:rPr>
          <w:i/>
        </w:rPr>
        <w:t>s</w:t>
      </w:r>
      <w:r w:rsidRPr="00C066D6">
        <w:t xml:space="preserve">: zpoždění přibližující se dopravy v důsledku zastavení </w:t>
      </w:r>
    </w:p>
    <w:p w:rsidR="009B4D80" w:rsidRPr="00C066D6" w:rsidRDefault="009B4D80" w:rsidP="00EB1FA8">
      <w:pPr>
        <w:pStyle w:val="Odstavecseseznamem"/>
        <w:numPr>
          <w:ilvl w:val="0"/>
          <w:numId w:val="8"/>
        </w:numPr>
      </w:pPr>
      <w:r w:rsidRPr="00C066D6">
        <w:t xml:space="preserve">Parametry definující četnost výskytu </w:t>
      </w:r>
      <m:oMath>
        <m:sSub>
          <m:sSubPr>
            <m:ctrlPr>
              <w:rPr>
                <w:rFonts w:ascii="Cambria Math" w:hAnsi="Cambria Math"/>
                <w:i/>
              </w:rPr>
            </m:ctrlPr>
          </m:sSubPr>
          <m:e>
            <m:r>
              <w:rPr>
                <w:rFonts w:ascii="Cambria Math" w:hAnsi="Cambria Math"/>
              </w:rPr>
              <m:t>f</m:t>
            </m:r>
          </m:e>
          <m:sub>
            <m:r>
              <w:rPr>
                <w:rFonts w:ascii="Cambria Math" w:hAnsi="Cambria Math"/>
              </w:rPr>
              <m:t>ijk</m:t>
            </m:r>
          </m:sub>
        </m:sSub>
        <m:r>
          <w:rPr>
            <w:rFonts w:ascii="Cambria Math" w:hAnsi="Cambria Math"/>
          </w:rPr>
          <m:t xml:space="preserve"> </m:t>
        </m:r>
      </m:oMath>
      <w:r w:rsidRPr="00C066D6">
        <w:t xml:space="preserve">scénáře </w:t>
      </w:r>
      <w:r w:rsidRPr="00C066D6">
        <w:rPr>
          <w:i/>
        </w:rPr>
        <w:t>s</w:t>
      </w:r>
      <w:r w:rsidR="00C67A86" w:rsidRPr="00C066D6">
        <w:rPr>
          <w:i/>
        </w:rPr>
        <w:t xml:space="preserve"> = j</w:t>
      </w:r>
      <w:r w:rsidRPr="00C066D6">
        <w:rPr>
          <w:i/>
        </w:rPr>
        <w:t> </w:t>
      </w:r>
      <w:r w:rsidRPr="00C066D6">
        <w:t xml:space="preserve">v úseku </w:t>
      </w:r>
      <w:r w:rsidRPr="00C066D6">
        <w:rPr>
          <w:i/>
        </w:rPr>
        <w:t>i</w:t>
      </w:r>
      <w:r w:rsidRPr="00C066D6">
        <w:t xml:space="preserve">: doprava DG-HGV [veh/h], procentuální podíl HGV v celkové dopravě, roční četnost nehod s účastí HGV na úseku </w:t>
      </w:r>
      <w:r w:rsidR="00C67A86" w:rsidRPr="00C066D6">
        <w:rPr>
          <w:i/>
        </w:rPr>
        <w:t>I</w:t>
      </w:r>
      <w:r w:rsidR="00C67A86" w:rsidRPr="00C066D6">
        <w:t xml:space="preserve">; podíl jednotlivých </w:t>
      </w:r>
      <w:r w:rsidR="00C67A86" w:rsidRPr="00C066D6">
        <w:rPr>
          <w:i/>
        </w:rPr>
        <w:t xml:space="preserve">DG </w:t>
      </w:r>
      <w:r w:rsidR="00C67A86" w:rsidRPr="00C066D6">
        <w:t xml:space="preserve">typů </w:t>
      </w:r>
      <w:r w:rsidR="00C67A86" w:rsidRPr="00C066D6">
        <w:rPr>
          <w:i/>
        </w:rPr>
        <w:t>k</w:t>
      </w:r>
      <w:r w:rsidR="00C67A86" w:rsidRPr="00C066D6">
        <w:t xml:space="preserve"> v celkové dopravě DG. </w:t>
      </w:r>
    </w:p>
    <w:p w:rsidR="00C67A86" w:rsidRPr="00C066D6" w:rsidRDefault="00C67A86" w:rsidP="00EB1FA8">
      <w:r w:rsidRPr="00C066D6">
        <w:t xml:space="preserve">Metodika QRAM je bezprostředně implementovatelná při forensním vyšetřování </w:t>
      </w:r>
      <w:r w:rsidR="008A1A5A" w:rsidRPr="00C066D6">
        <w:t xml:space="preserve">důsledků nehod v silničních </w:t>
      </w:r>
      <w:r w:rsidR="00CA3CA2" w:rsidRPr="00C066D6">
        <w:t>tunelech.</w:t>
      </w:r>
      <w:r w:rsidRPr="00C066D6">
        <w:t xml:space="preserve"> </w:t>
      </w:r>
    </w:p>
    <w:p w:rsidR="00371129" w:rsidRPr="00C066D6" w:rsidRDefault="00371129" w:rsidP="00EB1FA8">
      <w:pPr>
        <w:pStyle w:val="Nadpis2"/>
      </w:pPr>
      <w:r w:rsidRPr="00C066D6">
        <w:t>3.2 Hodnocení rizika škody na majetku se zaměřením na tunelové ostění</w:t>
      </w:r>
    </w:p>
    <w:p w:rsidR="00371129" w:rsidRPr="00C066D6" w:rsidRDefault="00371129" w:rsidP="00EB1FA8">
      <w:pPr>
        <w:pStyle w:val="Nadpis3"/>
      </w:pPr>
      <w:r w:rsidRPr="00C066D6">
        <w:t>3.2.1 Podstata řešení</w:t>
      </w:r>
    </w:p>
    <w:p w:rsidR="00371129" w:rsidRPr="00C066D6" w:rsidRDefault="00371129" w:rsidP="00EB1FA8">
      <w:r w:rsidRPr="00C066D6">
        <w:t xml:space="preserve">Teoretické základy </w:t>
      </w:r>
      <w:r w:rsidR="00D01A68" w:rsidRPr="00C066D6">
        <w:t xml:space="preserve">předkládané </w:t>
      </w:r>
      <w:r w:rsidRPr="00C066D6">
        <w:t xml:space="preserve">metodiky jsou podrobně popsány v publikacích </w:t>
      </w:r>
      <w:r w:rsidR="003B6A1C" w:rsidRPr="00C066D6">
        <w:t>[12]</w:t>
      </w:r>
      <w:r w:rsidR="00D01A68" w:rsidRPr="00C066D6">
        <w:t xml:space="preserve">, </w:t>
      </w:r>
      <w:r w:rsidR="003B6A1C" w:rsidRPr="00C066D6">
        <w:t>[13]</w:t>
      </w:r>
      <w:r w:rsidR="00D01A68" w:rsidRPr="00C066D6">
        <w:t xml:space="preserve"> a </w:t>
      </w:r>
      <w:r w:rsidR="003B6A1C" w:rsidRPr="00C066D6">
        <w:t>[14]</w:t>
      </w:r>
      <w:r w:rsidRPr="00C066D6">
        <w:t>. Obdobně jako při hodnocení rizika škody na zdraví a ztrát na lidských životech (</w:t>
      </w:r>
      <w:r w:rsidR="00D01A68" w:rsidRPr="00C066D6">
        <w:t>Čl. 3</w:t>
      </w:r>
      <w:r w:rsidRPr="00C066D6">
        <w:t>.1) metodika vychází z rámce rizikové analýzy na Obr. 1 a je charakterizována těmito rysy:</w:t>
      </w:r>
    </w:p>
    <w:p w:rsidR="00371129" w:rsidRPr="00C066D6" w:rsidRDefault="00371129" w:rsidP="00EB1FA8">
      <w:pPr>
        <w:pStyle w:val="Odstavecseseznamem"/>
        <w:numPr>
          <w:ilvl w:val="0"/>
          <w:numId w:val="9"/>
        </w:numPr>
      </w:pPr>
      <w:r w:rsidRPr="00C066D6">
        <w:t>Je to kvantifikovaná riziková analýza QRA</w:t>
      </w:r>
    </w:p>
    <w:p w:rsidR="00371129" w:rsidRPr="00C066D6" w:rsidRDefault="00371129" w:rsidP="00EB1FA8">
      <w:pPr>
        <w:rPr>
          <w:rFonts w:cstheme="minorHAnsi"/>
        </w:rPr>
      </w:pPr>
      <w:r w:rsidRPr="00C066D6">
        <w:t>Jejím výstupem je relativní pravděpodobná škoda. Ta je vyjádřena objemem poškozeného betonu (m</w:t>
      </w:r>
      <w:r w:rsidRPr="00C066D6">
        <w:rPr>
          <w:vertAlign w:val="superscript"/>
        </w:rPr>
        <w:t>3</w:t>
      </w:r>
      <w:r w:rsidRPr="00C066D6">
        <w:t xml:space="preserve">), vztaženým na jednotku délky tunelu </w:t>
      </w:r>
      <w:r w:rsidRPr="00C066D6">
        <w:rPr>
          <w:i/>
        </w:rPr>
        <w:t>L</w:t>
      </w:r>
      <w:r w:rsidRPr="00C066D6">
        <w:t xml:space="preserve"> (1 km), času </w:t>
      </w:r>
      <w:r w:rsidRPr="00C066D6">
        <w:rPr>
          <w:i/>
        </w:rPr>
        <w:t>T</w:t>
      </w:r>
      <w:r w:rsidRPr="00C066D6">
        <w:t xml:space="preserve"> (1 rok = 365 dnů), jednotku průměrné denní hustoty provozu v roce AADT (1 vozidlo.den</w:t>
      </w:r>
      <w:r w:rsidR="00D01A68" w:rsidRPr="00C066D6">
        <w:rPr>
          <w:vertAlign w:val="superscript"/>
        </w:rPr>
        <w:t>-</w:t>
      </w:r>
      <w:r w:rsidRPr="00C066D6">
        <w:rPr>
          <w:vertAlign w:val="superscript"/>
        </w:rPr>
        <w:t>1</w:t>
      </w:r>
      <w:r w:rsidRPr="00C066D6">
        <w:t xml:space="preserve">) a jednotku intenzity požárů </w:t>
      </w:r>
      <w:r w:rsidRPr="00C066D6">
        <w:rPr>
          <w:rFonts w:cstheme="minorHAnsi"/>
          <w:i/>
        </w:rPr>
        <w:t>λ</w:t>
      </w:r>
      <w:r w:rsidRPr="00C066D6">
        <w:rPr>
          <w:rFonts w:cstheme="minorHAnsi"/>
          <w:i/>
          <w:vertAlign w:val="subscript"/>
        </w:rPr>
        <w:t>f</w:t>
      </w:r>
      <w:r w:rsidRPr="00C066D6">
        <w:rPr>
          <w:rFonts w:cstheme="minorHAnsi"/>
          <w:i/>
        </w:rPr>
        <w:t xml:space="preserve"> </w:t>
      </w:r>
      <w:r w:rsidRPr="00C066D6">
        <w:rPr>
          <w:rFonts w:cstheme="minorHAnsi"/>
        </w:rPr>
        <w:t>(1 požár. (vozidlo.km)</w:t>
      </w:r>
      <w:r w:rsidR="00D01A68" w:rsidRPr="00C066D6">
        <w:rPr>
          <w:rFonts w:cstheme="minorHAnsi"/>
          <w:vertAlign w:val="superscript"/>
        </w:rPr>
        <w:t>-</w:t>
      </w:r>
      <w:r w:rsidRPr="00C066D6">
        <w:rPr>
          <w:rFonts w:cstheme="minorHAnsi"/>
          <w:vertAlign w:val="superscript"/>
        </w:rPr>
        <w:t>1</w:t>
      </w:r>
      <w:r w:rsidRPr="00C066D6">
        <w:rPr>
          <w:rFonts w:cstheme="minorHAnsi"/>
        </w:rPr>
        <w:t>).</w:t>
      </w:r>
    </w:p>
    <w:p w:rsidR="00371129" w:rsidRPr="00C066D6" w:rsidRDefault="00371129" w:rsidP="00EB1FA8">
      <w:pPr>
        <w:pStyle w:val="Odstavecseseznamem"/>
        <w:numPr>
          <w:ilvl w:val="0"/>
          <w:numId w:val="9"/>
        </w:numPr>
      </w:pPr>
      <w:r w:rsidRPr="00C066D6">
        <w:lastRenderedPageBreak/>
        <w:t xml:space="preserve">První část QRA  vyhodnocuje nebezpečí požáru </w:t>
      </w:r>
    </w:p>
    <w:p w:rsidR="00371129" w:rsidRPr="00C066D6" w:rsidRDefault="00371129" w:rsidP="00EB1FA8">
      <w:r w:rsidRPr="00C066D6">
        <w:t>Riziko požáru je v první řadě svázáno s pravděpodobností dopravní nehody, kterou nemusí být jen důsledek kolize dvou nebo více vozidel, ale jakákoliv událost vedoucí k jejich vznícení (přehřátí motoru, brzd, únik paliva apod.). Podkladem pro pravděpodobnostní model požáru jsou statistická data podložená dvěma rozsáhlými studiemi v</w:t>
      </w:r>
      <w:r w:rsidR="0073634F" w:rsidRPr="00C066D6">
        <w:t> Rakousku (viz zpráva ASFiNAG [5]) a v Itálii (studie [6], [7]). Ze zprávy [5</w:t>
      </w:r>
      <w:r w:rsidRPr="00C066D6">
        <w:t>] vyplývá, že drtivá většina požárů nákladních vozidel nebo autobusů (TB) vzniká samovznícením převážně v horském terénu (97 [%])</w:t>
      </w:r>
      <w:r w:rsidRPr="00C066D6">
        <w:rPr>
          <w:rStyle w:val="Znakapoznpodarou"/>
          <w:rFonts w:ascii="Times New Roman" w:hAnsi="Times New Roman" w:cs="Times New Roman"/>
        </w:rPr>
        <w:footnoteReference w:id="9"/>
      </w:r>
      <w:r w:rsidRPr="00C066D6">
        <w:t>.  K následnému vznícení po kolizi dochází spíše v rovi</w:t>
      </w:r>
      <w:r w:rsidR="0073634F" w:rsidRPr="00C066D6">
        <w:t>natém území. Italské podklady [6</w:t>
      </w:r>
      <w:r w:rsidRPr="00C066D6">
        <w:t>], [</w:t>
      </w:r>
      <w:r w:rsidR="0073634F" w:rsidRPr="00C066D6">
        <w:t>7</w:t>
      </w:r>
      <w:r w:rsidRPr="00C066D6">
        <w:t xml:space="preserve">] poskytují kromě statistických údajů o počtu dopravních nehod a požárů a způsobu jejich matematického modelování i informaci o faktorech, jež vážné nehody nejvíce ovlivňují. Jedná se o (i) hustotu dopravy AADT (Annual Average Daily Traffic), (ii) délku tunelu </w:t>
      </w:r>
      <w:r w:rsidRPr="00C066D6">
        <w:rPr>
          <w:i/>
        </w:rPr>
        <w:t>L</w:t>
      </w:r>
      <w:r w:rsidRPr="00C066D6">
        <w:t xml:space="preserve"> [m], (iii) procentuální podíl TB v dopravním proudu a (iv) počet pruhů. </w:t>
      </w:r>
    </w:p>
    <w:p w:rsidR="00371129" w:rsidRPr="00C066D6" w:rsidRDefault="00371129" w:rsidP="00EB1FA8">
      <w:r w:rsidRPr="00C066D6">
        <w:t>Pravděpodobnost požáru je ovlivněna seskupením (skladbou) vozidel postižených požárem. Možná skladba vozidel v proudu se dvěma pruhy je patrná z Obr. 5, v němž V</w:t>
      </w:r>
      <w:r w:rsidRPr="00C066D6">
        <w:rPr>
          <w:i/>
        </w:rPr>
        <w:t> </w:t>
      </w:r>
      <w:r w:rsidRPr="00C066D6">
        <w:t>značí prázdné místo (neobsazené voz</w:t>
      </w:r>
      <w:r w:rsidR="00D01A68" w:rsidRPr="00C066D6">
        <w:t>idlem), PC – osobní vozidlo, TB</w:t>
      </w:r>
      <w:r w:rsidRPr="00C066D6">
        <w:rPr>
          <w:i/>
        </w:rPr>
        <w:t xml:space="preserve"> </w:t>
      </w:r>
      <w:r w:rsidRPr="00C066D6">
        <w:t xml:space="preserve">– těžké nákladní vozidlo (HGV) anebo bus. </w:t>
      </w:r>
    </w:p>
    <w:p w:rsidR="00605AFA" w:rsidRPr="00C066D6" w:rsidRDefault="00C937BE" w:rsidP="00EB1FA8">
      <w:r w:rsidRPr="00C066D6">
        <w:rPr>
          <w:noProof/>
          <w:lang w:eastAsia="cs-CZ"/>
        </w:rPr>
        <w:drawing>
          <wp:inline distT="0" distB="0" distL="0" distR="0" wp14:anchorId="780B1783" wp14:editId="5C91F692">
            <wp:extent cx="5791200" cy="124206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91200" cy="1242060"/>
                    </a:xfrm>
                    <a:prstGeom prst="rect">
                      <a:avLst/>
                    </a:prstGeom>
                    <a:noFill/>
                    <a:ln>
                      <a:noFill/>
                    </a:ln>
                  </pic:spPr>
                </pic:pic>
              </a:graphicData>
            </a:graphic>
          </wp:inline>
        </w:drawing>
      </w:r>
    </w:p>
    <w:p w:rsidR="00371129" w:rsidRPr="00C066D6" w:rsidRDefault="00371129" w:rsidP="003A547D">
      <w:pPr>
        <w:jc w:val="center"/>
      </w:pPr>
      <w:r w:rsidRPr="00C066D6">
        <w:t>Obr. 5 Dopravní proud se dvěma pruhy</w:t>
      </w:r>
    </w:p>
    <w:p w:rsidR="00371129" w:rsidRPr="00C066D6" w:rsidRDefault="00371129" w:rsidP="00EB1FA8">
      <w:r w:rsidRPr="00C066D6">
        <w:t>Při modelování dopravního proudu jsou rozhodující následující faktory: (i) pravděpodobnost, že určitá konfigurace vozid</w:t>
      </w:r>
      <w:r w:rsidR="0073634F" w:rsidRPr="00C066D6">
        <w:t>el je zasažena požárem (významná</w:t>
      </w:r>
      <w:r w:rsidRPr="00C066D6">
        <w:t xml:space="preserve"> jsou zejména seskupení s přítomností jednoho, nebo dvou TB, ať už vedle sebe, či za sebou), (ii) pravděpodobnost, že na nehodu/kolizi vozidel navazuje požár, (iii) pravděpodobnost rozdělení tepla v dané konfiguraci zasažené požárem, tj. realizace scénáře, za něhož událost probíhá</w:t>
      </w:r>
      <w:r w:rsidRPr="00C066D6">
        <w:rPr>
          <w:rStyle w:val="Znakapoznpodarou"/>
          <w:rFonts w:ascii="Times New Roman" w:hAnsi="Times New Roman" w:cs="Times New Roman"/>
        </w:rPr>
        <w:footnoteReference w:id="10"/>
      </w:r>
      <w:r w:rsidRPr="00C066D6">
        <w:t>.</w:t>
      </w:r>
    </w:p>
    <w:p w:rsidR="00371129" w:rsidRPr="00C066D6" w:rsidRDefault="00371129" w:rsidP="00EB1FA8">
      <w:r w:rsidRPr="00C066D6">
        <w:t xml:space="preserve">Při analýze faktoru (ii) nahlížíme na požární nehody v tunelu jako na realizace Poissonova procesu s intenzitou </w:t>
      </w:r>
      <m:oMath>
        <m:sSub>
          <m:sSubPr>
            <m:ctrlPr>
              <w:rPr>
                <w:rFonts w:ascii="Cambria Math" w:hAnsi="Cambria Math"/>
              </w:rPr>
            </m:ctrlPr>
          </m:sSubPr>
          <m:e>
            <m:r>
              <m:rPr>
                <m:sty m:val="p"/>
              </m:rPr>
              <w:rPr>
                <w:rFonts w:ascii="Cambria Math" w:hAnsi="Cambria Math"/>
              </w:rPr>
              <m:t>λ</m:t>
            </m:r>
          </m:e>
          <m:sub>
            <m:r>
              <m:rPr>
                <m:sty m:val="p"/>
              </m:rPr>
              <w:rPr>
                <w:rFonts w:ascii="Cambria Math" w:hAnsi="Cambria Math"/>
              </w:rPr>
              <m:t>f</m:t>
            </m:r>
          </m:sub>
        </m:sSub>
      </m:oMath>
      <w:r w:rsidRPr="00C066D6">
        <w:rPr>
          <w:rFonts w:eastAsiaTheme="minorEastAsia"/>
        </w:rPr>
        <w:t>. Tu lze odhadnout ze vztahu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2"/>
      </w:tblGrid>
      <w:tr w:rsidR="00371129" w:rsidRPr="00C066D6" w:rsidTr="00002807">
        <w:tc>
          <w:tcPr>
            <w:tcW w:w="8500" w:type="dxa"/>
          </w:tcPr>
          <w:p w:rsidR="00371129" w:rsidRPr="00C066D6" w:rsidRDefault="008B3A2E" w:rsidP="00EB1FA8">
            <w:pPr>
              <w:rPr>
                <w:rFonts w:ascii="Times New Roman" w:eastAsiaTheme="minorEastAsia" w:hAnsi="Times New Roman"/>
              </w:rPr>
            </w:pPr>
            <m:oMathPara>
              <m:oMath>
                <m:sSub>
                  <m:sSubPr>
                    <m:ctrlPr>
                      <w:rPr>
                        <w:rFonts w:ascii="Cambria Math" w:hAnsi="Cambria Math"/>
                        <w:lang w:val="en-US"/>
                      </w:rPr>
                    </m:ctrlPr>
                  </m:sSubPr>
                  <m:e>
                    <m:r>
                      <w:rPr>
                        <w:rFonts w:ascii="Cambria Math" w:hAnsi="Cambria Math"/>
                        <w:lang w:val="en-US"/>
                      </w:rPr>
                      <m:t>λ</m:t>
                    </m:r>
                  </m:e>
                  <m:sub>
                    <m:r>
                      <m:rPr>
                        <m:sty m:val="p"/>
                      </m:rPr>
                      <w:rPr>
                        <w:rFonts w:ascii="Cambria Math" w:hAnsi="Cambria Math"/>
                        <w:lang w:val="en-US"/>
                      </w:rPr>
                      <m:t>f</m:t>
                    </m:r>
                  </m:sub>
                </m:sSub>
                <m:r>
                  <m:rPr>
                    <m:sty m:val="p"/>
                  </m:rPr>
                  <w:rPr>
                    <w:rFonts w:ascii="Cambria Math" w:hAnsi="Cambria Math"/>
                    <w:lang w:val="en-US"/>
                  </w:rPr>
                  <m:t xml:space="preserve">= </m:t>
                </m:r>
                <m:f>
                  <m:fPr>
                    <m:ctrlPr>
                      <w:rPr>
                        <w:rFonts w:ascii="Cambria Math" w:hAnsi="Cambria Math"/>
                        <w:lang w:val="en-US"/>
                      </w:rPr>
                    </m:ctrlPr>
                  </m:fPr>
                  <m:num>
                    <m:sSub>
                      <m:sSubPr>
                        <m:ctrlPr>
                          <w:rPr>
                            <w:rFonts w:ascii="Cambria Math" w:hAnsi="Cambria Math"/>
                            <w:lang w:val="en-US"/>
                          </w:rPr>
                        </m:ctrlPr>
                      </m:sSubPr>
                      <m:e>
                        <m:r>
                          <w:rPr>
                            <w:rFonts w:ascii="Cambria Math" w:hAnsi="Cambria Math"/>
                            <w:lang w:val="en-US"/>
                          </w:rPr>
                          <m:t>N</m:t>
                        </m:r>
                      </m:e>
                      <m:sub>
                        <m:r>
                          <m:rPr>
                            <m:sty m:val="p"/>
                          </m:rPr>
                          <w:rPr>
                            <w:rFonts w:ascii="Cambria Math" w:hAnsi="Cambria Math"/>
                            <w:lang w:val="en-US"/>
                          </w:rPr>
                          <m:t>f</m:t>
                        </m:r>
                      </m:sub>
                    </m:sSub>
                  </m:num>
                  <m:den>
                    <m:r>
                      <m:rPr>
                        <m:sty m:val="p"/>
                      </m:rPr>
                      <w:rPr>
                        <w:rFonts w:ascii="Cambria Math" w:hAnsi="Cambria Math"/>
                        <w:lang w:val="en-US"/>
                      </w:rPr>
                      <m:t>365</m:t>
                    </m:r>
                    <m:d>
                      <m:dPr>
                        <m:begChr m:val="{"/>
                        <m:endChr m:val="}"/>
                        <m:ctrlPr>
                          <w:rPr>
                            <w:rFonts w:ascii="Cambria Math" w:hAnsi="Cambria Math"/>
                            <w:lang w:val="en-US"/>
                          </w:rPr>
                        </m:ctrlPr>
                      </m:dPr>
                      <m:e>
                        <m:r>
                          <m:rPr>
                            <m:sty m:val="p"/>
                          </m:rPr>
                          <w:rPr>
                            <w:rFonts w:ascii="Cambria Math" w:hAnsi="Cambria Math"/>
                            <w:lang w:val="en-US"/>
                          </w:rPr>
                          <m:t>AADT</m:t>
                        </m:r>
                      </m:e>
                    </m:d>
                    <m:sSub>
                      <m:sSubPr>
                        <m:ctrlPr>
                          <w:rPr>
                            <w:rFonts w:ascii="Cambria Math" w:hAnsi="Cambria Math"/>
                            <w:lang w:val="en-US"/>
                          </w:rPr>
                        </m:ctrlPr>
                      </m:sSubPr>
                      <m:e>
                        <m:r>
                          <w:rPr>
                            <w:rFonts w:ascii="Cambria Math" w:hAnsi="Cambria Math"/>
                            <w:lang w:val="en-US"/>
                          </w:rPr>
                          <m:t>L</m:t>
                        </m:r>
                      </m:e>
                      <m:sub>
                        <m:r>
                          <m:rPr>
                            <m:sty m:val="p"/>
                          </m:rPr>
                          <w:rPr>
                            <w:rFonts w:ascii="Cambria Math" w:hAnsi="Cambria Math"/>
                            <w:lang w:val="en-US"/>
                          </w:rPr>
                          <m:t>ref</m:t>
                        </m:r>
                      </m:sub>
                    </m:sSub>
                  </m:den>
                </m:f>
                <m:r>
                  <w:rPr>
                    <w:rFonts w:ascii="Cambria Math" w:hAnsi="Cambria Math"/>
                    <w:lang w:val="en-US"/>
                  </w:rPr>
                  <m:t xml:space="preserve">    </m:t>
                </m:r>
                <m:r>
                  <m:rPr>
                    <m:sty m:val="p"/>
                  </m:rPr>
                  <w:rPr>
                    <w:rFonts w:ascii="Cambria Math" w:hAnsi="Cambria Math"/>
                    <w:lang w:val="en-US"/>
                  </w:rPr>
                  <m:t>,</m:t>
                </m:r>
              </m:oMath>
            </m:oMathPara>
          </w:p>
        </w:tc>
        <w:tc>
          <w:tcPr>
            <w:tcW w:w="562" w:type="dxa"/>
            <w:vAlign w:val="center"/>
          </w:tcPr>
          <w:p w:rsidR="00371129" w:rsidRPr="00C066D6" w:rsidRDefault="00371129" w:rsidP="00EB1FA8">
            <w:r w:rsidRPr="00C066D6">
              <w:rPr>
                <w:lang w:val="en-US"/>
              </w:rPr>
              <w:t>(2)</w:t>
            </w:r>
          </w:p>
        </w:tc>
      </w:tr>
    </w:tbl>
    <w:p w:rsidR="00371129" w:rsidRPr="00C066D6" w:rsidRDefault="00371129" w:rsidP="00EB1FA8">
      <w:r w:rsidRPr="00C066D6">
        <w:lastRenderedPageBreak/>
        <w:t xml:space="preserve">kde </w:t>
      </w:r>
      <m:oMath>
        <m:sSub>
          <m:sSubPr>
            <m:ctrlPr>
              <w:rPr>
                <w:rFonts w:ascii="Cambria Math" w:hAnsi="Cambria Math"/>
                <w:i/>
                <w:lang w:val="en-US"/>
              </w:rPr>
            </m:ctrlPr>
          </m:sSubPr>
          <m:e>
            <m:r>
              <w:rPr>
                <w:rFonts w:ascii="Cambria Math" w:hAnsi="Cambria Math"/>
              </w:rPr>
              <m:t>N</m:t>
            </m:r>
          </m:e>
          <m:sub>
            <m:r>
              <m:rPr>
                <m:sty m:val="p"/>
              </m:rPr>
              <w:rPr>
                <w:rFonts w:ascii="Cambria Math" w:hAnsi="Cambria Math"/>
              </w:rPr>
              <m:t>f</m:t>
            </m:r>
          </m:sub>
        </m:sSub>
      </m:oMath>
      <w:r w:rsidRPr="00C066D6">
        <w:t xml:space="preserve"> je počet požárů za rok zjištěných v tunelech o úhrnné délce </w:t>
      </w:r>
      <m:oMath>
        <m:sSub>
          <m:sSubPr>
            <m:ctrlPr>
              <w:rPr>
                <w:rFonts w:ascii="Cambria Math" w:hAnsi="Cambria Math"/>
                <w:i/>
              </w:rPr>
            </m:ctrlPr>
          </m:sSubPr>
          <m:e>
            <m:r>
              <w:rPr>
                <w:rFonts w:ascii="Cambria Math" w:hAnsi="Cambria Math"/>
              </w:rPr>
              <m:t>L</m:t>
            </m:r>
          </m:e>
          <m:sub>
            <m:r>
              <m:rPr>
                <m:sty m:val="p"/>
              </m:rPr>
              <w:rPr>
                <w:rFonts w:ascii="Cambria Math" w:hAnsi="Cambria Math"/>
              </w:rPr>
              <m:t>ref</m:t>
            </m:r>
          </m:sub>
        </m:sSub>
      </m:oMath>
      <w:r w:rsidRPr="00C066D6">
        <w:t xml:space="preserve"> při průměrné hustotě dopravního proudu AADT. Na základě</w:t>
      </w:r>
      <w:r w:rsidR="0073634F" w:rsidRPr="00C066D6">
        <w:t xml:space="preserve"> údajů z Rakouska [5</w:t>
      </w:r>
      <w:r w:rsidRPr="00C066D6">
        <w:t xml:space="preserve">] lze použít odhad  </w:t>
      </w:r>
      <m:oMath>
        <m:sSub>
          <m:sSubPr>
            <m:ctrlPr>
              <w:rPr>
                <w:rFonts w:ascii="Cambria Math" w:hAnsi="Cambria Math"/>
                <w:i/>
              </w:rPr>
            </m:ctrlPr>
          </m:sSubPr>
          <m:e>
            <m:r>
              <w:rPr>
                <w:rFonts w:ascii="Cambria Math" w:hAnsi="Cambria Math"/>
              </w:rPr>
              <m:t>λ</m:t>
            </m:r>
          </m:e>
          <m:sub>
            <m:r>
              <m:rPr>
                <m:sty m:val="p"/>
              </m:rPr>
              <w:rPr>
                <w:rFonts w:ascii="Cambria Math" w:hAnsi="Cambria Math"/>
              </w:rPr>
              <m:t>f</m:t>
            </m:r>
          </m:sub>
        </m:sSub>
        <m:r>
          <w:rPr>
            <w:rFonts w:ascii="Cambria Math" w:hAnsi="Cambria Math"/>
          </w:rPr>
          <m:t>=25⋅</m:t>
        </m:r>
        <m:sSup>
          <m:sSupPr>
            <m:ctrlPr>
              <w:rPr>
                <w:rFonts w:ascii="Cambria Math" w:hAnsi="Cambria Math"/>
                <w:i/>
              </w:rPr>
            </m:ctrlPr>
          </m:sSupPr>
          <m:e>
            <m:r>
              <w:rPr>
                <w:rFonts w:ascii="Cambria Math" w:hAnsi="Cambria Math"/>
              </w:rPr>
              <m:t>10</m:t>
            </m:r>
          </m:e>
          <m:sup>
            <m:r>
              <w:rPr>
                <w:rFonts w:ascii="Cambria Math" w:hAnsi="Cambria Math"/>
              </w:rPr>
              <m:t>-9</m:t>
            </m:r>
          </m:sup>
        </m:sSup>
      </m:oMath>
      <w:r w:rsidRPr="00C066D6">
        <w:t xml:space="preserve"> [požárů</w:t>
      </w:r>
      <w:r w:rsidR="00784189">
        <w:t xml:space="preserve"> </w:t>
      </w:r>
      <w:r w:rsidRPr="00C066D6">
        <w:t>(vozokm)</w:t>
      </w:r>
      <w:r w:rsidRPr="00C066D6">
        <w:rPr>
          <w:vertAlign w:val="superscript"/>
        </w:rPr>
        <w:t>-1</w:t>
      </w:r>
      <w:r w:rsidR="0073634F" w:rsidRPr="00C066D6">
        <w:t>]. Data z Itálie[6], [7</w:t>
      </w:r>
      <w:r w:rsidRPr="00C066D6">
        <w:t>] dávají vyšší hodnoty, a to v poměru 4:3 u tří-pruhových : dvou-pruhovým tunelům, ale nezahrnují jen TB, ale i PC.</w:t>
      </w:r>
    </w:p>
    <w:p w:rsidR="00371129" w:rsidRPr="00C066D6" w:rsidRDefault="00371129" w:rsidP="00EB1FA8">
      <w:pPr>
        <w:rPr>
          <w:vertAlign w:val="superscript"/>
        </w:rPr>
      </w:pPr>
      <w:r w:rsidRPr="00C066D6">
        <w:t>Faktor (iii) je závislý na důležité charakteristice požáru, označované jako HRR (Heat Release Rate, [MW], která je mírou požárního výkonu. U většiny vozidel se výkon vztažený na m</w:t>
      </w:r>
      <w:r w:rsidRPr="00C066D6">
        <w:rPr>
          <w:vertAlign w:val="superscript"/>
        </w:rPr>
        <w:t>2</w:t>
      </w:r>
      <w:r w:rsidRPr="00C066D6">
        <w:t xml:space="preserve"> vystaveného povrchu hořících pohonných hm</w:t>
      </w:r>
      <w:r w:rsidR="00A65B01" w:rsidRPr="00C066D6">
        <w:t>ot pohybuje v </w:t>
      </w:r>
      <w:r w:rsidR="0073634F" w:rsidRPr="00C066D6">
        <w:t>rozmezí</w:t>
      </w:r>
      <w:r w:rsidRPr="00C066D6">
        <w:t xml:space="preserve"> 0,27 – 0,4 [MWm</w:t>
      </w:r>
      <w:r w:rsidRPr="00C066D6">
        <w:rPr>
          <w:vertAlign w:val="superscript"/>
        </w:rPr>
        <w:t>-2</w:t>
      </w:r>
      <w:r w:rsidRPr="00C066D6">
        <w:t>], viz [</w:t>
      </w:r>
      <w:r w:rsidR="00A65B01" w:rsidRPr="00C066D6">
        <w:t>2</w:t>
      </w:r>
      <w:r w:rsidRPr="00C066D6">
        <w:t>]</w:t>
      </w:r>
      <w:r w:rsidR="006D001A" w:rsidRPr="00C066D6">
        <w:t>. Při přepravě HGV tato veličina</w:t>
      </w:r>
      <w:r w:rsidRPr="00C066D6">
        <w:t xml:space="preserve"> nabývá hodnot 0,1 – 0,5 [MW]. Při spodní hranici rozpětí jsou materiály na bázi celulózy a při horní hranici plasty. Výsledný výkon záleží na kritických scénářích, které nejvíce přispívají k riziku. V předkládané metodice uvažujeme tři reprezentativní scénáře požárů o výkonech 5, 30, 100 [MWm</w:t>
      </w:r>
      <w:r w:rsidRPr="00C066D6">
        <w:rPr>
          <w:vertAlign w:val="superscript"/>
        </w:rPr>
        <w:t>-2</w:t>
      </w:r>
      <w:r w:rsidRPr="00C066D6">
        <w:t xml:space="preserve">]. Rozdělení náhodné proměnné </w:t>
      </w:r>
      <w:r w:rsidRPr="00C066D6">
        <w:rPr>
          <w:i/>
        </w:rPr>
        <w:t>HRR = Q</w:t>
      </w:r>
      <w:r w:rsidRPr="00C066D6">
        <w:rPr>
          <w:i/>
          <w:vertAlign w:val="subscript"/>
        </w:rPr>
        <w:t>max</w:t>
      </w:r>
      <w:r w:rsidR="00E42552" w:rsidRPr="00C066D6">
        <w:t xml:space="preserve"> bylo získáno v </w:t>
      </w:r>
      <w:r w:rsidR="003B6A1C" w:rsidRPr="00C066D6">
        <w:t>[12]</w:t>
      </w:r>
      <w:r w:rsidRPr="00C066D6">
        <w:t xml:space="preserve"> pro TB kombinací databází a expertních odhadů podložených ETA (analýza stromem událostí). Výsledky ETA jsou podkladem pro pravděpodobnostní funkce rozdělení veličiny </w:t>
      </w:r>
      <w:r w:rsidRPr="00C066D6">
        <w:rPr>
          <w:i/>
        </w:rPr>
        <w:t>Q</w:t>
      </w:r>
      <w:r w:rsidRPr="00C066D6">
        <w:rPr>
          <w:i/>
          <w:vertAlign w:val="subscript"/>
        </w:rPr>
        <w:t xml:space="preserve">max  </w:t>
      </w:r>
      <w:r w:rsidRPr="00C066D6">
        <w:t xml:space="preserve">[MW] za podmínky, že požár se vyvinul na jediném vozidle typu TB (HGV nebo bus), tj. </w:t>
      </w:r>
      <w:r w:rsidRPr="00C066D6">
        <w:rPr>
          <w:i/>
        </w:rPr>
        <w:t>p</w:t>
      </w:r>
      <w:r w:rsidRPr="00C066D6">
        <w:rPr>
          <w:i/>
          <w:vertAlign w:val="subscript"/>
        </w:rPr>
        <w:t>Q</w:t>
      </w:r>
      <w:r w:rsidRPr="00C066D6">
        <w:rPr>
          <w:vertAlign w:val="subscript"/>
        </w:rPr>
        <w:t>1</w:t>
      </w:r>
      <w:r w:rsidRPr="00C066D6">
        <w:t>(</w:t>
      </w:r>
      <w:r w:rsidRPr="00C066D6">
        <w:rPr>
          <w:i/>
        </w:rPr>
        <w:t>q</w:t>
      </w:r>
      <w:r w:rsidRPr="00C066D6">
        <w:rPr>
          <w:vertAlign w:val="subscript"/>
        </w:rPr>
        <w:t>1</w:t>
      </w:r>
      <w:r w:rsidRPr="00C066D6">
        <w:t>). Tato funkce je vykreslena na Obr. 6a. Jestliže jsou požáru vystavena dvě vozidla ty</w:t>
      </w:r>
      <w:r w:rsidR="00E42552" w:rsidRPr="00C066D6">
        <w:t>pu</w:t>
      </w:r>
      <w:r w:rsidRPr="00C066D6">
        <w:t xml:space="preserve"> TB, výsledný tepelný výkon je náhodně složen (konvoluce) ze dvou elementárních výkonů, Obr. 6b.</w:t>
      </w:r>
    </w:p>
    <w:p w:rsidR="00371129" w:rsidRPr="00C066D6" w:rsidRDefault="00371129" w:rsidP="00EB1FA8">
      <w:r w:rsidRPr="00C066D6">
        <w:t xml:space="preserve">Další charakteristikou požáru je doba trvání maxima požárního výkonu. Ve většině případů je tato doba poměrně krátká, převážně kratší než 10 min, téměř vždy kratší než 20 min, a vždy následuje poklesová fáze, zpravidla stejně rychlá jako fáze růstu.  </w:t>
      </w:r>
    </w:p>
    <w:p w:rsidR="00371129" w:rsidRPr="00C066D6" w:rsidRDefault="00371129" w:rsidP="00EB1FA8"/>
    <w:tbl>
      <w:tblPr>
        <w:tblW w:w="0" w:type="auto"/>
        <w:jc w:val="center"/>
        <w:tblLook w:val="01E0" w:firstRow="1" w:lastRow="1" w:firstColumn="1" w:lastColumn="1" w:noHBand="0" w:noVBand="0"/>
      </w:tblPr>
      <w:tblGrid>
        <w:gridCol w:w="4450"/>
        <w:gridCol w:w="223"/>
        <w:gridCol w:w="4399"/>
      </w:tblGrid>
      <w:tr w:rsidR="00C72842" w:rsidRPr="00C066D6" w:rsidTr="00C72842">
        <w:trPr>
          <w:jc w:val="center"/>
        </w:trPr>
        <w:tc>
          <w:tcPr>
            <w:tcW w:w="4368" w:type="dxa"/>
            <w:shd w:val="clear" w:color="auto" w:fill="auto"/>
          </w:tcPr>
          <w:p w:rsidR="00C72842" w:rsidRPr="00C066D6" w:rsidRDefault="00C72842" w:rsidP="00C72842">
            <w:pPr>
              <w:pStyle w:val="BodyChar"/>
              <w:jc w:val="center"/>
              <w:rPr>
                <w:rFonts w:ascii="Times New Roman" w:hAnsi="Times New Roman"/>
              </w:rPr>
            </w:pPr>
            <w:r w:rsidRPr="00C066D6">
              <w:rPr>
                <w:rFonts w:ascii="Times New Roman" w:hAnsi="Times New Roman"/>
                <w:noProof/>
                <w:lang w:val="cs-CZ" w:eastAsia="cs-CZ"/>
              </w:rPr>
              <w:drawing>
                <wp:inline distT="0" distB="0" distL="0" distR="0" wp14:anchorId="66AD3426" wp14:editId="157CEA30">
                  <wp:extent cx="2688590" cy="1788245"/>
                  <wp:effectExtent l="0" t="0" r="0" b="2540"/>
                  <wp:docPr id="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q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90349" cy="1789415"/>
                          </a:xfrm>
                          <a:prstGeom prst="rect">
                            <a:avLst/>
                          </a:prstGeom>
                        </pic:spPr>
                      </pic:pic>
                    </a:graphicData>
                  </a:graphic>
                </wp:inline>
              </w:drawing>
            </w:r>
          </w:p>
          <w:p w:rsidR="00C72842" w:rsidRPr="00C066D6" w:rsidRDefault="00C72842" w:rsidP="00C72842">
            <w:pPr>
              <w:pStyle w:val="BodyChar"/>
              <w:jc w:val="center"/>
              <w:rPr>
                <w:rFonts w:ascii="Times New Roman" w:hAnsi="Times New Roman"/>
              </w:rPr>
            </w:pPr>
            <w:r w:rsidRPr="00C066D6">
              <w:rPr>
                <w:rFonts w:ascii="Times New Roman" w:hAnsi="Times New Roman"/>
              </w:rPr>
              <w:t>(a)</w:t>
            </w:r>
          </w:p>
        </w:tc>
        <w:tc>
          <w:tcPr>
            <w:tcW w:w="288" w:type="dxa"/>
            <w:shd w:val="clear" w:color="auto" w:fill="auto"/>
          </w:tcPr>
          <w:p w:rsidR="00C72842" w:rsidRPr="00C066D6" w:rsidRDefault="00C72842" w:rsidP="00C72842">
            <w:pPr>
              <w:pStyle w:val="BodyChar"/>
              <w:jc w:val="center"/>
              <w:rPr>
                <w:rFonts w:ascii="Times New Roman" w:hAnsi="Times New Roman"/>
              </w:rPr>
            </w:pPr>
          </w:p>
        </w:tc>
        <w:tc>
          <w:tcPr>
            <w:tcW w:w="4416" w:type="dxa"/>
            <w:shd w:val="clear" w:color="auto" w:fill="auto"/>
          </w:tcPr>
          <w:p w:rsidR="00C72842" w:rsidRPr="00C066D6" w:rsidRDefault="00C72842" w:rsidP="00C72842">
            <w:pPr>
              <w:pStyle w:val="BodyChar"/>
              <w:jc w:val="center"/>
              <w:rPr>
                <w:rFonts w:ascii="Times New Roman" w:hAnsi="Times New Roman"/>
              </w:rPr>
            </w:pPr>
            <w:r w:rsidRPr="00C066D6">
              <w:rPr>
                <w:rFonts w:ascii="Times New Roman" w:hAnsi="Times New Roman"/>
                <w:noProof/>
                <w:lang w:val="cs-CZ" w:eastAsia="cs-CZ"/>
              </w:rPr>
              <w:drawing>
                <wp:inline distT="0" distB="0" distL="0" distR="0" wp14:anchorId="0018C2BD" wp14:editId="37DD9961">
                  <wp:extent cx="2656429" cy="1766852"/>
                  <wp:effectExtent l="0" t="0" r="0" b="5080"/>
                  <wp:docPr id="7"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q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68293" cy="1774743"/>
                          </a:xfrm>
                          <a:prstGeom prst="rect">
                            <a:avLst/>
                          </a:prstGeom>
                        </pic:spPr>
                      </pic:pic>
                    </a:graphicData>
                  </a:graphic>
                </wp:inline>
              </w:drawing>
            </w:r>
          </w:p>
          <w:p w:rsidR="00C72842" w:rsidRPr="00C066D6" w:rsidRDefault="00C72842" w:rsidP="00C72842">
            <w:pPr>
              <w:pStyle w:val="BodyChar"/>
              <w:jc w:val="center"/>
              <w:rPr>
                <w:rFonts w:ascii="Times New Roman" w:hAnsi="Times New Roman"/>
              </w:rPr>
            </w:pPr>
            <w:r w:rsidRPr="00C066D6">
              <w:rPr>
                <w:rFonts w:ascii="Times New Roman" w:hAnsi="Times New Roman"/>
              </w:rPr>
              <w:t>(b)</w:t>
            </w:r>
          </w:p>
        </w:tc>
      </w:tr>
      <w:tr w:rsidR="00C72842" w:rsidRPr="00C066D6" w:rsidTr="00C72842">
        <w:trPr>
          <w:jc w:val="center"/>
        </w:trPr>
        <w:tc>
          <w:tcPr>
            <w:tcW w:w="9072" w:type="dxa"/>
            <w:gridSpan w:val="3"/>
            <w:shd w:val="clear" w:color="auto" w:fill="auto"/>
          </w:tcPr>
          <w:p w:rsidR="00C72842" w:rsidRPr="00C066D6" w:rsidRDefault="00C72842" w:rsidP="00F5699A">
            <w:pPr>
              <w:jc w:val="center"/>
              <w:rPr>
                <w:rFonts w:ascii="Times New Roman" w:hAnsi="Times New Roman"/>
                <w:noProof/>
                <w:lang w:eastAsia="cs-CZ"/>
              </w:rPr>
            </w:pPr>
            <w:r w:rsidRPr="00C066D6">
              <w:t xml:space="preserve">Obr. 6 (a) Funkce diskrétního rozdělení </w:t>
            </w:r>
            <w:r w:rsidRPr="00C066D6">
              <w:rPr>
                <w:i/>
              </w:rPr>
              <w:t>Q</w:t>
            </w:r>
            <w:r w:rsidRPr="00C066D6">
              <w:rPr>
                <w:i/>
                <w:vertAlign w:val="subscript"/>
              </w:rPr>
              <w:t>max</w:t>
            </w:r>
            <w:r w:rsidRPr="00C066D6">
              <w:t xml:space="preserve"> [MW] (1TB),</w:t>
            </w:r>
            <w:r w:rsidR="00E42552" w:rsidRPr="00C066D6">
              <w:t xml:space="preserve"> (b)</w:t>
            </w:r>
            <w:r w:rsidRPr="00C066D6">
              <w:t xml:space="preserve"> funkce diskrétního rozdělení </w:t>
            </w:r>
            <w:r w:rsidRPr="00C066D6">
              <w:rPr>
                <w:i/>
              </w:rPr>
              <w:t>Q</w:t>
            </w:r>
            <w:r w:rsidRPr="00C066D6">
              <w:rPr>
                <w:i/>
                <w:vertAlign w:val="subscript"/>
              </w:rPr>
              <w:t>max</w:t>
            </w:r>
            <w:r w:rsidRPr="00C066D6">
              <w:t xml:space="preserve"> [MW] (2TB)</w:t>
            </w:r>
          </w:p>
        </w:tc>
      </w:tr>
    </w:tbl>
    <w:p w:rsidR="00A822A2" w:rsidRPr="00C066D6" w:rsidRDefault="00A822A2" w:rsidP="00EB1FA8"/>
    <w:p w:rsidR="00371129" w:rsidRPr="00C066D6" w:rsidRDefault="00371129" w:rsidP="00EB1FA8">
      <w:pPr>
        <w:pStyle w:val="Odstavecseseznamem"/>
        <w:numPr>
          <w:ilvl w:val="0"/>
          <w:numId w:val="9"/>
        </w:numPr>
      </w:pPr>
      <w:r w:rsidRPr="00C066D6">
        <w:t>Druhá část QRA analyzuje důsledky požáru, viz Obr. 1.</w:t>
      </w:r>
    </w:p>
    <w:p w:rsidR="00371129" w:rsidRPr="00C066D6" w:rsidRDefault="00371129" w:rsidP="00EB1FA8">
      <w:pPr>
        <w:rPr>
          <w:rFonts w:eastAsiaTheme="minorEastAsia"/>
        </w:rPr>
      </w:pPr>
      <w:r w:rsidRPr="00C066D6">
        <w:lastRenderedPageBreak/>
        <w:t>Smyslem termomechanické analýzy je zjistit rozsah poškození ostění při působení velmi vysokých teplot. Za tím účelem vycházíme z Künzelova –Kiesslova popisu transportu tepla a vlhkosti [</w:t>
      </w:r>
      <w:r w:rsidR="00E42552" w:rsidRPr="00C066D6">
        <w:t>8</w:t>
      </w:r>
      <w:r w:rsidRPr="00C066D6">
        <w:t xml:space="preserve">], v němž vystupují dvě neznámé proměnné: </w:t>
      </w:r>
      <m:oMath>
        <m:r>
          <m:rPr>
            <m:sty m:val="p"/>
          </m:rPr>
          <w:rPr>
            <w:rFonts w:ascii="Cambria Math" w:eastAsiaTheme="minorEastAsia" w:hAnsi="Cambria Math"/>
          </w:rPr>
          <m:t>teplota</m:t>
        </m:r>
        <m:r>
          <m:rPr>
            <m:sty m:val="p"/>
          </m:rPr>
          <w:rPr>
            <w:rFonts w:ascii="Cambria Math" w:eastAsiaTheme="minorEastAsia"/>
          </w:rPr>
          <m:t xml:space="preserve"> </m:t>
        </m:r>
        <m:r>
          <w:rPr>
            <w:rFonts w:ascii="Cambria Math" w:hAnsi="Cambria Math"/>
          </w:rPr>
          <m:t>θ</m:t>
        </m:r>
      </m:oMath>
      <w:r w:rsidRPr="00C066D6">
        <w:rPr>
          <w:rFonts w:eastAsiaTheme="minorEastAsia"/>
        </w:rPr>
        <w:t xml:space="preserve"> [</w:t>
      </w:r>
      <w:r w:rsidRPr="00C066D6">
        <w:rPr>
          <w:rFonts w:eastAsiaTheme="minorEastAsia"/>
          <w:lang w:val="en-US"/>
        </w:rPr>
        <w:sym w:font="Symbol" w:char="F0B0"/>
      </w:r>
      <w:r w:rsidRPr="00C066D6">
        <w:rPr>
          <w:rFonts w:eastAsiaTheme="minorEastAsia"/>
        </w:rPr>
        <w:t xml:space="preserve">C] a </w:t>
      </w:r>
      <m:oMath>
        <m:r>
          <m:rPr>
            <m:sty m:val="p"/>
          </m:rPr>
          <w:rPr>
            <w:rFonts w:ascii="Cambria Math" w:eastAsiaTheme="minorEastAsia" w:hAnsi="Cambria Math"/>
          </w:rPr>
          <m:t>pórový tlak</m:t>
        </m:r>
        <m:r>
          <m:rPr>
            <m:sty m:val="p"/>
          </m:rPr>
          <w:rPr>
            <w:rFonts w:ascii="Cambria Math" w:eastAsiaTheme="minorEastAsia"/>
          </w:rPr>
          <m:t xml:space="preserve"> </m:t>
        </m:r>
        <m:r>
          <w:rPr>
            <w:rFonts w:ascii="Cambria Math" w:eastAsiaTheme="minorEastAsia" w:hAnsi="Cambria Math"/>
          </w:rPr>
          <m:t>p</m:t>
        </m:r>
      </m:oMath>
      <w:r w:rsidRPr="00C066D6">
        <w:rPr>
          <w:rFonts w:eastAsiaTheme="minorEastAsia"/>
        </w:rPr>
        <w:t xml:space="preserve"> [Pa]</w:t>
      </w:r>
      <w:r w:rsidRPr="00C066D6">
        <w:rPr>
          <w:rStyle w:val="Znakapoznpodarou"/>
          <w:rFonts w:ascii="Times New Roman" w:eastAsiaTheme="minorEastAsia" w:hAnsi="Times New Roman" w:cs="Times New Roman"/>
        </w:rPr>
        <w:footnoteReference w:id="11"/>
      </w:r>
      <w:r w:rsidRPr="00C066D6">
        <w:rPr>
          <w:rFonts w:eastAsiaTheme="minorEastAsia"/>
        </w:rPr>
        <w:t xml:space="preserve">. </w:t>
      </w:r>
    </w:p>
    <w:p w:rsidR="00371129" w:rsidRPr="00C066D6" w:rsidRDefault="00371129" w:rsidP="00EB1FA8">
      <w:r w:rsidRPr="00C066D6">
        <w:t>Úloha je výrazně nelineární, což se projevuje vlivem velmi vysokých teplot zejména na sorpční izotermě (</w:t>
      </w:r>
      <w:r w:rsidR="006D001A" w:rsidRPr="00C066D6">
        <w:t xml:space="preserve">Obr. </w:t>
      </w:r>
      <w:r w:rsidRPr="00C066D6">
        <w:t>7a), permeabilitě (</w:t>
      </w:r>
      <w:r w:rsidR="003B6A1C" w:rsidRPr="00C066D6">
        <w:t xml:space="preserve">Obr. </w:t>
      </w:r>
      <w:r w:rsidRPr="00C066D6">
        <w:t>7d), viz [</w:t>
      </w:r>
      <w:r w:rsidR="00E42552" w:rsidRPr="00C066D6">
        <w:t>9</w:t>
      </w:r>
      <w:r w:rsidRPr="00C066D6">
        <w:t>], a na poklesu pevnosti betonu s teplotou (</w:t>
      </w:r>
      <w:r w:rsidR="003B6A1C" w:rsidRPr="00C066D6">
        <w:t xml:space="preserve">Obr. </w:t>
      </w:r>
      <w:r w:rsidRPr="00C066D6">
        <w:t>7b, c), viz [</w:t>
      </w:r>
      <w:r w:rsidR="00E42552" w:rsidRPr="00C066D6">
        <w:t>10</w:t>
      </w:r>
      <w:r w:rsidRPr="00C066D6">
        <w:t xml:space="preserve">]. Další podrobnosti </w:t>
      </w:r>
      <w:r w:rsidR="00E42552" w:rsidRPr="00C066D6">
        <w:t xml:space="preserve">lze najít v příloze publikace </w:t>
      </w:r>
      <w:r w:rsidR="003B6A1C" w:rsidRPr="00C066D6">
        <w:t>[12]</w:t>
      </w:r>
      <w:r w:rsidRPr="00C066D6">
        <w:t>. Poškození ostění je charakterizováno (i) poklesem pevnosti betonu v důsledku velmi vysokých teplot (Obr. 7b, c) a (ii) odpryskem povrchové vrstvy betonu. Pro odprysk je přijata konzervativní podmínka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2"/>
      </w:tblGrid>
      <w:tr w:rsidR="00371129" w:rsidRPr="00C066D6" w:rsidTr="00002807">
        <w:tc>
          <w:tcPr>
            <w:tcW w:w="8500" w:type="dxa"/>
          </w:tcPr>
          <w:p w:rsidR="00371129" w:rsidRPr="00C066D6" w:rsidRDefault="00371129" w:rsidP="00EB1FA8">
            <w:pPr>
              <w:rPr>
                <w:rFonts w:ascii="Times New Roman" w:hAnsi="Times New Roman"/>
              </w:rPr>
            </w:pPr>
            <m:oMathPara>
              <m:oMath>
                <m:r>
                  <w:rPr>
                    <w:rFonts w:ascii="Cambria Math" w:hAnsi="Cambria Math"/>
                  </w:rPr>
                  <m:t>ϕp</m:t>
                </m:r>
                <m:r>
                  <m:rPr>
                    <m:sty m:val="p"/>
                  </m:rPr>
                  <w:rPr>
                    <w:rFonts w:ascii="Cambria Math" w:hAnsi="Cambria Math"/>
                  </w:rPr>
                  <m:t>≥</m:t>
                </m:r>
                <m:sSub>
                  <m:sSubPr>
                    <m:ctrlPr>
                      <w:rPr>
                        <w:rFonts w:ascii="Cambria Math" w:hAnsi="Cambria Math"/>
                        <w:lang w:val="en-US"/>
                      </w:rPr>
                    </m:ctrlPr>
                  </m:sSubPr>
                  <m:e>
                    <m:r>
                      <w:rPr>
                        <w:rFonts w:ascii="Cambria Math" w:hAnsi="Cambria Math"/>
                      </w:rPr>
                      <m:t>f</m:t>
                    </m:r>
                    <m:ctrlPr>
                      <w:rPr>
                        <w:rFonts w:ascii="Cambria Math" w:hAnsi="Cambria Math"/>
                      </w:rPr>
                    </m:ctrlPr>
                  </m:e>
                  <m:sub>
                    <m:r>
                      <m:rPr>
                        <m:sty m:val="p"/>
                      </m:rPr>
                      <w:rPr>
                        <w:rFonts w:ascii="Cambria Math" w:hAnsi="Cambria Math"/>
                        <w:lang w:val="en-US"/>
                      </w:rPr>
                      <m:t>t</m:t>
                    </m:r>
                  </m:sub>
                </m:sSub>
                <m:d>
                  <m:dPr>
                    <m:ctrlPr>
                      <w:rPr>
                        <w:rFonts w:ascii="Cambria Math" w:hAnsi="Cambria Math"/>
                        <w:lang w:val="en-US"/>
                      </w:rPr>
                    </m:ctrlPr>
                  </m:dPr>
                  <m:e>
                    <m:r>
                      <w:rPr>
                        <w:rFonts w:ascii="Cambria Math" w:hAnsi="Cambria Math"/>
                        <w:lang w:val="en-US"/>
                      </w:rPr>
                      <m:t>θ</m:t>
                    </m:r>
                  </m:e>
                </m:d>
                <m:r>
                  <m:rPr>
                    <m:sty m:val="p"/>
                  </m:rPr>
                  <w:rPr>
                    <w:rFonts w:ascii="Cambria Math" w:hAnsi="Cambria Math"/>
                    <w:lang w:val="en-US"/>
                  </w:rPr>
                  <m:t>,</m:t>
                </m:r>
              </m:oMath>
            </m:oMathPara>
          </w:p>
        </w:tc>
        <w:tc>
          <w:tcPr>
            <w:tcW w:w="562" w:type="dxa"/>
            <w:vAlign w:val="center"/>
          </w:tcPr>
          <w:p w:rsidR="00371129" w:rsidRPr="00C066D6" w:rsidRDefault="00371129" w:rsidP="00EB1FA8"/>
        </w:tc>
      </w:tr>
    </w:tbl>
    <w:p w:rsidR="00371129" w:rsidRPr="00C066D6" w:rsidRDefault="00371129" w:rsidP="00EB1FA8">
      <w:r w:rsidRPr="00C066D6">
        <w:t xml:space="preserve">kde </w:t>
      </w:r>
      <m:oMath>
        <m:r>
          <w:rPr>
            <w:rFonts w:ascii="Cambria Math" w:hAnsi="Cambria Math"/>
          </w:rPr>
          <m:t>ϕ</m:t>
        </m:r>
      </m:oMath>
      <w:r w:rsidRPr="00C066D6">
        <w:t xml:space="preserve"> [-] je pórovitost.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508"/>
      </w:tblGrid>
      <w:tr w:rsidR="003A547D" w:rsidRPr="00C066D6" w:rsidTr="002F542E">
        <w:tc>
          <w:tcPr>
            <w:tcW w:w="4564" w:type="dxa"/>
          </w:tcPr>
          <w:p w:rsidR="003A547D" w:rsidRPr="00C066D6" w:rsidRDefault="003A547D" w:rsidP="002F542E">
            <w:r w:rsidRPr="00C066D6">
              <w:rPr>
                <w:noProof/>
                <w:lang w:eastAsia="cs-CZ"/>
              </w:rPr>
              <w:drawing>
                <wp:inline distT="0" distB="0" distL="0" distR="0" wp14:anchorId="29FA5FB5" wp14:editId="053668E4">
                  <wp:extent cx="2700000" cy="1795833"/>
                  <wp:effectExtent l="0" t="0" r="571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our_isother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0" cy="1795833"/>
                          </a:xfrm>
                          <a:prstGeom prst="rect">
                            <a:avLst/>
                          </a:prstGeom>
                        </pic:spPr>
                      </pic:pic>
                    </a:graphicData>
                  </a:graphic>
                </wp:inline>
              </w:drawing>
            </w:r>
          </w:p>
        </w:tc>
        <w:tc>
          <w:tcPr>
            <w:tcW w:w="4508" w:type="dxa"/>
          </w:tcPr>
          <w:p w:rsidR="003A547D" w:rsidRPr="00C066D6" w:rsidRDefault="003A547D" w:rsidP="002F542E">
            <w:r w:rsidRPr="00C066D6">
              <w:rPr>
                <w:noProof/>
                <w:lang w:eastAsia="cs-CZ"/>
              </w:rPr>
              <w:drawing>
                <wp:inline distT="0" distB="0" distL="0" distR="0" wp14:anchorId="1362A6E8" wp14:editId="4AA9CEF9">
                  <wp:extent cx="2700000" cy="1795833"/>
                  <wp:effectExtent l="0" t="0" r="571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jour_f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0" cy="1795833"/>
                          </a:xfrm>
                          <a:prstGeom prst="rect">
                            <a:avLst/>
                          </a:prstGeom>
                        </pic:spPr>
                      </pic:pic>
                    </a:graphicData>
                  </a:graphic>
                </wp:inline>
              </w:drawing>
            </w:r>
          </w:p>
        </w:tc>
      </w:tr>
      <w:tr w:rsidR="003A547D" w:rsidRPr="00C066D6" w:rsidTr="002F542E">
        <w:trPr>
          <w:trHeight w:val="227"/>
        </w:trPr>
        <w:tc>
          <w:tcPr>
            <w:tcW w:w="4564" w:type="dxa"/>
          </w:tcPr>
          <w:p w:rsidR="003A547D" w:rsidRPr="00C066D6" w:rsidRDefault="003A547D" w:rsidP="006D001A">
            <w:pPr>
              <w:jc w:val="center"/>
            </w:pPr>
            <w:r w:rsidRPr="00C066D6">
              <w:t>(a)</w:t>
            </w:r>
          </w:p>
        </w:tc>
        <w:tc>
          <w:tcPr>
            <w:tcW w:w="4508" w:type="dxa"/>
          </w:tcPr>
          <w:p w:rsidR="003A547D" w:rsidRPr="00C066D6" w:rsidRDefault="003A547D" w:rsidP="006D001A">
            <w:pPr>
              <w:jc w:val="center"/>
            </w:pPr>
            <w:r w:rsidRPr="00C066D6">
              <w:t>(b)</w:t>
            </w:r>
          </w:p>
        </w:tc>
      </w:tr>
      <w:tr w:rsidR="003A547D" w:rsidRPr="00C066D6" w:rsidTr="002F542E">
        <w:trPr>
          <w:trHeight w:val="227"/>
        </w:trPr>
        <w:tc>
          <w:tcPr>
            <w:tcW w:w="4564" w:type="dxa"/>
          </w:tcPr>
          <w:p w:rsidR="003A547D" w:rsidRPr="00C066D6" w:rsidRDefault="003A547D" w:rsidP="002F542E">
            <w:r w:rsidRPr="00C066D6">
              <w:rPr>
                <w:noProof/>
                <w:lang w:eastAsia="cs-CZ"/>
              </w:rPr>
              <w:drawing>
                <wp:inline distT="0" distB="0" distL="0" distR="0" wp14:anchorId="6F76053D" wp14:editId="1DB3ECC0">
                  <wp:extent cx="2700000" cy="1795833"/>
                  <wp:effectExtent l="0" t="0" r="5715"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ur_ft.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0000" cy="1795833"/>
                          </a:xfrm>
                          <a:prstGeom prst="rect">
                            <a:avLst/>
                          </a:prstGeom>
                        </pic:spPr>
                      </pic:pic>
                    </a:graphicData>
                  </a:graphic>
                </wp:inline>
              </w:drawing>
            </w:r>
          </w:p>
        </w:tc>
        <w:tc>
          <w:tcPr>
            <w:tcW w:w="4508" w:type="dxa"/>
          </w:tcPr>
          <w:p w:rsidR="003A547D" w:rsidRPr="00C066D6" w:rsidRDefault="003A547D" w:rsidP="002F542E">
            <w:r w:rsidRPr="00C066D6">
              <w:rPr>
                <w:noProof/>
                <w:lang w:eastAsia="cs-CZ"/>
              </w:rPr>
              <w:drawing>
                <wp:inline distT="0" distB="0" distL="0" distR="0" wp14:anchorId="1A8E3155" wp14:editId="5C074A77">
                  <wp:extent cx="2700000" cy="1795833"/>
                  <wp:effectExtent l="0" t="0" r="5715"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our_kapp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0000" cy="1795833"/>
                          </a:xfrm>
                          <a:prstGeom prst="rect">
                            <a:avLst/>
                          </a:prstGeom>
                        </pic:spPr>
                      </pic:pic>
                    </a:graphicData>
                  </a:graphic>
                </wp:inline>
              </w:drawing>
            </w:r>
          </w:p>
        </w:tc>
      </w:tr>
      <w:tr w:rsidR="003A547D" w:rsidRPr="00C066D6" w:rsidTr="002F542E">
        <w:trPr>
          <w:trHeight w:val="227"/>
        </w:trPr>
        <w:tc>
          <w:tcPr>
            <w:tcW w:w="4564" w:type="dxa"/>
          </w:tcPr>
          <w:p w:rsidR="003A547D" w:rsidRPr="00C066D6" w:rsidRDefault="003A547D" w:rsidP="006D001A">
            <w:pPr>
              <w:jc w:val="center"/>
            </w:pPr>
            <w:r w:rsidRPr="00C066D6">
              <w:t>(c)</w:t>
            </w:r>
          </w:p>
        </w:tc>
        <w:tc>
          <w:tcPr>
            <w:tcW w:w="4508" w:type="dxa"/>
          </w:tcPr>
          <w:p w:rsidR="003A547D" w:rsidRPr="00C066D6" w:rsidRDefault="003A547D" w:rsidP="006D001A">
            <w:pPr>
              <w:jc w:val="center"/>
            </w:pPr>
            <w:r w:rsidRPr="00C066D6">
              <w:t>(d)</w:t>
            </w:r>
          </w:p>
        </w:tc>
      </w:tr>
      <w:tr w:rsidR="003A547D" w:rsidRPr="00C066D6" w:rsidTr="002F542E">
        <w:tc>
          <w:tcPr>
            <w:tcW w:w="9072" w:type="dxa"/>
            <w:gridSpan w:val="2"/>
          </w:tcPr>
          <w:p w:rsidR="003A547D" w:rsidRPr="00C066D6" w:rsidRDefault="003A547D" w:rsidP="002F542E">
            <w:pPr>
              <w:jc w:val="center"/>
            </w:pPr>
            <w:bookmarkStart w:id="1" w:name="_Ref435879954"/>
            <w:r w:rsidRPr="00C066D6">
              <w:t xml:space="preserve">Obr. </w:t>
            </w:r>
            <w:bookmarkEnd w:id="1"/>
            <w:r w:rsidRPr="00C066D6">
              <w:t xml:space="preserve">7 (a) Sorpční izoterma, (b) teplotně závislá pevnost v tlaku </w:t>
            </w:r>
            <m:oMath>
              <m:sSub>
                <m:sSubPr>
                  <m:ctrlPr>
                    <w:rPr>
                      <w:rFonts w:ascii="Cambria Math" w:hAnsi="Cambria Math"/>
                      <w:i/>
                      <w:lang w:val="en-US"/>
                    </w:rPr>
                  </m:ctrlPr>
                </m:sSubPr>
                <m:e>
                  <m:r>
                    <w:rPr>
                      <w:rFonts w:ascii="Cambria Math" w:hAnsi="Cambria Math"/>
                    </w:rPr>
                    <m:t>f</m:t>
                  </m:r>
                  <m:ctrlPr>
                    <w:rPr>
                      <w:rFonts w:ascii="Cambria Math" w:hAnsi="Cambria Math"/>
                      <w:i/>
                    </w:rPr>
                  </m:ctrlPr>
                </m:e>
                <m:sub>
                  <m:r>
                    <m:rPr>
                      <m:sty m:val="p"/>
                    </m:rPr>
                    <w:rPr>
                      <w:rFonts w:ascii="Cambria Math" w:hAnsi="Cambria Math"/>
                    </w:rPr>
                    <m:t>c</m:t>
                  </m:r>
                </m:sub>
              </m:sSub>
              <m:d>
                <m:dPr>
                  <m:ctrlPr>
                    <w:rPr>
                      <w:rFonts w:ascii="Cambria Math" w:hAnsi="Cambria Math"/>
                      <w:i/>
                      <w:lang w:val="en-US"/>
                    </w:rPr>
                  </m:ctrlPr>
                </m:dPr>
                <m:e>
                  <m:r>
                    <w:rPr>
                      <w:rFonts w:ascii="Cambria Math" w:hAnsi="Cambria Math"/>
                    </w:rPr>
                    <m:t>θ</m:t>
                  </m:r>
                </m:e>
              </m:d>
            </m:oMath>
            <w:r w:rsidRPr="00C066D6">
              <w:t xml:space="preserve">, (c) teplotně závislá pevnost v tahu </w:t>
            </w:r>
            <m:oMath>
              <m:sSub>
                <m:sSubPr>
                  <m:ctrlPr>
                    <w:rPr>
                      <w:rFonts w:ascii="Cambria Math" w:hAnsi="Cambria Math"/>
                      <w:i/>
                      <w:lang w:val="en-US"/>
                    </w:rPr>
                  </m:ctrlPr>
                </m:sSubPr>
                <m:e>
                  <m:r>
                    <w:rPr>
                      <w:rFonts w:ascii="Cambria Math" w:hAnsi="Cambria Math"/>
                    </w:rPr>
                    <m:t>f</m:t>
                  </m:r>
                  <m:ctrlPr>
                    <w:rPr>
                      <w:rFonts w:ascii="Cambria Math" w:hAnsi="Cambria Math"/>
                      <w:i/>
                    </w:rPr>
                  </m:ctrlPr>
                </m:e>
                <m:sub>
                  <m:r>
                    <m:rPr>
                      <m:sty m:val="p"/>
                    </m:rPr>
                    <w:rPr>
                      <w:rFonts w:ascii="Cambria Math" w:hAnsi="Cambria Math"/>
                    </w:rPr>
                    <m:t>t</m:t>
                  </m:r>
                </m:sub>
              </m:sSub>
              <m:d>
                <m:dPr>
                  <m:ctrlPr>
                    <w:rPr>
                      <w:rFonts w:ascii="Cambria Math" w:hAnsi="Cambria Math"/>
                      <w:i/>
                      <w:lang w:val="en-US"/>
                    </w:rPr>
                  </m:ctrlPr>
                </m:dPr>
                <m:e>
                  <m:r>
                    <w:rPr>
                      <w:rFonts w:ascii="Cambria Math" w:hAnsi="Cambria Math"/>
                    </w:rPr>
                    <m:t>θ</m:t>
                  </m:r>
                </m:e>
              </m:d>
            </m:oMath>
            <w:r w:rsidRPr="00C066D6">
              <w:t xml:space="preserve">, (d) permeabilita vodní páry </w:t>
            </w:r>
            <m:oMath>
              <m:r>
                <w:rPr>
                  <w:rFonts w:ascii="Cambria Math" w:hAnsi="Cambria Math"/>
                </w:rPr>
                <m:t>κ(θ)</m:t>
              </m:r>
            </m:oMath>
            <w:r w:rsidRPr="00C066D6">
              <w:t xml:space="preserve"> jako funkce teploty</w:t>
            </w:r>
          </w:p>
        </w:tc>
      </w:tr>
    </w:tbl>
    <w:p w:rsidR="003A547D" w:rsidRPr="00C066D6" w:rsidRDefault="003A547D" w:rsidP="003A547D"/>
    <w:p w:rsidR="00E42552" w:rsidRPr="00C066D6" w:rsidRDefault="003A547D" w:rsidP="003A547D">
      <w:r w:rsidRPr="00C066D6">
        <w:t>Věrohodnost modelu byla ověřena na vzorcích o rozměrech 2.0x1.0x0.3 [m</w:t>
      </w:r>
      <w:r w:rsidRPr="00C066D6">
        <w:rPr>
          <w:vertAlign w:val="superscript"/>
        </w:rPr>
        <w:t>3</w:t>
      </w:r>
      <w:r w:rsidRPr="00C066D6">
        <w:t>] z betonu FiFAC5 s příměsí popílku = 230 [kgm</w:t>
      </w:r>
      <w:r w:rsidRPr="00C066D6">
        <w:rPr>
          <w:vertAlign w:val="superscript"/>
        </w:rPr>
        <w:t>-3</w:t>
      </w:r>
      <w:r w:rsidRPr="00C066D6">
        <w:t>] a vláken FORTA-FERRO = 4.5 [kgm</w:t>
      </w:r>
      <w:r w:rsidRPr="00C066D6">
        <w:rPr>
          <w:vertAlign w:val="superscript"/>
        </w:rPr>
        <w:t>-3</w:t>
      </w:r>
      <w:r w:rsidRPr="00C066D6">
        <w:t xml:space="preserve">]. Další složky: CEM 152.5 </w:t>
      </w:r>
      <w:r w:rsidRPr="00C066D6">
        <w:lastRenderedPageBreak/>
        <w:t>R= 230 [kgm</w:t>
      </w:r>
      <w:r w:rsidRPr="00C066D6">
        <w:rPr>
          <w:vertAlign w:val="superscript"/>
        </w:rPr>
        <w:t>-3</w:t>
      </w:r>
      <w:r w:rsidRPr="00C066D6">
        <w:t xml:space="preserve">], </w:t>
      </w:r>
      <w:r w:rsidR="003221D9">
        <w:t xml:space="preserve"> </w:t>
      </w:r>
      <w:r w:rsidRPr="00C066D6">
        <w:t>zrna 0/4= 705 [kgm</w:t>
      </w:r>
      <w:r w:rsidRPr="00C066D6">
        <w:rPr>
          <w:vertAlign w:val="superscript"/>
        </w:rPr>
        <w:t>-3</w:t>
      </w:r>
      <w:r w:rsidRPr="00C066D6">
        <w:t>],</w:t>
      </w:r>
      <w:r w:rsidR="003221D9">
        <w:t xml:space="preserve"> </w:t>
      </w:r>
      <w:r w:rsidRPr="00C066D6">
        <w:t xml:space="preserve"> zrna 4/8 = 130 [kgm</w:t>
      </w:r>
      <w:r w:rsidRPr="00C066D6">
        <w:rPr>
          <w:vertAlign w:val="superscript"/>
        </w:rPr>
        <w:t>-3</w:t>
      </w:r>
      <w:r w:rsidRPr="00C066D6">
        <w:t>],</w:t>
      </w:r>
      <w:r w:rsidR="003221D9">
        <w:t xml:space="preserve"> </w:t>
      </w:r>
      <w:r w:rsidRPr="00C066D6">
        <w:t xml:space="preserve"> zrna 8/16 = 865 [kgm</w:t>
      </w:r>
      <w:r w:rsidRPr="00C066D6">
        <w:rPr>
          <w:vertAlign w:val="superscript"/>
        </w:rPr>
        <w:t>-3</w:t>
      </w:r>
      <w:r w:rsidRPr="00C066D6">
        <w:t xml:space="preserve">], </w:t>
      </w:r>
      <w:r w:rsidR="00123F7F">
        <w:t xml:space="preserve"> </w:t>
      </w:r>
      <w:r w:rsidRPr="00C066D6">
        <w:t>voda = 150 [kgm</w:t>
      </w:r>
      <w:r w:rsidRPr="00C066D6">
        <w:rPr>
          <w:vertAlign w:val="superscript"/>
        </w:rPr>
        <w:t>-3</w:t>
      </w:r>
      <w:r w:rsidRPr="00C066D6">
        <w:t>], vápencový prášek = 40 [kgm</w:t>
      </w:r>
      <w:r w:rsidRPr="00C066D6">
        <w:rPr>
          <w:vertAlign w:val="superscript"/>
        </w:rPr>
        <w:t>-3</w:t>
      </w:r>
      <w:r w:rsidRPr="00C066D6">
        <w:t>], Gleanium ACE = 4.2 [kgm</w:t>
      </w:r>
      <w:r w:rsidRPr="00C066D6">
        <w:rPr>
          <w:vertAlign w:val="superscript"/>
        </w:rPr>
        <w:t>-3</w:t>
      </w:r>
      <w:r w:rsidRPr="00C066D6">
        <w:t>] a POZZUTEC = 12 [kgm</w:t>
      </w:r>
      <w:r w:rsidRPr="00C066D6">
        <w:rPr>
          <w:vertAlign w:val="superscript"/>
        </w:rPr>
        <w:t>-3</w:t>
      </w:r>
      <w:r w:rsidRPr="00C066D6">
        <w:t xml:space="preserve">]. Vzorky byly podrobeny zátěži v peci ve Veselí nad Lužnicí. Na </w:t>
      </w:r>
      <w:r w:rsidR="0063788B" w:rsidRPr="00C066D6">
        <w:t xml:space="preserve">Obr. </w:t>
      </w:r>
      <w:r w:rsidRPr="00C066D6">
        <w:t xml:space="preserve">8a jsou porovnány naměřené a vypočtené průběhy teplot po hloubce vzorku </w:t>
      </w:r>
      <m:oMath>
        <m:r>
          <w:rPr>
            <w:rFonts w:ascii="Cambria Math" w:hAnsi="Cambria Math"/>
          </w:rPr>
          <m:t>z</m:t>
        </m:r>
      </m:oMath>
      <w:r w:rsidRPr="00C066D6">
        <w:t xml:space="preserve"> [m] v různých časech trvání tepelné zátěže. Hloubka odprysku 35 [mm] predikovaná modelem odráží téměř dokonale skutečnost. Na 8b je patrný vývoj tlaku vodní páry. Jisté odchylky mezi naměřeným a vypočteným průběhem teplot po 180 [min] zátěže i přes optimalizaci materiálových parametrů lze přičíst na vrub dvěma faktorům – zanedbání tlaku suchého vzduchu (projeví se po dosažení maxima tlaku vodní páry) a nevystižení vlivu poškození vzorku na permeabilitu vodní páry.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42552" w:rsidRPr="00C066D6" w:rsidTr="00A75D5E">
        <w:tc>
          <w:tcPr>
            <w:tcW w:w="4531" w:type="dxa"/>
          </w:tcPr>
          <w:p w:rsidR="00E42552" w:rsidRPr="00C066D6" w:rsidRDefault="00E42552" w:rsidP="00A75D5E">
            <w:pPr>
              <w:keepNext/>
              <w:spacing w:after="120"/>
            </w:pPr>
            <w:r w:rsidRPr="00C066D6">
              <w:rPr>
                <w:noProof/>
                <w:lang w:eastAsia="cs-CZ"/>
              </w:rPr>
              <w:drawing>
                <wp:inline distT="0" distB="0" distL="0" distR="0" wp14:anchorId="1EC0A71A" wp14:editId="5FD74B30">
                  <wp:extent cx="2700000" cy="1730060"/>
                  <wp:effectExtent l="0" t="0" r="5715" b="381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jour_lenght_thet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00000" cy="1730060"/>
                          </a:xfrm>
                          <a:prstGeom prst="rect">
                            <a:avLst/>
                          </a:prstGeom>
                        </pic:spPr>
                      </pic:pic>
                    </a:graphicData>
                  </a:graphic>
                </wp:inline>
              </w:drawing>
            </w:r>
          </w:p>
        </w:tc>
        <w:tc>
          <w:tcPr>
            <w:tcW w:w="4531" w:type="dxa"/>
          </w:tcPr>
          <w:p w:rsidR="00E42552" w:rsidRPr="00C066D6" w:rsidRDefault="00E42552" w:rsidP="00A75D5E">
            <w:pPr>
              <w:spacing w:after="120"/>
              <w:rPr>
                <w:rFonts w:ascii="Times New Roman" w:hAnsi="Times New Roman" w:cs="Times New Roman"/>
              </w:rPr>
            </w:pPr>
            <w:r w:rsidRPr="00C066D6">
              <w:rPr>
                <w:rFonts w:ascii="Times New Roman" w:hAnsi="Times New Roman" w:cs="Times New Roman"/>
                <w:noProof/>
                <w:lang w:eastAsia="cs-CZ"/>
              </w:rPr>
              <w:drawing>
                <wp:inline distT="0" distB="0" distL="0" distR="0" wp14:anchorId="616C59DC" wp14:editId="14C03C91">
                  <wp:extent cx="2700000" cy="1795833"/>
                  <wp:effectExtent l="0" t="0" r="5715"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jour_lenght_p.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00000" cy="1795833"/>
                          </a:xfrm>
                          <a:prstGeom prst="rect">
                            <a:avLst/>
                          </a:prstGeom>
                        </pic:spPr>
                      </pic:pic>
                    </a:graphicData>
                  </a:graphic>
                </wp:inline>
              </w:drawing>
            </w:r>
          </w:p>
        </w:tc>
      </w:tr>
      <w:tr w:rsidR="00E42552" w:rsidRPr="00C066D6" w:rsidTr="00A75D5E">
        <w:trPr>
          <w:trHeight w:val="227"/>
        </w:trPr>
        <w:tc>
          <w:tcPr>
            <w:tcW w:w="4531" w:type="dxa"/>
          </w:tcPr>
          <w:p w:rsidR="00E42552" w:rsidRPr="00C066D6" w:rsidRDefault="00E42552" w:rsidP="00E42552">
            <w:pPr>
              <w:jc w:val="center"/>
              <w:rPr>
                <w:rFonts w:ascii="Times New Roman" w:hAnsi="Times New Roman" w:cs="Times New Roman"/>
              </w:rPr>
            </w:pPr>
            <w:r w:rsidRPr="00C066D6">
              <w:rPr>
                <w:rFonts w:ascii="Times New Roman" w:hAnsi="Times New Roman" w:cs="Times New Roman"/>
              </w:rPr>
              <w:t>(a)</w:t>
            </w:r>
          </w:p>
        </w:tc>
        <w:tc>
          <w:tcPr>
            <w:tcW w:w="4531" w:type="dxa"/>
          </w:tcPr>
          <w:p w:rsidR="00E42552" w:rsidRPr="00C066D6" w:rsidRDefault="00E42552" w:rsidP="00E42552">
            <w:pPr>
              <w:jc w:val="center"/>
              <w:rPr>
                <w:rFonts w:ascii="Times New Roman" w:hAnsi="Times New Roman" w:cs="Times New Roman"/>
              </w:rPr>
            </w:pPr>
            <w:r w:rsidRPr="00C066D6">
              <w:rPr>
                <w:rFonts w:ascii="Times New Roman" w:hAnsi="Times New Roman" w:cs="Times New Roman"/>
              </w:rPr>
              <w:t>(b)</w:t>
            </w:r>
          </w:p>
        </w:tc>
      </w:tr>
      <w:tr w:rsidR="00E42552" w:rsidRPr="00C066D6" w:rsidTr="00A75D5E">
        <w:trPr>
          <w:trHeight w:val="227"/>
        </w:trPr>
        <w:tc>
          <w:tcPr>
            <w:tcW w:w="9062" w:type="dxa"/>
            <w:gridSpan w:val="2"/>
          </w:tcPr>
          <w:p w:rsidR="00E42552" w:rsidRPr="00C066D6" w:rsidRDefault="00E42552" w:rsidP="00E42552">
            <w:pPr>
              <w:jc w:val="center"/>
            </w:pPr>
            <w:r w:rsidRPr="00C066D6">
              <w:t>Obr. 8 (a) Porovnání vypočtených a naměřených průběhů teplot po tloušťce vzorku v různých časech tepelné zátěže (optimalizované materiálové parametry), (b) vývoj pórového tlaku</w:t>
            </w:r>
          </w:p>
        </w:tc>
      </w:tr>
    </w:tbl>
    <w:p w:rsidR="003A547D" w:rsidRPr="00C066D6" w:rsidRDefault="003A547D" w:rsidP="003A547D">
      <w:r w:rsidRPr="00C066D6">
        <w:t xml:space="preserve"> </w:t>
      </w:r>
    </w:p>
    <w:p w:rsidR="003A547D" w:rsidRPr="00C066D6" w:rsidRDefault="003A547D" w:rsidP="003A547D">
      <w:r w:rsidRPr="00C066D6">
        <w:t xml:space="preserve">Reálné podklady pro predikci účinků tepelného výkonu </w:t>
      </w:r>
      <w:r w:rsidRPr="00C066D6">
        <w:rPr>
          <w:i/>
        </w:rPr>
        <w:t>Q</w:t>
      </w:r>
      <w:r w:rsidRPr="00C066D6">
        <w:t xml:space="preserve"> na tunelové ostění (vývoj teploty v čase a prostoru) poskytuje zpráva [</w:t>
      </w:r>
      <w:r w:rsidR="009914D1" w:rsidRPr="00C066D6">
        <w:t>11</w:t>
      </w:r>
      <w:r w:rsidRPr="00C066D6">
        <w:t xml:space="preserve">] a odkazy v ní citované. </w:t>
      </w:r>
    </w:p>
    <w:p w:rsidR="003A547D" w:rsidRPr="00C066D6" w:rsidRDefault="003A547D" w:rsidP="003A547D">
      <w:r w:rsidRPr="00C066D6">
        <w:t xml:space="preserve">Maximální teplota na povrchu ostění ve vrcholu klenby </w:t>
      </w:r>
      <m:oMath>
        <m:sSub>
          <m:sSubPr>
            <m:ctrlPr>
              <w:rPr>
                <w:rFonts w:ascii="Cambria Math" w:hAnsi="Cambria Math"/>
                <w:i/>
              </w:rPr>
            </m:ctrlPr>
          </m:sSubPr>
          <m:e>
            <m:r>
              <w:rPr>
                <w:rFonts w:ascii="Cambria Math" w:hAnsi="Cambria Math"/>
              </w:rPr>
              <m:t>θ</m:t>
            </m:r>
          </m:e>
          <m:sub>
            <m:r>
              <w:rPr>
                <w:rFonts w:ascii="Cambria Math" w:hAnsi="Cambria Math"/>
              </w:rPr>
              <m:t>ceil, max</m:t>
            </m:r>
          </m:sub>
        </m:sSub>
      </m:oMath>
      <w:r w:rsidRPr="00C066D6">
        <w:t xml:space="preserve"> je vyjádřena takto:</w:t>
      </w:r>
    </w:p>
    <w:tbl>
      <w:tblPr>
        <w:tblStyle w:val="Mkatabulky"/>
        <w:tblW w:w="90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3"/>
        <w:gridCol w:w="521"/>
      </w:tblGrid>
      <w:tr w:rsidR="00C72842" w:rsidRPr="00C066D6" w:rsidTr="00C72842">
        <w:trPr>
          <w:jc w:val="center"/>
        </w:trPr>
        <w:tc>
          <w:tcPr>
            <w:tcW w:w="8504" w:type="dxa"/>
          </w:tcPr>
          <w:p w:rsidR="00C72842" w:rsidRPr="00C066D6" w:rsidRDefault="008B3A2E" w:rsidP="00C72842">
            <w:pPr>
              <w:pStyle w:val="EQN"/>
              <w:rPr>
                <w:rFonts w:ascii="Times New Roman" w:hAnsi="Times New Roman"/>
              </w:rPr>
            </w:pPr>
            <m:oMathPara>
              <m:oMath>
                <m:sSub>
                  <m:sSubPr>
                    <m:ctrlPr>
                      <w:rPr>
                        <w:sz w:val="24"/>
                        <w:szCs w:val="24"/>
                      </w:rPr>
                    </m:ctrlPr>
                  </m:sSubPr>
                  <m:e>
                    <m:r>
                      <w:rPr>
                        <w:sz w:val="24"/>
                        <w:szCs w:val="24"/>
                      </w:rPr>
                      <m:t>θ</m:t>
                    </m:r>
                  </m:e>
                  <m:sub>
                    <m:r>
                      <m:rPr>
                        <m:sty m:val="p"/>
                      </m:rPr>
                      <w:rPr>
                        <w:sz w:val="24"/>
                        <w:szCs w:val="24"/>
                      </w:rPr>
                      <m:t>ceil,max</m:t>
                    </m:r>
                  </m:sub>
                </m:sSub>
                <m:r>
                  <m:rPr>
                    <m:sty m:val="p"/>
                  </m:rPr>
                  <w:rPr>
                    <w:sz w:val="24"/>
                    <w:szCs w:val="24"/>
                  </w:rPr>
                  <m:t>=</m:t>
                </m:r>
                <m:d>
                  <m:dPr>
                    <m:begChr m:val="{"/>
                    <m:endChr m:val=""/>
                    <m:ctrlPr>
                      <w:rPr>
                        <w:sz w:val="24"/>
                        <w:szCs w:val="24"/>
                      </w:rPr>
                    </m:ctrlPr>
                  </m:dPr>
                  <m:e>
                    <m:eqArr>
                      <m:eqArrPr>
                        <m:ctrlPr>
                          <w:rPr>
                            <w:sz w:val="24"/>
                            <w:szCs w:val="24"/>
                          </w:rPr>
                        </m:ctrlPr>
                      </m:eqArrPr>
                      <m:e>
                        <m:sSub>
                          <m:sSubPr>
                            <m:ctrlPr>
                              <w:rPr>
                                <w:sz w:val="24"/>
                                <w:szCs w:val="24"/>
                              </w:rPr>
                            </m:ctrlPr>
                          </m:sSubPr>
                          <m:e>
                            <m:r>
                              <w:rPr>
                                <w:sz w:val="24"/>
                                <w:szCs w:val="24"/>
                              </w:rPr>
                              <m:t>θ</m:t>
                            </m:r>
                          </m:e>
                          <m:sub>
                            <m:r>
                              <m:rPr>
                                <m:sty m:val="p"/>
                              </m:rPr>
                              <w:rPr>
                                <w:sz w:val="24"/>
                                <w:szCs w:val="24"/>
                              </w:rPr>
                              <m:t>reg,1</m:t>
                            </m:r>
                          </m:sub>
                        </m:sSub>
                        <m:r>
                          <m:rPr>
                            <m:sty m:val="p"/>
                          </m:rPr>
                          <w:rPr>
                            <w:sz w:val="24"/>
                            <w:szCs w:val="24"/>
                          </w:rPr>
                          <m:t xml:space="preserve">       </m:t>
                        </m:r>
                        <m:sSub>
                          <m:sSubPr>
                            <m:ctrlPr>
                              <w:rPr>
                                <w:sz w:val="24"/>
                                <w:szCs w:val="24"/>
                              </w:rPr>
                            </m:ctrlPr>
                          </m:sSubPr>
                          <m:e>
                            <m:r>
                              <w:rPr>
                                <w:sz w:val="24"/>
                                <w:szCs w:val="24"/>
                              </w:rPr>
                              <m:t>θ</m:t>
                            </m:r>
                          </m:e>
                          <m:sub>
                            <m:r>
                              <m:rPr>
                                <m:sty m:val="p"/>
                              </m:rPr>
                              <w:rPr>
                                <w:sz w:val="24"/>
                                <w:szCs w:val="24"/>
                              </w:rPr>
                              <m:t>reg,1</m:t>
                            </m:r>
                          </m:sub>
                        </m:sSub>
                        <m:r>
                          <m:rPr>
                            <m:sty m:val="p"/>
                          </m:rPr>
                          <w:rPr>
                            <w:sz w:val="24"/>
                            <w:szCs w:val="24"/>
                          </w:rPr>
                          <m:t>&lt;</m:t>
                        </m:r>
                        <m:r>
                          <w:rPr>
                            <w:sz w:val="24"/>
                            <w:szCs w:val="24"/>
                          </w:rPr>
                          <m:t>1350</m:t>
                        </m:r>
                        <m:d>
                          <m:dPr>
                            <m:begChr m:val="["/>
                            <m:endChr m:val="]"/>
                            <m:ctrlPr>
                              <w:rPr>
                                <w:sz w:val="24"/>
                                <w:szCs w:val="24"/>
                              </w:rPr>
                            </m:ctrlPr>
                          </m:dPr>
                          <m:e>
                            <m:r>
                              <m:rPr>
                                <m:sty m:val="p"/>
                              </m:rPr>
                              <w:rPr>
                                <w:sz w:val="24"/>
                                <w:szCs w:val="24"/>
                              </w:rPr>
                              <m:t>℃</m:t>
                            </m:r>
                          </m:e>
                        </m:d>
                        <m:r>
                          <m:rPr>
                            <m:sty m:val="p"/>
                          </m:rPr>
                          <w:rPr>
                            <w:sz w:val="24"/>
                            <w:szCs w:val="24"/>
                          </w:rPr>
                          <m:t>,</m:t>
                        </m:r>
                      </m:e>
                      <m:e>
                        <m:r>
                          <m:rPr>
                            <m:sty m:val="p"/>
                          </m:rPr>
                          <w:rPr>
                            <w:sz w:val="24"/>
                            <w:szCs w:val="24"/>
                          </w:rPr>
                          <m:t xml:space="preserve">1350       </m:t>
                        </m:r>
                        <m:sSub>
                          <m:sSubPr>
                            <m:ctrlPr>
                              <w:rPr>
                                <w:sz w:val="24"/>
                                <w:szCs w:val="24"/>
                              </w:rPr>
                            </m:ctrlPr>
                          </m:sSubPr>
                          <m:e>
                            <m:r>
                              <w:rPr>
                                <w:sz w:val="24"/>
                                <w:szCs w:val="24"/>
                              </w:rPr>
                              <m:t>θ</m:t>
                            </m:r>
                          </m:e>
                          <m:sub>
                            <m:r>
                              <m:rPr>
                                <m:sty m:val="p"/>
                              </m:rPr>
                              <w:rPr>
                                <w:sz w:val="24"/>
                                <w:szCs w:val="24"/>
                              </w:rPr>
                              <m:t>reg,1</m:t>
                            </m:r>
                          </m:sub>
                        </m:sSub>
                        <m:r>
                          <m:rPr>
                            <m:sty m:val="p"/>
                          </m:rPr>
                          <w:rPr>
                            <w:sz w:val="24"/>
                            <w:szCs w:val="24"/>
                          </w:rPr>
                          <m:t>≥1350</m:t>
                        </m:r>
                        <m:d>
                          <m:dPr>
                            <m:begChr m:val="["/>
                            <m:endChr m:val="]"/>
                            <m:ctrlPr>
                              <w:rPr>
                                <w:sz w:val="24"/>
                                <w:szCs w:val="24"/>
                              </w:rPr>
                            </m:ctrlPr>
                          </m:dPr>
                          <m:e>
                            <m:r>
                              <m:rPr>
                                <m:sty m:val="p"/>
                              </m:rPr>
                              <w:rPr>
                                <w:sz w:val="24"/>
                                <w:szCs w:val="24"/>
                              </w:rPr>
                              <m:t>℃</m:t>
                            </m:r>
                          </m:e>
                        </m:d>
                        <m:r>
                          <m:rPr>
                            <m:sty m:val="p"/>
                          </m:rPr>
                          <w:rPr>
                            <w:sz w:val="24"/>
                            <w:szCs w:val="24"/>
                          </w:rPr>
                          <m:t xml:space="preserve">, </m:t>
                        </m:r>
                      </m:e>
                    </m:eqArr>
                    <m:sSub>
                      <m:sSubPr>
                        <m:ctrlPr>
                          <w:rPr>
                            <w:sz w:val="24"/>
                            <w:szCs w:val="24"/>
                          </w:rPr>
                        </m:ctrlPr>
                      </m:sSubPr>
                      <m:e>
                        <m:r>
                          <w:rPr>
                            <w:sz w:val="24"/>
                            <w:szCs w:val="24"/>
                          </w:rPr>
                          <m:t>θ</m:t>
                        </m:r>
                      </m:e>
                      <m:sub>
                        <m:r>
                          <m:rPr>
                            <m:sty m:val="p"/>
                          </m:rPr>
                          <w:rPr>
                            <w:sz w:val="24"/>
                            <w:szCs w:val="24"/>
                          </w:rPr>
                          <m:t>reg,1</m:t>
                        </m:r>
                      </m:sub>
                    </m:sSub>
                    <m:r>
                      <m:rPr>
                        <m:sty m:val="p"/>
                      </m:rPr>
                      <w:rPr>
                        <w:sz w:val="24"/>
                        <w:szCs w:val="24"/>
                      </w:rPr>
                      <m:t>=17.5</m:t>
                    </m:r>
                    <m:sSup>
                      <m:sSupPr>
                        <m:ctrlPr>
                          <w:rPr>
                            <w:sz w:val="24"/>
                            <w:szCs w:val="24"/>
                          </w:rPr>
                        </m:ctrlPr>
                      </m:sSupPr>
                      <m:e>
                        <m:r>
                          <w:rPr>
                            <w:sz w:val="24"/>
                            <w:szCs w:val="24"/>
                          </w:rPr>
                          <m:t>Q</m:t>
                        </m:r>
                      </m:e>
                      <m:sup>
                        <m:f>
                          <m:fPr>
                            <m:ctrlPr>
                              <w:rPr>
                                <w:sz w:val="24"/>
                                <w:szCs w:val="24"/>
                              </w:rPr>
                            </m:ctrlPr>
                          </m:fPr>
                          <m:num>
                            <m:r>
                              <m:rPr>
                                <m:sty m:val="p"/>
                              </m:rPr>
                              <w:rPr>
                                <w:sz w:val="24"/>
                                <w:szCs w:val="24"/>
                              </w:rPr>
                              <m:t>2</m:t>
                            </m:r>
                          </m:num>
                          <m:den>
                            <m:r>
                              <m:rPr>
                                <m:sty m:val="p"/>
                              </m:rPr>
                              <w:rPr>
                                <w:sz w:val="24"/>
                                <w:szCs w:val="24"/>
                              </w:rPr>
                              <m:t>3</m:t>
                            </m:r>
                          </m:den>
                        </m:f>
                      </m:sup>
                    </m:sSup>
                  </m:e>
                </m:d>
                <m:sSubSup>
                  <m:sSubSupPr>
                    <m:ctrlPr>
                      <w:rPr>
                        <w:sz w:val="24"/>
                        <w:szCs w:val="24"/>
                      </w:rPr>
                    </m:ctrlPr>
                  </m:sSubSupPr>
                  <m:e>
                    <m:r>
                      <w:rPr>
                        <w:sz w:val="24"/>
                        <w:szCs w:val="24"/>
                      </w:rPr>
                      <m:t>H</m:t>
                    </m:r>
                  </m:e>
                  <m:sub>
                    <m:r>
                      <m:rPr>
                        <m:sty m:val="p"/>
                      </m:rPr>
                      <w:rPr>
                        <w:sz w:val="24"/>
                        <w:szCs w:val="24"/>
                      </w:rPr>
                      <m:t>eff</m:t>
                    </m:r>
                  </m:sub>
                  <m:sup>
                    <m:r>
                      <m:rPr>
                        <m:sty m:val="p"/>
                      </m:rPr>
                      <w:rPr>
                        <w:sz w:val="24"/>
                        <w:szCs w:val="24"/>
                      </w:rPr>
                      <m:t>-</m:t>
                    </m:r>
                    <m:f>
                      <m:fPr>
                        <m:ctrlPr>
                          <w:rPr>
                            <w:sz w:val="24"/>
                            <w:szCs w:val="24"/>
                          </w:rPr>
                        </m:ctrlPr>
                      </m:fPr>
                      <m:num>
                        <m:r>
                          <m:rPr>
                            <m:sty m:val="p"/>
                          </m:rPr>
                          <w:rPr>
                            <w:sz w:val="24"/>
                            <w:szCs w:val="24"/>
                          </w:rPr>
                          <m:t>5</m:t>
                        </m:r>
                      </m:num>
                      <m:den>
                        <m:r>
                          <m:rPr>
                            <m:sty m:val="p"/>
                          </m:rPr>
                          <w:rPr>
                            <w:sz w:val="24"/>
                            <w:szCs w:val="24"/>
                          </w:rPr>
                          <m:t>3</m:t>
                        </m:r>
                      </m:den>
                    </m:f>
                  </m:sup>
                </m:sSubSup>
                <m:r>
                  <m:rPr>
                    <m:sty m:val="p"/>
                  </m:rPr>
                  <w:rPr>
                    <w:sz w:val="24"/>
                    <w:szCs w:val="24"/>
                  </w:rPr>
                  <m:t xml:space="preserve"> ,</m:t>
                </m:r>
              </m:oMath>
            </m:oMathPara>
          </w:p>
        </w:tc>
        <w:tc>
          <w:tcPr>
            <w:tcW w:w="510" w:type="dxa"/>
            <w:vAlign w:val="center"/>
          </w:tcPr>
          <w:p w:rsidR="00C72842" w:rsidRPr="00C066D6" w:rsidRDefault="009F586E" w:rsidP="00C72842">
            <w:pPr>
              <w:pStyle w:val="EQN"/>
            </w:pPr>
            <w:r w:rsidRPr="00C066D6">
              <w:t>(3)</w:t>
            </w:r>
          </w:p>
        </w:tc>
      </w:tr>
    </w:tbl>
    <w:p w:rsidR="003A547D" w:rsidRPr="00C066D6" w:rsidRDefault="003A547D" w:rsidP="003A547D"/>
    <w:p w:rsidR="003A547D" w:rsidRPr="00C066D6" w:rsidRDefault="003A547D" w:rsidP="003A547D">
      <w:r w:rsidRPr="00C066D6">
        <w:t xml:space="preserve">kde </w:t>
      </w:r>
      <m:oMath>
        <m:sSub>
          <m:sSubPr>
            <m:ctrlPr>
              <w:rPr>
                <w:rFonts w:ascii="Cambria Math" w:hAnsi="Cambria Math"/>
                <w:i/>
              </w:rPr>
            </m:ctrlPr>
          </m:sSubPr>
          <m:e>
            <m:r>
              <w:rPr>
                <w:rFonts w:ascii="Cambria Math" w:hAnsi="Cambria Math"/>
              </w:rPr>
              <m:t>H</m:t>
            </m:r>
          </m:e>
          <m:sub>
            <m:r>
              <w:rPr>
                <w:rFonts w:ascii="Cambria Math" w:hAnsi="Cambria Math"/>
              </w:rPr>
              <m:t xml:space="preserve">eff </m:t>
            </m:r>
          </m:sub>
        </m:sSub>
        <m:d>
          <m:dPr>
            <m:begChr m:val="["/>
            <m:endChr m:val="]"/>
            <m:ctrlPr>
              <w:rPr>
                <w:rFonts w:ascii="Cambria Math" w:hAnsi="Cambria Math"/>
                <w:i/>
              </w:rPr>
            </m:ctrlPr>
          </m:dPr>
          <m:e>
            <m:r>
              <m:rPr>
                <m:sty m:val="p"/>
              </m:rPr>
              <w:rPr>
                <w:rFonts w:ascii="Cambria Math" w:hAnsi="Cambria Math"/>
              </w:rPr>
              <m:t>m</m:t>
            </m:r>
          </m:e>
        </m:d>
        <m:r>
          <w:rPr>
            <w:rFonts w:ascii="Cambria Math" w:hAnsi="Cambria Math"/>
          </w:rPr>
          <m:t xml:space="preserve"> </m:t>
        </m:r>
      </m:oMath>
      <w:r w:rsidRPr="00C066D6">
        <w:t xml:space="preserve">je efektivní výška tunelu a </w:t>
      </w:r>
      <w:r w:rsidRPr="00C066D6">
        <w:rPr>
          <w:i/>
        </w:rPr>
        <w:t xml:space="preserve">Q </w:t>
      </w:r>
      <w:r w:rsidRPr="00C066D6">
        <w:rPr>
          <w:lang w:val="en-US"/>
        </w:rPr>
        <w:t>[</w:t>
      </w:r>
      <w:r w:rsidRPr="00C066D6">
        <w:t>MW</w:t>
      </w:r>
      <w:r w:rsidRPr="00C066D6">
        <w:rPr>
          <w:lang w:val="en-US"/>
        </w:rPr>
        <w:t xml:space="preserve">] </w:t>
      </w:r>
      <w:r w:rsidRPr="00C066D6">
        <w:t>tepelný výkon</w:t>
      </w:r>
      <w:r w:rsidRPr="00C066D6">
        <w:rPr>
          <w:lang w:val="en-US"/>
        </w:rPr>
        <w:t xml:space="preserve"> (heat release rate). </w:t>
      </w:r>
      <w:r w:rsidRPr="00C066D6">
        <w:t>Vývoj povrchové teploty v čase a prostoru lze vyjádřit takto:</w:t>
      </w:r>
    </w:p>
    <w:p w:rsidR="00E42552" w:rsidRPr="00C066D6" w:rsidRDefault="00E42552" w:rsidP="003A547D"/>
    <w:tbl>
      <w:tblPr>
        <w:tblStyle w:val="Mkatabulky"/>
        <w:tblW w:w="90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3"/>
        <w:gridCol w:w="521"/>
      </w:tblGrid>
      <w:tr w:rsidR="00E42552" w:rsidRPr="00C066D6" w:rsidTr="00A75D5E">
        <w:trPr>
          <w:jc w:val="center"/>
        </w:trPr>
        <w:tc>
          <w:tcPr>
            <w:tcW w:w="8504" w:type="dxa"/>
          </w:tcPr>
          <w:p w:rsidR="00E42552" w:rsidRPr="00C066D6" w:rsidRDefault="008B3A2E" w:rsidP="00A75D5E">
            <w:pPr>
              <w:pStyle w:val="EQN"/>
              <w:rPr>
                <w:rFonts w:ascii="Times New Roman" w:hAnsi="Times New Roman"/>
              </w:rPr>
            </w:pPr>
            <m:oMathPara>
              <m:oMath>
                <m:sSub>
                  <m:sSubPr>
                    <m:ctrlPr/>
                  </m:sSubPr>
                  <m:e>
                    <m:r>
                      <m:t>θ</m:t>
                    </m:r>
                  </m:e>
                  <m:sub>
                    <m:r>
                      <m:rPr>
                        <m:sty m:val="p"/>
                      </m:rPr>
                      <m:t>max</m:t>
                    </m:r>
                  </m:sub>
                </m:sSub>
                <m:d>
                  <m:dPr>
                    <m:ctrlPr/>
                  </m:dPr>
                  <m:e>
                    <m:r>
                      <m:t>t</m:t>
                    </m:r>
                    <m:r>
                      <m:rPr>
                        <m:sty m:val="p"/>
                      </m:rPr>
                      <m:t>,</m:t>
                    </m:r>
                    <m:r>
                      <m:t>x</m:t>
                    </m:r>
                    <m:r>
                      <m:rPr>
                        <m:sty m:val="p"/>
                      </m:rPr>
                      <m:t xml:space="preserve">, </m:t>
                    </m:r>
                    <m:r>
                      <m:t>z</m:t>
                    </m:r>
                  </m:e>
                </m:d>
                <m:r>
                  <m:rPr>
                    <m:sty m:val="p"/>
                  </m:rPr>
                  <m:t>=</m:t>
                </m:r>
                <m:sSub>
                  <m:sSubPr>
                    <m:ctrlPr/>
                  </m:sSubPr>
                  <m:e>
                    <m:r>
                      <m:t>c</m:t>
                    </m:r>
                  </m:e>
                  <m:sub>
                    <m:r>
                      <m:rPr>
                        <m:sty m:val="p"/>
                      </m:rPr>
                      <m:t>1</m:t>
                    </m:r>
                  </m:sub>
                </m:sSub>
                <m:d>
                  <m:dPr>
                    <m:ctrlPr/>
                  </m:dPr>
                  <m:e>
                    <m:r>
                      <m:t>t</m:t>
                    </m:r>
                  </m:e>
                </m:d>
                <m:sSub>
                  <m:sSubPr>
                    <m:ctrlPr/>
                  </m:sSubPr>
                  <m:e>
                    <m:r>
                      <m:t>c</m:t>
                    </m:r>
                  </m:e>
                  <m:sub>
                    <m:r>
                      <m:rPr>
                        <m:sty m:val="p"/>
                      </m:rPr>
                      <m:t>2</m:t>
                    </m:r>
                  </m:sub>
                </m:sSub>
                <m:d>
                  <m:dPr>
                    <m:ctrlPr/>
                  </m:dPr>
                  <m:e>
                    <m:r>
                      <m:t>x</m:t>
                    </m:r>
                  </m:e>
                </m:d>
                <m:sSub>
                  <m:sSubPr>
                    <m:ctrlPr/>
                  </m:sSubPr>
                  <m:e>
                    <m:r>
                      <m:t>c</m:t>
                    </m:r>
                  </m:e>
                  <m:sub>
                    <m:r>
                      <m:rPr>
                        <m:sty m:val="p"/>
                      </m:rPr>
                      <m:t xml:space="preserve">3 </m:t>
                    </m:r>
                  </m:sub>
                </m:sSub>
                <m:r>
                  <m:rPr>
                    <m:sty m:val="p"/>
                  </m:rPr>
                  <m:t>(</m:t>
                </m:r>
                <m:r>
                  <m:t>z</m:t>
                </m:r>
                <m:r>
                  <m:rPr>
                    <m:sty m:val="p"/>
                  </m:rPr>
                  <m:t>)</m:t>
                </m:r>
                <m:sSub>
                  <m:sSubPr>
                    <m:ctrlPr/>
                  </m:sSubPr>
                  <m:e>
                    <m:r>
                      <m:t>θ</m:t>
                    </m:r>
                  </m:e>
                  <m:sub>
                    <m:r>
                      <m:rPr>
                        <m:sty m:val="p"/>
                      </m:rPr>
                      <m:t>ceil, max</m:t>
                    </m:r>
                  </m:sub>
                </m:sSub>
              </m:oMath>
            </m:oMathPara>
          </w:p>
        </w:tc>
        <w:tc>
          <w:tcPr>
            <w:tcW w:w="510" w:type="dxa"/>
            <w:vAlign w:val="center"/>
          </w:tcPr>
          <w:p w:rsidR="00E42552" w:rsidRPr="00C066D6" w:rsidRDefault="009F586E" w:rsidP="00A75D5E">
            <w:pPr>
              <w:pStyle w:val="EQN"/>
            </w:pPr>
            <w:r w:rsidRPr="00C066D6">
              <w:t>(4</w:t>
            </w:r>
            <w:r w:rsidR="00E42552" w:rsidRPr="00C066D6">
              <w:t>)</w:t>
            </w:r>
          </w:p>
        </w:tc>
      </w:tr>
    </w:tbl>
    <w:p w:rsidR="00E42552" w:rsidRPr="00C066D6" w:rsidRDefault="00E42552" w:rsidP="003A547D"/>
    <w:p w:rsidR="00E42552" w:rsidRPr="00C066D6" w:rsidRDefault="00E42552" w:rsidP="003A547D"/>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A547D" w:rsidRPr="00C066D6" w:rsidTr="002F542E">
        <w:tc>
          <w:tcPr>
            <w:tcW w:w="4531" w:type="dxa"/>
          </w:tcPr>
          <w:p w:rsidR="003A547D" w:rsidRPr="00C066D6" w:rsidRDefault="003A547D" w:rsidP="002F542E">
            <w:r w:rsidRPr="00C066D6">
              <w:rPr>
                <w:noProof/>
                <w:lang w:eastAsia="cs-CZ"/>
              </w:rPr>
              <w:lastRenderedPageBreak/>
              <w:drawing>
                <wp:inline distT="0" distB="0" distL="0" distR="0" wp14:anchorId="2DE052E1" wp14:editId="11D8512A">
                  <wp:extent cx="2700000" cy="1791369"/>
                  <wp:effectExtent l="0" t="0" r="5715"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jour_c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00000" cy="1791369"/>
                          </a:xfrm>
                          <a:prstGeom prst="rect">
                            <a:avLst/>
                          </a:prstGeom>
                        </pic:spPr>
                      </pic:pic>
                    </a:graphicData>
                  </a:graphic>
                </wp:inline>
              </w:drawing>
            </w:r>
          </w:p>
        </w:tc>
        <w:tc>
          <w:tcPr>
            <w:tcW w:w="4531" w:type="dxa"/>
          </w:tcPr>
          <w:p w:rsidR="003A547D" w:rsidRPr="00C066D6" w:rsidRDefault="003A547D" w:rsidP="002F542E">
            <w:r w:rsidRPr="00C066D6">
              <w:rPr>
                <w:noProof/>
                <w:lang w:eastAsia="cs-CZ"/>
              </w:rPr>
              <w:drawing>
                <wp:inline distT="0" distB="0" distL="0" distR="0" wp14:anchorId="32AE806A" wp14:editId="6B813946">
                  <wp:extent cx="2700000" cy="1791369"/>
                  <wp:effectExtent l="0" t="0" r="571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jour_c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00000" cy="1791369"/>
                          </a:xfrm>
                          <a:prstGeom prst="rect">
                            <a:avLst/>
                          </a:prstGeom>
                        </pic:spPr>
                      </pic:pic>
                    </a:graphicData>
                  </a:graphic>
                </wp:inline>
              </w:drawing>
            </w:r>
          </w:p>
        </w:tc>
      </w:tr>
      <w:tr w:rsidR="003A547D" w:rsidRPr="00C066D6" w:rsidTr="002F542E">
        <w:trPr>
          <w:trHeight w:val="227"/>
        </w:trPr>
        <w:tc>
          <w:tcPr>
            <w:tcW w:w="4531" w:type="dxa"/>
          </w:tcPr>
          <w:p w:rsidR="003A547D" w:rsidRPr="00C066D6" w:rsidRDefault="003A547D" w:rsidP="002F542E">
            <w:pPr>
              <w:jc w:val="center"/>
            </w:pPr>
            <w:r w:rsidRPr="00C066D6">
              <w:t>(a)</w:t>
            </w:r>
          </w:p>
        </w:tc>
        <w:tc>
          <w:tcPr>
            <w:tcW w:w="4531" w:type="dxa"/>
          </w:tcPr>
          <w:p w:rsidR="003A547D" w:rsidRPr="00C066D6" w:rsidRDefault="003A547D" w:rsidP="002F542E">
            <w:pPr>
              <w:jc w:val="center"/>
            </w:pPr>
            <w:r w:rsidRPr="00C066D6">
              <w:t>(b)</w:t>
            </w:r>
          </w:p>
        </w:tc>
      </w:tr>
      <w:tr w:rsidR="003A547D" w:rsidRPr="00C066D6" w:rsidTr="002F542E">
        <w:tc>
          <w:tcPr>
            <w:tcW w:w="9062" w:type="dxa"/>
            <w:gridSpan w:val="2"/>
          </w:tcPr>
          <w:p w:rsidR="003A547D" w:rsidRPr="00C066D6" w:rsidRDefault="003A547D" w:rsidP="002F542E">
            <w:pPr>
              <w:jc w:val="center"/>
            </w:pPr>
            <w:bookmarkStart w:id="2" w:name="_Ref435880960"/>
            <w:r w:rsidRPr="00C066D6">
              <w:t xml:space="preserve">Obr. </w:t>
            </w:r>
            <w:bookmarkEnd w:id="2"/>
            <w:r w:rsidRPr="00C066D6">
              <w:t xml:space="preserve">9 Vývoj koeficientu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rsidRPr="00C066D6">
              <w:t xml:space="preserve"> [- ] v čase a koeficientu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rsidRPr="00C066D6">
              <w:t xml:space="preserve"> [- ] po délce tunelu</w:t>
            </w:r>
          </w:p>
        </w:tc>
      </w:tr>
    </w:tbl>
    <w:p w:rsidR="003A547D" w:rsidRPr="00C066D6" w:rsidRDefault="003A547D" w:rsidP="003A547D"/>
    <w:p w:rsidR="003A547D" w:rsidRPr="00C066D6" w:rsidRDefault="003A547D" w:rsidP="003A547D">
      <w:r w:rsidRPr="00C066D6">
        <w:t xml:space="preserve">Vývoj funkcí </w:t>
      </w:r>
      <w:r w:rsidRPr="00C066D6">
        <w:rPr>
          <w:i/>
        </w:rPr>
        <w:t>c</w:t>
      </w:r>
      <w:r w:rsidRPr="00C066D6">
        <w:rPr>
          <w:vertAlign w:val="subscript"/>
        </w:rPr>
        <w:t xml:space="preserve">1 </w:t>
      </w:r>
      <w:r w:rsidRPr="00C066D6">
        <w:t xml:space="preserve">a </w:t>
      </w:r>
      <w:r w:rsidRPr="00C066D6">
        <w:rPr>
          <w:i/>
        </w:rPr>
        <w:t>c</w:t>
      </w:r>
      <w:r w:rsidRPr="00C066D6">
        <w:rPr>
          <w:vertAlign w:val="subscript"/>
        </w:rPr>
        <w:t xml:space="preserve">1 </w:t>
      </w:r>
      <w:r w:rsidRPr="00C066D6">
        <w:t xml:space="preserve">pro typické hodnoty tepelných výkonů je ukázán v Obr. 9 jako příklad. Rozdělení teploty podél tunelového ostění v příčném řezu je přibližně vystiženo parabolickým průběhem svislé souřadnice </w:t>
      </w:r>
      <w:r w:rsidRPr="00C066D6">
        <w:rPr>
          <w:i/>
        </w:rPr>
        <w:t>z</w:t>
      </w:r>
      <w:r w:rsidRPr="00C066D6">
        <w:t xml:space="preserve">, při čemž u paty ostění byla uvažována teplota </w:t>
      </w:r>
      <m:oMath>
        <m:sSub>
          <m:sSubPr>
            <m:ctrlPr>
              <w:rPr>
                <w:rFonts w:ascii="Cambria Math" w:hAnsi="Cambria Math"/>
                <w:i/>
              </w:rPr>
            </m:ctrlPr>
          </m:sSubPr>
          <m:e>
            <m:r>
              <w:rPr>
                <w:rFonts w:ascii="Cambria Math" w:hAnsi="Cambria Math"/>
              </w:rPr>
              <m:t>θ</m:t>
            </m:r>
          </m:e>
          <m:sub>
            <m:r>
              <w:rPr>
                <w:rFonts w:ascii="Cambria Math" w:hAnsi="Cambria Math"/>
              </w:rPr>
              <m:t>ceil, min</m:t>
            </m:r>
          </m:sub>
        </m:sSub>
      </m:oMath>
      <w:r w:rsidRPr="00C066D6">
        <w:t xml:space="preserve">  = 0.5 </w:t>
      </w:r>
      <m:oMath>
        <m:sSub>
          <m:sSubPr>
            <m:ctrlPr>
              <w:rPr>
                <w:rFonts w:ascii="Cambria Math" w:hAnsi="Cambria Math"/>
                <w:i/>
              </w:rPr>
            </m:ctrlPr>
          </m:sSubPr>
          <m:e>
            <m:r>
              <w:rPr>
                <w:rFonts w:ascii="Cambria Math" w:hAnsi="Cambria Math"/>
              </w:rPr>
              <m:t>θ</m:t>
            </m:r>
          </m:e>
          <m:sub>
            <m:r>
              <w:rPr>
                <w:rFonts w:ascii="Cambria Math" w:hAnsi="Cambria Math"/>
              </w:rPr>
              <m:t>ceil, max</m:t>
            </m:r>
          </m:sub>
        </m:sSub>
      </m:oMath>
      <w:r w:rsidRPr="00C066D6">
        <w:t>.</w:t>
      </w:r>
    </w:p>
    <w:p w:rsidR="003A547D" w:rsidRPr="00C066D6" w:rsidRDefault="003A547D" w:rsidP="003A547D">
      <w:r w:rsidRPr="00C066D6">
        <w:t>Bilanční rovnice pro transport tepla a hmotnosti (vlhkosti) jsou standardně řešeny numericky MKP pro 2D oblast o rozměrech 0.3x520 [m</w:t>
      </w:r>
      <w:r w:rsidRPr="00C066D6">
        <w:rPr>
          <w:vertAlign w:val="superscript"/>
        </w:rPr>
        <w:t>2</w:t>
      </w:r>
      <w:r w:rsidRPr="00C066D6">
        <w:t xml:space="preserve">], kde </w:t>
      </w:r>
      <m:oMath>
        <m:r>
          <w:rPr>
            <w:rFonts w:ascii="Cambria Math" w:hAnsi="Cambria Math"/>
          </w:rPr>
          <m:t>d=</m:t>
        </m:r>
      </m:oMath>
      <w:r w:rsidRPr="00C066D6">
        <w:t xml:space="preserve"> 0.3 [m] je tloušťka ostění a </w:t>
      </w:r>
      <m:oMath>
        <m:r>
          <w:rPr>
            <w:rFonts w:ascii="Cambria Math" w:hAnsi="Cambria Math"/>
          </w:rPr>
          <m:t>l=</m:t>
        </m:r>
      </m:oMath>
      <w:r w:rsidRPr="00C066D6">
        <w:t xml:space="preserve"> 520 [m] je délka úseku dotčeného požárem. Výsledky jsou interpolovány podél střednice průřezu. Pro ilustraci je vyznačen rozsah poškozené části ostění ve vrcholu klenby odpryskem (Obr. 10a) a teplotou </w:t>
      </w:r>
      <m:oMath>
        <m:r>
          <w:rPr>
            <w:rFonts w:ascii="Cambria Math" w:hAnsi="Cambria Math"/>
          </w:rPr>
          <m:t>θ≥</m:t>
        </m:r>
        <m:acc>
          <m:accPr>
            <m:chr m:val="̅"/>
            <m:ctrlPr>
              <w:rPr>
                <w:rFonts w:ascii="Cambria Math" w:hAnsi="Cambria Math"/>
                <w:i/>
              </w:rPr>
            </m:ctrlPr>
          </m:accPr>
          <m:e>
            <m:r>
              <w:rPr>
                <w:rFonts w:ascii="Cambria Math" w:hAnsi="Cambria Math"/>
              </w:rPr>
              <m:t>θ</m:t>
            </m:r>
          </m:e>
        </m:acc>
      </m:oMath>
      <w:r w:rsidRPr="00C066D6">
        <w:t xml:space="preserve"> = 100 [</w:t>
      </w:r>
      <w:r w:rsidRPr="00C066D6">
        <w:sym w:font="Symbol" w:char="F0B0"/>
      </w:r>
      <w:r w:rsidRPr="00C066D6">
        <w:t>C] (</w:t>
      </w:r>
      <w:r w:rsidRPr="00C066D6">
        <w:fldChar w:fldCharType="begin"/>
      </w:r>
      <w:r w:rsidRPr="00C066D6">
        <w:instrText xml:space="preserve"> REF _Ref435882341 \h </w:instrText>
      </w:r>
      <w:r w:rsidR="00B972C2" w:rsidRPr="00C066D6">
        <w:instrText xml:space="preserve"> \* MERGEFORMAT </w:instrText>
      </w:r>
      <w:r w:rsidRPr="00C066D6">
        <w:fldChar w:fldCharType="separate"/>
      </w:r>
      <w:r w:rsidR="00B15746" w:rsidRPr="00C066D6">
        <w:t xml:space="preserve">Obr. </w:t>
      </w:r>
      <w:r w:rsidRPr="00C066D6">
        <w:fldChar w:fldCharType="end"/>
      </w:r>
      <w:r w:rsidRPr="00C066D6">
        <w:t>10b) jako důsledek účinků vybraných tepelných výkonů.</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3A547D" w:rsidRPr="00C066D6" w:rsidTr="002F542E">
        <w:tc>
          <w:tcPr>
            <w:tcW w:w="9062" w:type="dxa"/>
          </w:tcPr>
          <w:p w:rsidR="003A547D" w:rsidRPr="00C066D6" w:rsidRDefault="003A547D" w:rsidP="002F542E">
            <w:pPr>
              <w:jc w:val="center"/>
            </w:pPr>
            <w:r w:rsidRPr="00C066D6">
              <w:rPr>
                <w:noProof/>
                <w:lang w:eastAsia="cs-CZ"/>
              </w:rPr>
              <w:drawing>
                <wp:inline distT="0" distB="0" distL="0" distR="0" wp14:anchorId="577F194E" wp14:editId="41FAAE50">
                  <wp:extent cx="5040000" cy="1074991"/>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jour_spal_35_105_20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40000" cy="1074991"/>
                          </a:xfrm>
                          <a:prstGeom prst="rect">
                            <a:avLst/>
                          </a:prstGeom>
                        </pic:spPr>
                      </pic:pic>
                    </a:graphicData>
                  </a:graphic>
                </wp:inline>
              </w:drawing>
            </w:r>
          </w:p>
        </w:tc>
      </w:tr>
      <w:tr w:rsidR="003A547D" w:rsidRPr="00C066D6" w:rsidTr="002F542E">
        <w:trPr>
          <w:trHeight w:val="227"/>
        </w:trPr>
        <w:tc>
          <w:tcPr>
            <w:tcW w:w="9062" w:type="dxa"/>
          </w:tcPr>
          <w:p w:rsidR="003A547D" w:rsidRPr="00C066D6" w:rsidRDefault="003A547D" w:rsidP="007B798E">
            <w:pPr>
              <w:jc w:val="center"/>
            </w:pPr>
            <w:r w:rsidRPr="00C066D6">
              <w:t>(a)</w:t>
            </w:r>
          </w:p>
        </w:tc>
      </w:tr>
      <w:tr w:rsidR="003A547D" w:rsidRPr="00C066D6" w:rsidTr="002F542E">
        <w:trPr>
          <w:trHeight w:val="227"/>
        </w:trPr>
        <w:tc>
          <w:tcPr>
            <w:tcW w:w="9062" w:type="dxa"/>
          </w:tcPr>
          <w:p w:rsidR="003A547D" w:rsidRPr="00C066D6" w:rsidRDefault="003A547D" w:rsidP="002F542E">
            <w:pPr>
              <w:jc w:val="center"/>
            </w:pPr>
            <w:r w:rsidRPr="00C066D6">
              <w:rPr>
                <w:noProof/>
                <w:lang w:eastAsia="cs-CZ"/>
              </w:rPr>
              <w:drawing>
                <wp:inline distT="0" distB="0" distL="0" distR="0" wp14:anchorId="48FDF8E5" wp14:editId="52424E1E">
                  <wp:extent cx="5040000" cy="1075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jour_theta_35_105_20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40000" cy="1075000"/>
                          </a:xfrm>
                          <a:prstGeom prst="rect">
                            <a:avLst/>
                          </a:prstGeom>
                        </pic:spPr>
                      </pic:pic>
                    </a:graphicData>
                  </a:graphic>
                </wp:inline>
              </w:drawing>
            </w:r>
          </w:p>
        </w:tc>
      </w:tr>
      <w:tr w:rsidR="003A547D" w:rsidRPr="00C066D6" w:rsidTr="002F542E">
        <w:trPr>
          <w:trHeight w:val="227"/>
        </w:trPr>
        <w:tc>
          <w:tcPr>
            <w:tcW w:w="9062" w:type="dxa"/>
          </w:tcPr>
          <w:p w:rsidR="003A547D" w:rsidRPr="00C066D6" w:rsidRDefault="003A547D" w:rsidP="007B798E">
            <w:pPr>
              <w:jc w:val="center"/>
            </w:pPr>
            <w:r w:rsidRPr="00C066D6">
              <w:t>(b)</w:t>
            </w:r>
          </w:p>
        </w:tc>
      </w:tr>
      <w:tr w:rsidR="003A547D" w:rsidRPr="00C066D6" w:rsidTr="002F542E">
        <w:tc>
          <w:tcPr>
            <w:tcW w:w="9062" w:type="dxa"/>
          </w:tcPr>
          <w:p w:rsidR="003A547D" w:rsidRPr="00C066D6" w:rsidRDefault="003A547D" w:rsidP="002F542E">
            <w:pPr>
              <w:jc w:val="center"/>
            </w:pPr>
            <w:bookmarkStart w:id="3" w:name="_Ref435882341"/>
            <w:r w:rsidRPr="00C066D6">
              <w:t xml:space="preserve">Obr. </w:t>
            </w:r>
            <w:bookmarkEnd w:id="3"/>
            <w:r w:rsidRPr="00C066D6">
              <w:t xml:space="preserve">10 Porovnání rozsahu poškození při různých tepelných výkonech: (a) Hloubka odprysku, (b) oblast s </w:t>
            </w:r>
            <m:oMath>
              <m:r>
                <w:rPr>
                  <w:rFonts w:ascii="Cambria Math" w:hAnsi="Cambria Math"/>
                </w:rPr>
                <m:t>θ≥</m:t>
              </m:r>
              <m:acc>
                <m:accPr>
                  <m:chr m:val="̅"/>
                  <m:ctrlPr>
                    <w:rPr>
                      <w:rFonts w:ascii="Cambria Math" w:hAnsi="Cambria Math"/>
                      <w:i/>
                    </w:rPr>
                  </m:ctrlPr>
                </m:accPr>
                <m:e>
                  <m:r>
                    <w:rPr>
                      <w:rFonts w:ascii="Cambria Math" w:hAnsi="Cambria Math"/>
                    </w:rPr>
                    <m:t>θ</m:t>
                  </m:r>
                </m:e>
              </m:acc>
            </m:oMath>
            <w:r w:rsidRPr="00C066D6">
              <w:t xml:space="preserve"> = 100 [</w:t>
            </w:r>
            <w:r w:rsidRPr="00C066D6">
              <w:sym w:font="Symbol" w:char="F0B0"/>
            </w:r>
            <w:r w:rsidRPr="00C066D6">
              <w:t>C]</w:t>
            </w:r>
          </w:p>
        </w:tc>
      </w:tr>
    </w:tbl>
    <w:p w:rsidR="002F542E" w:rsidRPr="00C066D6" w:rsidRDefault="002F542E" w:rsidP="003A547D"/>
    <w:p w:rsidR="003A547D" w:rsidRPr="00C066D6" w:rsidRDefault="003A547D" w:rsidP="003A547D">
      <w:pPr>
        <w:rPr>
          <w:rFonts w:cstheme="minorHAnsi"/>
        </w:rPr>
      </w:pPr>
      <w:r w:rsidRPr="00C066D6">
        <w:t xml:space="preserve">Základní vstupní hodnotou pro QRA je </w:t>
      </w:r>
      <w:r w:rsidRPr="00C066D6">
        <w:rPr>
          <w:rFonts w:cstheme="minorHAnsi"/>
        </w:rPr>
        <w:t xml:space="preserve">škoda vyjádřená objemem betonu ztraceného odpryskem a degradovaného v důsledku vysokých teplot. Závislost škody na požárním výkonu </w:t>
      </w:r>
      <w:r w:rsidRPr="00C066D6">
        <w:rPr>
          <w:rFonts w:cstheme="minorHAnsi"/>
          <w:i/>
        </w:rPr>
        <w:t xml:space="preserve">Q </w:t>
      </w:r>
      <w:r w:rsidRPr="00C066D6">
        <w:rPr>
          <w:rFonts w:cstheme="minorHAnsi"/>
        </w:rPr>
        <w:t xml:space="preserve">je znázorněna na  Obr. 11.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3A547D" w:rsidRPr="00C066D6" w:rsidTr="002F542E">
        <w:tc>
          <w:tcPr>
            <w:tcW w:w="8640" w:type="dxa"/>
          </w:tcPr>
          <w:p w:rsidR="003A547D" w:rsidRPr="00C066D6" w:rsidRDefault="003A547D" w:rsidP="002F542E">
            <w:pPr>
              <w:jc w:val="center"/>
              <w:rPr>
                <w:rFonts w:ascii="Times New Roman" w:hAnsi="Times New Roman" w:cs="Times New Roman"/>
              </w:rPr>
            </w:pPr>
            <w:r w:rsidRPr="00C066D6">
              <w:rPr>
                <w:noProof/>
                <w:lang w:eastAsia="cs-CZ"/>
              </w:rPr>
              <w:lastRenderedPageBreak/>
              <w:drawing>
                <wp:inline distT="0" distB="0" distL="0" distR="0" wp14:anchorId="54BBC870" wp14:editId="43054DF9">
                  <wp:extent cx="2942836" cy="1957349"/>
                  <wp:effectExtent l="0" t="0" r="0" b="508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jour_tab.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51852" cy="1963346"/>
                          </a:xfrm>
                          <a:prstGeom prst="rect">
                            <a:avLst/>
                          </a:prstGeom>
                        </pic:spPr>
                      </pic:pic>
                    </a:graphicData>
                  </a:graphic>
                </wp:inline>
              </w:drawing>
            </w:r>
          </w:p>
        </w:tc>
      </w:tr>
      <w:tr w:rsidR="003A547D" w:rsidRPr="00C066D6" w:rsidTr="002F542E">
        <w:tc>
          <w:tcPr>
            <w:tcW w:w="8640" w:type="dxa"/>
          </w:tcPr>
          <w:p w:rsidR="003A547D" w:rsidRPr="00C066D6" w:rsidRDefault="007B798E" w:rsidP="002F542E">
            <w:pPr>
              <w:jc w:val="center"/>
            </w:pPr>
            <w:r w:rsidRPr="00C066D6">
              <w:t>Obr. 11</w:t>
            </w:r>
            <w:r w:rsidR="003A547D" w:rsidRPr="00C066D6">
              <w:t xml:space="preserve"> Objem tunelového ostění oslabeného odpryskem a znehodnoceného vysokou teplotou </w:t>
            </w:r>
            <m:oMath>
              <m:r>
                <w:rPr>
                  <w:rFonts w:ascii="Cambria Math" w:hAnsi="Cambria Math"/>
                </w:rPr>
                <m:t>θ≥</m:t>
              </m:r>
              <m:acc>
                <m:accPr>
                  <m:chr m:val="̅"/>
                  <m:ctrlPr>
                    <w:rPr>
                      <w:rFonts w:ascii="Cambria Math" w:hAnsi="Cambria Math"/>
                      <w:i/>
                    </w:rPr>
                  </m:ctrlPr>
                </m:accPr>
                <m:e>
                  <m:r>
                    <w:rPr>
                      <w:rFonts w:ascii="Cambria Math" w:hAnsi="Cambria Math"/>
                    </w:rPr>
                    <m:t>θ</m:t>
                  </m:r>
                </m:e>
              </m:acc>
            </m:oMath>
          </w:p>
        </w:tc>
      </w:tr>
    </w:tbl>
    <w:p w:rsidR="003A547D" w:rsidRPr="00C066D6" w:rsidRDefault="003A547D" w:rsidP="003A547D"/>
    <w:p w:rsidR="003A547D" w:rsidRPr="00C066D6" w:rsidRDefault="003A547D" w:rsidP="003A547D">
      <w:r w:rsidRPr="00C066D6">
        <w:t xml:space="preserve">Zatímco diskuse o hodnotě </w:t>
      </w:r>
      <m:oMath>
        <m:sSub>
          <m:sSubPr>
            <m:ctrlPr>
              <w:rPr>
                <w:rFonts w:ascii="Cambria Math" w:hAnsi="Cambria Math"/>
                <w:i/>
              </w:rPr>
            </m:ctrlPr>
          </m:sSubPr>
          <m:e>
            <m:r>
              <w:rPr>
                <w:rFonts w:ascii="Cambria Math" w:hAnsi="Cambria Math"/>
              </w:rPr>
              <m:t>θ</m:t>
            </m:r>
          </m:e>
          <m:sub>
            <m:r>
              <m:rPr>
                <m:sty m:val="p"/>
              </m:rPr>
              <w:rPr>
                <w:rFonts w:ascii="Cambria Math" w:hAnsi="Cambria Math"/>
              </w:rPr>
              <m:t>ceil, max</m:t>
            </m:r>
          </m:sub>
        </m:sSub>
      </m:oMath>
      <w:r w:rsidRPr="00C066D6">
        <w:t xml:space="preserve"> přísluší požárním expertům, volba maximálně přípustné hodnoty </w:t>
      </w:r>
      <m:oMath>
        <m:acc>
          <m:accPr>
            <m:chr m:val="̅"/>
            <m:ctrlPr>
              <w:rPr>
                <w:rFonts w:ascii="Cambria Math" w:hAnsi="Cambria Math"/>
                <w:i/>
              </w:rPr>
            </m:ctrlPr>
          </m:accPr>
          <m:e>
            <m:r>
              <w:rPr>
                <w:rFonts w:ascii="Cambria Math" w:hAnsi="Cambria Math"/>
              </w:rPr>
              <m:t>θ</m:t>
            </m:r>
          </m:e>
        </m:acc>
      </m:oMath>
      <w:r w:rsidRPr="00C066D6">
        <w:t xml:space="preserve"> bude záležet na projektantech navrhujících sanaci tunelu. V případě tunelů ražených v horninovém prostředí je k dispozici klenbový účinek obklopujícího prostředí a volba </w:t>
      </w:r>
      <m:oMath>
        <m:acc>
          <m:accPr>
            <m:chr m:val="̅"/>
            <m:ctrlPr>
              <w:rPr>
                <w:rFonts w:ascii="Cambria Math" w:hAnsi="Cambria Math"/>
                <w:i/>
              </w:rPr>
            </m:ctrlPr>
          </m:accPr>
          <m:e>
            <m:r>
              <w:rPr>
                <w:rFonts w:ascii="Cambria Math" w:hAnsi="Cambria Math"/>
              </w:rPr>
              <m:t>θ</m:t>
            </m:r>
          </m:e>
        </m:acc>
      </m:oMath>
      <w:r w:rsidRPr="00C066D6">
        <w:t xml:space="preserve"> může být poměrně odvážná. U hloubených (přesýpaných) tunelů je situace mnohem vážnější a při volbě </w:t>
      </w:r>
      <m:oMath>
        <m:acc>
          <m:accPr>
            <m:chr m:val="̅"/>
            <m:ctrlPr>
              <w:rPr>
                <w:rFonts w:ascii="Cambria Math" w:hAnsi="Cambria Math"/>
                <w:i/>
              </w:rPr>
            </m:ctrlPr>
          </m:accPr>
          <m:e>
            <m:r>
              <w:rPr>
                <w:rFonts w:ascii="Cambria Math" w:hAnsi="Cambria Math"/>
              </w:rPr>
              <m:t>θ</m:t>
            </m:r>
          </m:e>
        </m:acc>
      </m:oMath>
      <w:r w:rsidRPr="00C066D6">
        <w:t xml:space="preserve"> &gt; 100 [</w:t>
      </w:r>
      <w:r w:rsidRPr="00C066D6">
        <w:sym w:font="Symbol" w:char="F0B0"/>
      </w:r>
      <w:r w:rsidRPr="00C066D6">
        <w:t xml:space="preserve">C] je třeba nejvyšší obezřetnosti. Volba </w:t>
      </w:r>
      <m:oMath>
        <m:acc>
          <m:accPr>
            <m:chr m:val="̅"/>
            <m:ctrlPr>
              <w:rPr>
                <w:rFonts w:ascii="Cambria Math" w:hAnsi="Cambria Math"/>
                <w:i/>
              </w:rPr>
            </m:ctrlPr>
          </m:accPr>
          <m:e>
            <m:r>
              <w:rPr>
                <w:rFonts w:ascii="Cambria Math" w:hAnsi="Cambria Math"/>
              </w:rPr>
              <m:t>θ</m:t>
            </m:r>
          </m:e>
        </m:acc>
      </m:oMath>
      <w:r w:rsidRPr="00C066D6">
        <w:t xml:space="preserve"> tak výrazně ovlivní rozsah škod, a tedy i predikované riziko.</w:t>
      </w:r>
    </w:p>
    <w:p w:rsidR="003A547D" w:rsidRPr="00C066D6" w:rsidRDefault="003A547D" w:rsidP="003A547D">
      <w:pPr>
        <w:pStyle w:val="Nadpis3"/>
      </w:pPr>
      <w:r w:rsidRPr="00C066D6">
        <w:t>3.2.2 Vyhodnocení rizika za požáru – případová studie kvantitativní analýzy</w:t>
      </w:r>
    </w:p>
    <w:p w:rsidR="003A547D" w:rsidRPr="00C066D6" w:rsidRDefault="003A547D" w:rsidP="003A547D">
      <w:r w:rsidRPr="00C066D6">
        <w:t>Pro ilustraci metodiky uvažujme jednosměrný silniční</w:t>
      </w:r>
      <w:r w:rsidR="007B798E" w:rsidRPr="00C066D6">
        <w:t xml:space="preserve"> tunel se dvěma pruhy na Obr. 12</w:t>
      </w:r>
      <w:r w:rsidR="00C066D6">
        <w:t>.</w:t>
      </w:r>
      <w:r w:rsidR="003062D1" w:rsidRPr="00C066D6">
        <w:t xml:space="preserve"> Jak je ukázáno dále, t</w:t>
      </w:r>
      <w:r w:rsidR="00DA1AA6" w:rsidRPr="00C066D6">
        <w:t xml:space="preserve">unel spadá podle TP </w:t>
      </w:r>
      <w:r w:rsidR="003062D1" w:rsidRPr="00C066D6">
        <w:t>98 do bezpečnostní kategorie TA</w:t>
      </w:r>
      <w:r w:rsidR="00DA1AA6" w:rsidRPr="00C066D6">
        <w:t>.</w:t>
      </w:r>
      <w:r w:rsidR="003062D1" w:rsidRPr="00C066D6">
        <w:t xml:space="preserve"> </w:t>
      </w:r>
    </w:p>
    <w:p w:rsidR="003A547D" w:rsidRPr="00C066D6" w:rsidRDefault="003A547D" w:rsidP="003A547D">
      <w:r w:rsidRPr="00C066D6">
        <w:t>Jako modelovou situaci předpokládejme homogenní dopravní proud</w:t>
      </w:r>
      <w:r w:rsidRPr="00C066D6">
        <w:rPr>
          <w:rStyle w:val="Znakapoznpodarou"/>
          <w:rFonts w:ascii="Times New Roman" w:hAnsi="Times New Roman" w:cs="Times New Roman"/>
        </w:rPr>
        <w:footnoteReference w:id="12"/>
      </w:r>
      <w:r w:rsidRPr="00C066D6">
        <w:t xml:space="preserve">, tvořený v referenčním </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3A547D" w:rsidRPr="00C066D6" w:rsidTr="008D1C58">
        <w:trPr>
          <w:jc w:val="center"/>
        </w:trPr>
        <w:tc>
          <w:tcPr>
            <w:tcW w:w="8640" w:type="dxa"/>
          </w:tcPr>
          <w:p w:rsidR="003A547D" w:rsidRPr="00C066D6" w:rsidRDefault="003A547D" w:rsidP="002F542E"/>
          <w:p w:rsidR="003A547D" w:rsidRPr="00C066D6" w:rsidRDefault="003A547D" w:rsidP="002F542E"/>
          <w:p w:rsidR="003A547D" w:rsidRPr="00C066D6" w:rsidRDefault="003A547D" w:rsidP="002F542E"/>
          <w:p w:rsidR="003A547D" w:rsidRPr="00C066D6" w:rsidRDefault="00F5699A" w:rsidP="002F542E">
            <w:r w:rsidRPr="00C066D6">
              <w:rPr>
                <w:noProof/>
                <w:lang w:eastAsia="cs-CZ"/>
              </w:rPr>
              <mc:AlternateContent>
                <mc:Choice Requires="wps">
                  <w:drawing>
                    <wp:anchor distT="0" distB="0" distL="114300" distR="114300" simplePos="0" relativeHeight="251661312" behindDoc="0" locked="0" layoutInCell="1" allowOverlap="1" wp14:anchorId="3D8D28C4" wp14:editId="6B61C2D7">
                      <wp:simplePos x="0" y="0"/>
                      <wp:positionH relativeFrom="margin">
                        <wp:posOffset>2156460</wp:posOffset>
                      </wp:positionH>
                      <wp:positionV relativeFrom="paragraph">
                        <wp:posOffset>117475</wp:posOffset>
                      </wp:positionV>
                      <wp:extent cx="734060" cy="284480"/>
                      <wp:effectExtent l="0" t="0" r="8890" b="127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060" cy="284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C47AC" w:rsidRPr="00457D06" w:rsidRDefault="00DC47AC" w:rsidP="008D1C58">
                                  <w:pPr>
                                    <w:jc w:val="center"/>
                                    <w:rPr>
                                      <w:lang w:val="en-US"/>
                                    </w:rPr>
                                  </w:pPr>
                                  <w:r w:rsidRPr="00457D06">
                                    <w:t xml:space="preserve">12.3 </w:t>
                                  </w:r>
                                  <w:r w:rsidRPr="00457D06">
                                    <w:rPr>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D28C4" id="Textové pole 17" o:spid="_x0000_s1030" type="#_x0000_t202" style="position:absolute;left:0;text-align:left;margin-left:169.8pt;margin-top:9.25pt;width:57.8pt;height:2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" fillcolor="white [3201]" stroked="f" strokeweight=".5pt">
                      <v:path arrowok="t"/>
                      <v:textbox>
                        <w:txbxContent>
                          <w:p w:rsidR="00DC47AC" w:rsidRPr="00457D06" w:rsidRDefault="00DC47AC" w:rsidP="008D1C58">
                            <w:pPr>
                              <w:jc w:val="center"/>
                              <w:rPr>
                                <w:lang w:val="en-US"/>
                              </w:rPr>
                            </w:pPr>
                            <w:r w:rsidRPr="00457D06">
                              <w:t xml:space="preserve">12.3 </w:t>
                            </w:r>
                            <w:r w:rsidRPr="00457D06">
                              <w:rPr>
                                <w:lang w:val="en-US"/>
                              </w:rPr>
                              <w:t>[m]</w:t>
                            </w:r>
                          </w:p>
                        </w:txbxContent>
                      </v:textbox>
                      <w10:wrap anchorx="margin"/>
                    </v:shape>
                  </w:pict>
                </mc:Fallback>
              </mc:AlternateContent>
            </w:r>
          </w:p>
          <w:p w:rsidR="003A547D" w:rsidRPr="00C066D6" w:rsidRDefault="003A547D" w:rsidP="002F542E"/>
          <w:p w:rsidR="003A547D" w:rsidRPr="00C066D6" w:rsidRDefault="00F5699A" w:rsidP="002F542E">
            <w:r w:rsidRPr="00C066D6">
              <w:rPr>
                <w:noProof/>
                <w:lang w:eastAsia="cs-CZ"/>
              </w:rPr>
              <mc:AlternateContent>
                <mc:Choice Requires="wps">
                  <w:drawing>
                    <wp:anchor distT="4294967295" distB="4294967295" distL="114300" distR="114300" simplePos="0" relativeHeight="251660288" behindDoc="0" locked="0" layoutInCell="1" allowOverlap="1" wp14:anchorId="207C9191" wp14:editId="65E92B09">
                      <wp:simplePos x="0" y="0"/>
                      <wp:positionH relativeFrom="column">
                        <wp:posOffset>1515745</wp:posOffset>
                      </wp:positionH>
                      <wp:positionV relativeFrom="paragraph">
                        <wp:posOffset>104140</wp:posOffset>
                      </wp:positionV>
                      <wp:extent cx="1950720" cy="0"/>
                      <wp:effectExtent l="38100" t="76200" r="11430" b="114300"/>
                      <wp:wrapNone/>
                      <wp:docPr id="12" name="Přímá spojnice se šipkou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0720" cy="0"/>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AC09CC9" id="_x0000_t32" coordsize="21600,21600" o:spt="32" o:oned="t" path="m,l21600,21600e" filled="f">
                      <v:path arrowok="t" fillok="f" o:connecttype="none"/>
                      <o:lock v:ext="edit" shapetype="t"/>
                    </v:shapetype>
                    <v:shape id="Přímá spojnice se šipkou 12" o:spid="_x0000_s1026" type="#_x0000_t32" style="position:absolute;margin-left:119.35pt;margin-top:8.2pt;width:153.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" strokecolor="black [3213]" strokeweight="1pt">
                      <v:stroke startarrow="open" endarrow="open" joinstyle="miter"/>
                      <o:lock v:ext="edit" shapetype="f"/>
                    </v:shape>
                  </w:pict>
                </mc:Fallback>
              </mc:AlternateContent>
            </w:r>
          </w:p>
          <w:p w:rsidR="003A547D" w:rsidRPr="00C066D6" w:rsidRDefault="003A547D" w:rsidP="002F542E"/>
          <w:p w:rsidR="003A547D" w:rsidRPr="00C066D6" w:rsidRDefault="003A547D" w:rsidP="002F542E"/>
          <w:p w:rsidR="003A547D" w:rsidRPr="00C066D6" w:rsidRDefault="003A547D" w:rsidP="002F542E"/>
          <w:p w:rsidR="003A547D" w:rsidRPr="00C066D6" w:rsidRDefault="003A547D" w:rsidP="002F542E"/>
          <w:p w:rsidR="003A547D" w:rsidRPr="00C066D6" w:rsidRDefault="003A547D" w:rsidP="002F542E"/>
          <w:p w:rsidR="003A547D" w:rsidRPr="00C066D6" w:rsidRDefault="003A547D" w:rsidP="002F542E">
            <w:r w:rsidRPr="00C066D6">
              <w:rPr>
                <w:noProof/>
                <w:lang w:eastAsia="cs-CZ"/>
              </w:rPr>
              <w:drawing>
                <wp:anchor distT="0" distB="0" distL="114300" distR="114300" simplePos="0" relativeHeight="251659264" behindDoc="0" locked="0" layoutInCell="1" allowOverlap="1" wp14:anchorId="3D24DD6C" wp14:editId="4A4F5A51">
                  <wp:simplePos x="0" y="0"/>
                  <wp:positionH relativeFrom="margin">
                    <wp:posOffset>1188085</wp:posOffset>
                  </wp:positionH>
                  <wp:positionV relativeFrom="page">
                    <wp:posOffset>37465</wp:posOffset>
                  </wp:positionV>
                  <wp:extent cx="2699385" cy="1919605"/>
                  <wp:effectExtent l="0" t="0" r="5715" b="4445"/>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jour_cross.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99385" cy="1919605"/>
                          </a:xfrm>
                          <a:prstGeom prst="rect">
                            <a:avLst/>
                          </a:prstGeom>
                        </pic:spPr>
                      </pic:pic>
                    </a:graphicData>
                  </a:graphic>
                </wp:anchor>
              </w:drawing>
            </w:r>
          </w:p>
        </w:tc>
      </w:tr>
      <w:tr w:rsidR="003A547D" w:rsidRPr="00C066D6" w:rsidTr="008D1C58">
        <w:trPr>
          <w:jc w:val="center"/>
        </w:trPr>
        <w:tc>
          <w:tcPr>
            <w:tcW w:w="8640" w:type="dxa"/>
          </w:tcPr>
          <w:p w:rsidR="003A547D" w:rsidRPr="00C066D6" w:rsidRDefault="003A547D" w:rsidP="008D1C58">
            <w:pPr>
              <w:spacing w:after="120"/>
              <w:jc w:val="center"/>
            </w:pPr>
            <w:bookmarkStart w:id="4" w:name="_Ref435881169"/>
            <w:r w:rsidRPr="00C066D6">
              <w:t xml:space="preserve">Obr. </w:t>
            </w:r>
            <w:bookmarkEnd w:id="4"/>
            <w:r w:rsidR="007B798E" w:rsidRPr="00C066D6">
              <w:t>12</w:t>
            </w:r>
            <w:r w:rsidRPr="00C066D6">
              <w:t xml:space="preserve"> Typický průřez silničního tunelu se dvěma pruhy</w:t>
            </w:r>
          </w:p>
        </w:tc>
      </w:tr>
    </w:tbl>
    <w:p w:rsidR="008D1C58" w:rsidRPr="00C066D6" w:rsidRDefault="008D1C58" w:rsidP="003A547D"/>
    <w:p w:rsidR="003A547D" w:rsidRPr="00C066D6" w:rsidRDefault="003A547D" w:rsidP="00364908">
      <w:r w:rsidRPr="00C066D6">
        <w:t xml:space="preserve">úseku délky </w:t>
      </w:r>
      <w:r w:rsidRPr="00C066D6">
        <w:rPr>
          <w:i/>
        </w:rPr>
        <w:t xml:space="preserve">L = </w:t>
      </w:r>
      <w:r w:rsidRPr="00C066D6">
        <w:t xml:space="preserve">1 km osmi PC a jedním TB v pruhu 1, a čtyřmi PC, jedním TB a jednou sériovou dvojicí TB v pruhu 2. Abychom mohli ve výpočtech zvážit délky vozidel, předpokládejme pro </w:t>
      </w:r>
      <w:r w:rsidRPr="00C066D6">
        <w:lastRenderedPageBreak/>
        <w:t xml:space="preserve">určitost, že délka PC = </w:t>
      </w:r>
      <m:oMath>
        <m:r>
          <m:rPr>
            <m:sty m:val="p"/>
          </m:rPr>
          <w:rPr>
            <w:rFonts w:ascii="Cambria Math" w:hAnsi="Cambria Math"/>
          </w:rPr>
          <m:t>Δ</m:t>
        </m:r>
        <m:r>
          <w:rPr>
            <w:rFonts w:ascii="Cambria Math" w:hAnsi="Cambria Math"/>
          </w:rPr>
          <m:t>x</m:t>
        </m:r>
      </m:oMath>
      <w:r w:rsidRPr="00C066D6">
        <w:t xml:space="preserve">, délka TB = </w:t>
      </w:r>
      <m:oMath>
        <m:r>
          <w:rPr>
            <w:rFonts w:ascii="Cambria Math" w:hAnsi="Cambria Math"/>
          </w:rPr>
          <m:t>3</m:t>
        </m:r>
        <m:r>
          <m:rPr>
            <m:sty m:val="p"/>
          </m:rPr>
          <w:rPr>
            <w:rFonts w:ascii="Cambria Math" w:hAnsi="Cambria Math"/>
          </w:rPr>
          <m:t>Δ</m:t>
        </m:r>
        <m:r>
          <w:rPr>
            <w:rFonts w:ascii="Cambria Math" w:hAnsi="Cambria Math"/>
          </w:rPr>
          <m:t>x</m:t>
        </m:r>
      </m:oMath>
      <w:r w:rsidRPr="00C066D6">
        <w:t xml:space="preserve"> a délka sériové dvojice = </w:t>
      </w:r>
      <m:oMath>
        <m:r>
          <w:rPr>
            <w:rFonts w:ascii="Cambria Math" w:hAnsi="Cambria Math"/>
          </w:rPr>
          <m:t>7</m:t>
        </m:r>
        <m:r>
          <m:rPr>
            <m:sty m:val="p"/>
          </m:rPr>
          <w:rPr>
            <w:rFonts w:ascii="Cambria Math" w:hAnsi="Cambria Math"/>
          </w:rPr>
          <m:t>Δ</m:t>
        </m:r>
        <m:r>
          <w:rPr>
            <w:rFonts w:ascii="Cambria Math" w:hAnsi="Cambria Math"/>
          </w:rPr>
          <m:t>x</m:t>
        </m:r>
      </m:oMath>
      <w:r w:rsidRPr="00C066D6">
        <w:t xml:space="preserve">, tj. 2 TB s odstupem </w:t>
      </w:r>
      <m:oMath>
        <m:r>
          <m:rPr>
            <m:sty m:val="p"/>
          </m:rPr>
          <w:rPr>
            <w:rFonts w:ascii="Cambria Math" w:hAnsi="Cambria Math"/>
          </w:rPr>
          <m:t>Δ</m:t>
        </m:r>
        <m:r>
          <w:rPr>
            <w:rFonts w:ascii="Cambria Math" w:hAnsi="Cambria Math"/>
          </w:rPr>
          <m:t>x=5</m:t>
        </m:r>
      </m:oMath>
      <w:r w:rsidRPr="00C066D6">
        <w:t xml:space="preserve"> [m]. Bude-li pro jednoduchost studie vyloučeno přejíždění mezi pruhy, lze při konstantní rychlosti dopravního proudu spočítat homogenní (stacionární) pravděpodobnosti základních stavů V, PC, TB, označené symboly. </w:t>
      </w:r>
      <w:r w:rsidRPr="00C066D6">
        <w:rPr>
          <w:i/>
        </w:rPr>
        <w:t>P</w:t>
      </w:r>
      <w:r w:rsidRPr="00C066D6">
        <w:rPr>
          <w:vertAlign w:val="subscript"/>
        </w:rPr>
        <w:t>0</w:t>
      </w:r>
      <w:r w:rsidRPr="00C066D6">
        <w:t xml:space="preserve">, </w:t>
      </w:r>
      <w:r w:rsidRPr="00C066D6">
        <w:rPr>
          <w:i/>
        </w:rPr>
        <w:t>P</w:t>
      </w:r>
      <w:r w:rsidRPr="00C066D6">
        <w:rPr>
          <w:vertAlign w:val="subscript"/>
        </w:rPr>
        <w:t>1</w:t>
      </w:r>
      <w:r w:rsidRPr="00C066D6">
        <w:t xml:space="preserve">, </w:t>
      </w:r>
      <w:r w:rsidRPr="00C066D6">
        <w:rPr>
          <w:i/>
        </w:rPr>
        <w:t>P</w:t>
      </w:r>
      <w:r w:rsidRPr="00C066D6">
        <w:rPr>
          <w:vertAlign w:val="subscript"/>
        </w:rPr>
        <w:t>2</w:t>
      </w:r>
      <w:r w:rsidRPr="00C066D6">
        <w:t xml:space="preserve">, a to na základě délky pobytu těchto stavů stavu v úseku </w:t>
      </w:r>
      <w:r w:rsidRPr="00C066D6">
        <w:rPr>
          <w:i/>
        </w:rPr>
        <w:t xml:space="preserve">L = </w:t>
      </w:r>
      <w:r w:rsidRPr="00C066D6">
        <w:t xml:space="preserve">200 </w:t>
      </w:r>
      <m:oMath>
        <m:r>
          <m:rPr>
            <m:sty m:val="p"/>
          </m:rPr>
          <w:rPr>
            <w:rFonts w:ascii="Cambria Math" w:hAnsi="Cambria Math"/>
          </w:rPr>
          <m:t>Δ</m:t>
        </m:r>
        <m:r>
          <w:rPr>
            <w:rFonts w:ascii="Cambria Math" w:hAnsi="Cambria Math"/>
          </w:rPr>
          <m:t>x</m:t>
        </m:r>
      </m:oMath>
      <w:r w:rsidRPr="00C066D6">
        <w:t xml:space="preserve"> (např. v pruhu 1: </w:t>
      </w:r>
      <m:oMath>
        <m:sSub>
          <m:sSubPr>
            <m:ctrlPr>
              <w:rPr>
                <w:rFonts w:ascii="Cambria Math" w:hAnsi="Cambria Math"/>
                <w:i/>
                <w:lang w:val="en-US"/>
              </w:rPr>
            </m:ctrlPr>
          </m:sSubPr>
          <m:e>
            <m:r>
              <w:rPr>
                <w:rFonts w:ascii="Cambria Math" w:hAnsi="Cambria Math"/>
              </w:rPr>
              <m:t>P</m:t>
            </m:r>
            <m:ctrlPr>
              <w:rPr>
                <w:rFonts w:ascii="Cambria Math" w:hAnsi="Cambria Math"/>
                <w:i/>
              </w:rPr>
            </m:ctrlPr>
          </m:e>
          <m:sub>
            <m:r>
              <w:rPr>
                <w:rFonts w:ascii="Cambria Math" w:hAnsi="Cambria Math"/>
              </w:rPr>
              <m:t>0</m:t>
            </m:r>
          </m:sub>
        </m:sSub>
        <m:r>
          <w:rPr>
            <w:rFonts w:ascii="Cambria Math" w:hAnsi="Cambria Math"/>
          </w:rPr>
          <m:t>=</m:t>
        </m:r>
      </m:oMath>
      <w:r w:rsidRPr="00C066D6">
        <w:t xml:space="preserve"> 191/200, </w:t>
      </w:r>
      <m:oMath>
        <m:sSub>
          <m:sSubPr>
            <m:ctrlPr>
              <w:rPr>
                <w:rFonts w:ascii="Cambria Math" w:hAnsi="Cambria Math"/>
                <w:i/>
                <w:lang w:val="en-US"/>
              </w:rPr>
            </m:ctrlPr>
          </m:sSubPr>
          <m:e>
            <m:r>
              <w:rPr>
                <w:rFonts w:ascii="Cambria Math" w:hAnsi="Cambria Math"/>
              </w:rPr>
              <m:t>P</m:t>
            </m:r>
            <m:ctrlPr>
              <w:rPr>
                <w:rFonts w:ascii="Cambria Math" w:hAnsi="Cambria Math"/>
                <w:i/>
              </w:rPr>
            </m:ctrlPr>
          </m:e>
          <m:sub>
            <m:r>
              <w:rPr>
                <w:rFonts w:ascii="Cambria Math" w:hAnsi="Cambria Math"/>
              </w:rPr>
              <m:t>1</m:t>
            </m:r>
          </m:sub>
        </m:sSub>
        <m:r>
          <w:rPr>
            <w:rFonts w:ascii="Cambria Math" w:hAnsi="Cambria Math"/>
          </w:rPr>
          <m:t>=</m:t>
        </m:r>
      </m:oMath>
      <w:r w:rsidRPr="00C066D6">
        <w:t xml:space="preserve"> 8/200, </w:t>
      </w:r>
      <m:oMath>
        <m:sSub>
          <m:sSubPr>
            <m:ctrlPr>
              <w:rPr>
                <w:rFonts w:ascii="Cambria Math" w:hAnsi="Cambria Math"/>
                <w:i/>
                <w:lang w:val="en-US"/>
              </w:rPr>
            </m:ctrlPr>
          </m:sSubPr>
          <m:e>
            <m:r>
              <w:rPr>
                <w:rFonts w:ascii="Cambria Math" w:hAnsi="Cambria Math"/>
              </w:rPr>
              <m:t>P</m:t>
            </m:r>
            <m:ctrlPr>
              <w:rPr>
                <w:rFonts w:ascii="Cambria Math" w:hAnsi="Cambria Math"/>
                <w:i/>
              </w:rPr>
            </m:ctrlPr>
          </m:e>
          <m:sub>
            <m:r>
              <w:rPr>
                <w:rFonts w:ascii="Cambria Math" w:hAnsi="Cambria Math"/>
              </w:rPr>
              <m:t>2</m:t>
            </m:r>
          </m:sub>
        </m:sSub>
        <m:r>
          <w:rPr>
            <w:rFonts w:ascii="Cambria Math" w:hAnsi="Cambria Math"/>
          </w:rPr>
          <m:t>=</m:t>
        </m:r>
      </m:oMath>
      <w:r w:rsidRPr="00C066D6">
        <w:t xml:space="preserve"> 3/200). Pravděpodobnosti možných požárních scénářů pak získáme (za podmínky statistické nezávislosti proudů v dílčích pruzích) jako součiny pravděpodobností základních stavů v sousedních pruzích</w:t>
      </w:r>
      <w:r w:rsidRPr="00C066D6">
        <w:rPr>
          <w:rStyle w:val="Znakapoznpodarou"/>
          <w:rFonts w:ascii="Times New Roman" w:hAnsi="Times New Roman" w:cs="Times New Roman"/>
        </w:rPr>
        <w:footnoteReference w:id="13"/>
      </w:r>
      <w:r w:rsidRPr="00C066D6">
        <w:t xml:space="preserve">. Pravděpodobnost, že alespoň jedno vozidlo TB je zasaženo požárem, je takto odhadnuta jako </w:t>
      </w:r>
      <m:oMath>
        <m:sSubSup>
          <m:sSubSupPr>
            <m:ctrlPr>
              <w:rPr>
                <w:rFonts w:ascii="Cambria Math" w:hAnsi="Cambria Math"/>
                <w:i/>
              </w:rPr>
            </m:ctrlPr>
          </m:sSubSupPr>
          <m:e>
            <m:r>
              <w:rPr>
                <w:rFonts w:ascii="Cambria Math" w:hAnsi="Cambria Math"/>
              </w:rPr>
              <m:t>P</m:t>
            </m:r>
          </m:e>
          <m:sub>
            <m:r>
              <m:rPr>
                <m:sty m:val="p"/>
              </m:rPr>
              <w:rPr>
                <w:rFonts w:ascii="Cambria Math" w:hAnsi="Cambria Math"/>
              </w:rPr>
              <m:t>f</m:t>
            </m:r>
          </m:sub>
          <m:sup>
            <m:d>
              <m:dPr>
                <m:begChr m:val="["/>
                <m:endChr m:val="]"/>
                <m:ctrlPr>
                  <w:rPr>
                    <w:rFonts w:ascii="Cambria Math" w:hAnsi="Cambria Math"/>
                    <w:i/>
                  </w:rPr>
                </m:ctrlPr>
              </m:dPr>
              <m:e>
                <m:r>
                  <w:rPr>
                    <w:rFonts w:ascii="Cambria Math" w:hAnsi="Cambria Math"/>
                  </w:rPr>
                  <m:t>1</m:t>
                </m:r>
              </m:e>
            </m:d>
          </m:sup>
        </m:sSubSup>
        <m:r>
          <w:rPr>
            <w:rFonts w:ascii="Cambria Math" w:hAnsi="Cambria Math"/>
          </w:rPr>
          <m:t>=</m:t>
        </m:r>
      </m:oMath>
      <w:r w:rsidRPr="00C066D6">
        <w:t xml:space="preserve"> 0.452 [-] (součet pravděpodobností výskytu sdružených stavů  (V,TB), (TB,V), (PC,TB), (TB,PC)) a </w:t>
      </w:r>
      <m:oMath>
        <m:sSubSup>
          <m:sSubSupPr>
            <m:ctrlPr>
              <w:rPr>
                <w:rFonts w:ascii="Cambria Math" w:hAnsi="Cambria Math"/>
                <w:i/>
              </w:rPr>
            </m:ctrlPr>
          </m:sSubSupPr>
          <m:e>
            <m:r>
              <w:rPr>
                <w:rFonts w:ascii="Cambria Math" w:hAnsi="Cambria Math"/>
              </w:rPr>
              <m:t>P</m:t>
            </m:r>
          </m:e>
          <m:sub>
            <m:r>
              <m:rPr>
                <m:sty m:val="p"/>
              </m:rPr>
              <w:rPr>
                <w:rFonts w:ascii="Cambria Math" w:hAnsi="Cambria Math"/>
              </w:rPr>
              <m:t>f</m:t>
            </m:r>
          </m:sub>
          <m:sup>
            <m:d>
              <m:dPr>
                <m:begChr m:val="["/>
                <m:endChr m:val="]"/>
                <m:ctrlPr>
                  <w:rPr>
                    <w:rFonts w:ascii="Cambria Math" w:hAnsi="Cambria Math"/>
                    <w:i/>
                  </w:rPr>
                </m:ctrlPr>
              </m:dPr>
              <m:e>
                <m:r>
                  <w:rPr>
                    <w:rFonts w:ascii="Cambria Math" w:hAnsi="Cambria Math"/>
                  </w:rPr>
                  <m:t>2</m:t>
                </m:r>
              </m:e>
            </m:d>
          </m:sup>
        </m:sSubSup>
        <m:r>
          <w:rPr>
            <w:rFonts w:ascii="Cambria Math" w:hAnsi="Cambria Math"/>
          </w:rPr>
          <m:t>=</m:t>
        </m:r>
      </m:oMath>
      <w:r w:rsidRPr="00C066D6">
        <w:t xml:space="preserve"> 0.548 [-] pro dvojici (TB,TB),</w:t>
      </w:r>
      <w:r w:rsidR="003B6A1C" w:rsidRPr="00C066D6">
        <w:t>[12]</w:t>
      </w:r>
      <w:r w:rsidR="00364908" w:rsidRPr="00C066D6">
        <w:t xml:space="preserve">, </w:t>
      </w:r>
      <w:r w:rsidR="003B6A1C" w:rsidRPr="00C066D6">
        <w:t>[13]</w:t>
      </w:r>
      <w:r w:rsidR="00364908" w:rsidRPr="00C066D6">
        <w:t xml:space="preserve">, </w:t>
      </w:r>
      <w:r w:rsidR="003B6A1C" w:rsidRPr="00C066D6">
        <w:t>[14]</w:t>
      </w:r>
      <w:r w:rsidRPr="00C066D6">
        <w:t xml:space="preserve">. </w:t>
      </w:r>
    </w:p>
    <w:p w:rsidR="003A547D" w:rsidRPr="00C066D6" w:rsidRDefault="003A547D" w:rsidP="003A547D">
      <w:r w:rsidRPr="00C066D6">
        <w:t xml:space="preserve">Pro předpoklady přijaté v této případové studii (nezávislost modelových parametrů na poloze </w:t>
      </w:r>
      <w:r w:rsidRPr="00C066D6">
        <w:rPr>
          <w:i/>
        </w:rPr>
        <w:t xml:space="preserve">x </w:t>
      </w:r>
      <w:r w:rsidRPr="00C066D6">
        <w:t>v podélném směru) přejdou obecné vzorce</w:t>
      </w:r>
      <w:r w:rsidR="001B1F33" w:rsidRPr="00C066D6">
        <w:t xml:space="preserve"> pro riziko</w:t>
      </w:r>
      <w:r w:rsidRPr="00C066D6">
        <w:t xml:space="preserve"> na jednoduchý tvar: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567"/>
      </w:tblGrid>
      <w:tr w:rsidR="003A547D" w:rsidRPr="00C066D6" w:rsidTr="009748F6">
        <w:tc>
          <w:tcPr>
            <w:tcW w:w="8505" w:type="dxa"/>
          </w:tcPr>
          <w:p w:rsidR="003A547D" w:rsidRPr="00C066D6" w:rsidRDefault="003A547D" w:rsidP="002F542E">
            <w:pPr>
              <w:rPr>
                <w:rFonts w:ascii="Times New Roman" w:hAnsi="Times New Roman"/>
              </w:rPr>
            </w:pPr>
            <m:oMath>
              <m:r>
                <m:rPr>
                  <m:sty m:val="p"/>
                </m:rPr>
                <w:rPr>
                  <w:rFonts w:ascii="Cambria Math" w:hAnsi="Cambria Math"/>
                </w:rPr>
                <m:t xml:space="preserve">      RISK=</m:t>
              </m:r>
              <m:r>
                <w:rPr>
                  <w:rFonts w:ascii="Cambria Math" w:hAnsi="Cambria Math"/>
                </w:rPr>
                <m:t>TL</m:t>
              </m:r>
              <m:d>
                <m:dPr>
                  <m:begChr m:val="{"/>
                  <m:endChr m:val="}"/>
                  <m:ctrlPr>
                    <w:rPr>
                      <w:rFonts w:ascii="Cambria Math" w:hAnsi="Cambria Math"/>
                      <w:lang w:val="en-US"/>
                    </w:rPr>
                  </m:ctrlPr>
                </m:dPr>
                <m:e>
                  <m:r>
                    <m:rPr>
                      <m:sty m:val="p"/>
                    </m:rPr>
                    <w:rPr>
                      <w:rFonts w:ascii="Cambria Math" w:hAnsi="Cambria Math"/>
                    </w:rPr>
                    <m:t>AADT</m:t>
                  </m:r>
                </m:e>
              </m:d>
              <m:sSub>
                <m:sSubPr>
                  <m:ctrlPr>
                    <w:rPr>
                      <w:rFonts w:ascii="Cambria Math" w:hAnsi="Cambria Math"/>
                      <w:lang w:val="en-US"/>
                    </w:rPr>
                  </m:ctrlPr>
                </m:sSubPr>
                <m:e>
                  <m:r>
                    <w:rPr>
                      <w:rFonts w:ascii="Cambria Math" w:hAnsi="Cambria Math"/>
                    </w:rPr>
                    <m:t>λ</m:t>
                  </m:r>
                </m:e>
                <m:sub>
                  <m:r>
                    <m:rPr>
                      <m:sty m:val="p"/>
                    </m:rPr>
                    <w:rPr>
                      <w:rFonts w:ascii="Cambria Math" w:hAnsi="Cambria Math"/>
                    </w:rPr>
                    <m:t>f</m:t>
                  </m:r>
                </m:sub>
              </m:sSub>
              <m:d>
                <m:dPr>
                  <m:ctrlPr>
                    <w:rPr>
                      <w:rFonts w:ascii="Cambria Math" w:hAnsi="Cambria Math"/>
                      <w:lang w:val="en-US"/>
                    </w:rPr>
                  </m:ctrlPr>
                </m:dPr>
                <m:e>
                  <m:nary>
                    <m:naryPr>
                      <m:chr m:val="∑"/>
                      <m:supHide m:val="1"/>
                      <m:ctrlPr>
                        <w:rPr>
                          <w:rFonts w:ascii="Cambria Math" w:hAnsi="Cambria Math"/>
                          <w:lang w:val="en-US"/>
                        </w:rPr>
                      </m:ctrlPr>
                    </m:naryPr>
                    <m:sub>
                      <m:sSub>
                        <m:sSubPr>
                          <m:ctrlPr>
                            <w:rPr>
                              <w:rFonts w:ascii="Cambria Math" w:hAnsi="Cambria Math"/>
                              <w:lang w:val="en-US"/>
                            </w:rPr>
                          </m:ctrlPr>
                        </m:sSubPr>
                        <m:e>
                          <m:r>
                            <w:rPr>
                              <w:rFonts w:ascii="Cambria Math" w:hAnsi="Cambria Math"/>
                            </w:rPr>
                            <m:t>q</m:t>
                          </m:r>
                        </m:e>
                        <m:sub>
                          <m:r>
                            <m:rPr>
                              <m:sty m:val="p"/>
                            </m:rPr>
                            <w:rPr>
                              <w:rFonts w:ascii="Cambria Math" w:hAnsi="Cambria Math"/>
                            </w:rPr>
                            <m:t>1</m:t>
                          </m:r>
                        </m:sub>
                      </m:sSub>
                      <m:r>
                        <m:rPr>
                          <m:sty m:val="p"/>
                        </m:rPr>
                        <w:rPr>
                          <w:rFonts w:ascii="Cambria Math" w:hAnsi="Cambria Math"/>
                        </w:rPr>
                        <m:t>=5,30,100</m:t>
                      </m:r>
                    </m:sub>
                    <m:sup/>
                    <m:e>
                      <m:sSubSup>
                        <m:sSubSupPr>
                          <m:ctrlPr>
                            <w:rPr>
                              <w:rFonts w:ascii="Cambria Math" w:hAnsi="Cambria Math"/>
                              <w:lang w:val="en-US"/>
                            </w:rPr>
                          </m:ctrlPr>
                        </m:sSubSupPr>
                        <m:e>
                          <m:r>
                            <w:rPr>
                              <w:rFonts w:ascii="Cambria Math" w:hAnsi="Cambria Math"/>
                            </w:rPr>
                            <m:t>V</m:t>
                          </m:r>
                        </m:e>
                        <m:sub>
                          <m:r>
                            <m:rPr>
                              <m:sty m:val="p"/>
                            </m:rPr>
                            <w:rPr>
                              <w:rFonts w:ascii="Cambria Math" w:hAnsi="Cambria Math"/>
                            </w:rPr>
                            <m:t>dam</m:t>
                          </m:r>
                        </m:sub>
                        <m:sup>
                          <m:d>
                            <m:dPr>
                              <m:begChr m:val="["/>
                              <m:endChr m:val="]"/>
                              <m:ctrlPr>
                                <w:rPr>
                                  <w:rFonts w:ascii="Cambria Math" w:hAnsi="Cambria Math"/>
                                  <w:lang w:val="en-US"/>
                                </w:rPr>
                              </m:ctrlPr>
                            </m:dPr>
                            <m:e>
                              <m:r>
                                <m:rPr>
                                  <m:sty m:val="p"/>
                                </m:rPr>
                                <w:rPr>
                                  <w:rFonts w:ascii="Cambria Math" w:hAnsi="Cambria Math"/>
                                </w:rPr>
                                <m:t>1</m:t>
                              </m:r>
                            </m:e>
                          </m:d>
                        </m:sup>
                      </m:sSubSup>
                    </m:e>
                  </m:nary>
                  <m:d>
                    <m:dPr>
                      <m:ctrlPr>
                        <w:rPr>
                          <w:rFonts w:ascii="Cambria Math" w:hAnsi="Cambria Math"/>
                          <w:lang w:val="en-US"/>
                        </w:rPr>
                      </m:ctrlPr>
                    </m:dPr>
                    <m:e>
                      <m:sSub>
                        <m:sSubPr>
                          <m:ctrlPr>
                            <w:rPr>
                              <w:rFonts w:ascii="Cambria Math" w:hAnsi="Cambria Math"/>
                              <w:lang w:val="en-US"/>
                            </w:rPr>
                          </m:ctrlPr>
                        </m:sSubPr>
                        <m:e>
                          <m:r>
                            <w:rPr>
                              <w:rFonts w:ascii="Cambria Math" w:hAnsi="Cambria Math"/>
                            </w:rPr>
                            <m:t>q</m:t>
                          </m:r>
                        </m:e>
                        <m:sub>
                          <m:r>
                            <m:rPr>
                              <m:sty m:val="p"/>
                            </m:rPr>
                            <w:rPr>
                              <w:rFonts w:ascii="Cambria Math" w:hAnsi="Cambria Math"/>
                            </w:rPr>
                            <m:t>1</m:t>
                          </m:r>
                        </m:sub>
                      </m:sSub>
                    </m:e>
                  </m:d>
                  <m:sSub>
                    <m:sSubPr>
                      <m:ctrlPr>
                        <w:rPr>
                          <w:rFonts w:ascii="Cambria Math" w:hAnsi="Cambria Math"/>
                          <w:lang w:val="en-US"/>
                        </w:rPr>
                      </m:ctrlPr>
                    </m:sSubPr>
                    <m:e>
                      <m:r>
                        <w:rPr>
                          <w:rFonts w:ascii="Cambria Math" w:hAnsi="Cambria Math"/>
                        </w:rPr>
                        <m:t>p</m:t>
                      </m:r>
                    </m:e>
                    <m:sub>
                      <m:sSub>
                        <m:sSubPr>
                          <m:ctrlPr>
                            <w:rPr>
                              <w:rFonts w:ascii="Cambria Math" w:hAnsi="Cambria Math"/>
                              <w:lang w:val="en-US"/>
                            </w:rPr>
                          </m:ctrlPr>
                        </m:sSubPr>
                        <m:e>
                          <m:r>
                            <w:rPr>
                              <w:rFonts w:ascii="Cambria Math" w:hAnsi="Cambria Math"/>
                            </w:rPr>
                            <m:t>Q</m:t>
                          </m:r>
                        </m:e>
                        <m:sub>
                          <m:r>
                            <m:rPr>
                              <m:sty m:val="p"/>
                            </m:rPr>
                            <w:rPr>
                              <w:rFonts w:ascii="Cambria Math" w:hAnsi="Cambria Math"/>
                            </w:rPr>
                            <m:t>1</m:t>
                          </m:r>
                        </m:sub>
                      </m:sSub>
                    </m:sub>
                  </m:sSub>
                  <m:d>
                    <m:dPr>
                      <m:ctrlPr>
                        <w:rPr>
                          <w:rFonts w:ascii="Cambria Math" w:hAnsi="Cambria Math"/>
                          <w:lang w:val="en-US"/>
                        </w:rPr>
                      </m:ctrlPr>
                    </m:dPr>
                    <m:e>
                      <m:sSub>
                        <m:sSubPr>
                          <m:ctrlPr>
                            <w:rPr>
                              <w:rFonts w:ascii="Cambria Math" w:hAnsi="Cambria Math"/>
                              <w:lang w:val="en-US"/>
                            </w:rPr>
                          </m:ctrlPr>
                        </m:sSubPr>
                        <m:e>
                          <m:r>
                            <w:rPr>
                              <w:rFonts w:ascii="Cambria Math" w:hAnsi="Cambria Math"/>
                            </w:rPr>
                            <m:t>q</m:t>
                          </m:r>
                        </m:e>
                        <m:sub>
                          <m:r>
                            <m:rPr>
                              <m:sty m:val="p"/>
                            </m:rPr>
                            <w:rPr>
                              <w:rFonts w:ascii="Cambria Math" w:hAnsi="Cambria Math"/>
                            </w:rPr>
                            <m:t>1</m:t>
                          </m:r>
                        </m:sub>
                      </m:sSub>
                    </m:e>
                  </m:d>
                </m:e>
              </m:d>
              <m:sSup>
                <m:sSupPr>
                  <m:ctrlPr>
                    <w:rPr>
                      <w:rFonts w:ascii="Cambria Math" w:hAnsi="Cambria Math"/>
                      <w:lang w:val="en-US"/>
                    </w:rPr>
                  </m:ctrlPr>
                </m:sSupPr>
                <m:e>
                  <m:r>
                    <w:rPr>
                      <w:rFonts w:ascii="Cambria Math" w:hAnsi="Cambria Math"/>
                    </w:rPr>
                    <m:t>κ</m:t>
                  </m:r>
                </m:e>
                <m:sup>
                  <m:d>
                    <m:dPr>
                      <m:begChr m:val="["/>
                      <m:endChr m:val="]"/>
                      <m:ctrlPr>
                        <w:rPr>
                          <w:rFonts w:ascii="Cambria Math" w:hAnsi="Cambria Math"/>
                          <w:lang w:val="en-US"/>
                        </w:rPr>
                      </m:ctrlPr>
                    </m:dPr>
                    <m:e>
                      <m:r>
                        <m:rPr>
                          <m:sty m:val="p"/>
                        </m:rPr>
                        <w:rPr>
                          <w:rFonts w:ascii="Cambria Math" w:hAnsi="Cambria Math"/>
                        </w:rPr>
                        <m:t>1</m:t>
                      </m:r>
                    </m:e>
                  </m:d>
                </m:sup>
              </m:sSup>
              <m:sSubSup>
                <m:sSubSupPr>
                  <m:ctrlPr>
                    <w:rPr>
                      <w:rFonts w:ascii="Cambria Math" w:hAnsi="Cambria Math"/>
                      <w:lang w:val="en-US"/>
                    </w:rPr>
                  </m:ctrlPr>
                </m:sSubSupPr>
                <m:e>
                  <m:r>
                    <w:rPr>
                      <w:rFonts w:ascii="Cambria Math" w:hAnsi="Cambria Math"/>
                    </w:rPr>
                    <m:t>P</m:t>
                  </m:r>
                </m:e>
                <m:sub>
                  <m:r>
                    <m:rPr>
                      <m:sty m:val="p"/>
                    </m:rPr>
                    <w:rPr>
                      <w:rFonts w:ascii="Cambria Math" w:hAnsi="Cambria Math"/>
                    </w:rPr>
                    <m:t>f</m:t>
                  </m:r>
                </m:sub>
                <m:sup>
                  <m:d>
                    <m:dPr>
                      <m:begChr m:val="["/>
                      <m:endChr m:val="]"/>
                      <m:ctrlPr>
                        <w:rPr>
                          <w:rFonts w:ascii="Cambria Math" w:hAnsi="Cambria Math"/>
                          <w:lang w:val="en-US"/>
                        </w:rPr>
                      </m:ctrlPr>
                    </m:dPr>
                    <m:e>
                      <m:r>
                        <m:rPr>
                          <m:sty m:val="p"/>
                        </m:rPr>
                        <w:rPr>
                          <w:rFonts w:ascii="Cambria Math" w:hAnsi="Cambria Math"/>
                        </w:rPr>
                        <m:t>1</m:t>
                      </m:r>
                    </m:e>
                  </m:d>
                </m:sup>
              </m:sSubSup>
            </m:oMath>
            <w:r w:rsidRPr="00C066D6">
              <w:rPr>
                <w:rFonts w:ascii="Times New Roman" w:hAnsi="Times New Roman"/>
              </w:rPr>
              <w:t xml:space="preserve"> +</w:t>
            </w:r>
          </w:p>
          <w:p w:rsidR="003A547D" w:rsidRPr="00C066D6" w:rsidRDefault="003A547D" w:rsidP="002F542E">
            <w:pPr>
              <w:rPr>
                <w:rFonts w:ascii="Times New Roman" w:hAnsi="Times New Roman"/>
              </w:rPr>
            </w:pPr>
            <m:oMathPara>
              <m:oMath>
                <m:r>
                  <m:rPr>
                    <m:sty m:val="p"/>
                  </m:rPr>
                  <w:rPr>
                    <w:rFonts w:ascii="Cambria Math" w:hAnsi="Cambria Math"/>
                  </w:rPr>
                  <m:t>+</m:t>
                </m:r>
                <m:r>
                  <w:rPr>
                    <w:rFonts w:ascii="Cambria Math" w:hAnsi="Cambria Math"/>
                    <w:lang w:val="en-US"/>
                  </w:rPr>
                  <m:t>TL</m:t>
                </m:r>
                <m:d>
                  <m:dPr>
                    <m:begChr m:val="{"/>
                    <m:endChr m:val="}"/>
                    <m:ctrlPr>
                      <w:rPr>
                        <w:rFonts w:ascii="Cambria Math" w:hAnsi="Cambria Math"/>
                        <w:lang w:val="en-US"/>
                      </w:rPr>
                    </m:ctrlPr>
                  </m:dPr>
                  <m:e>
                    <m:r>
                      <m:rPr>
                        <m:sty m:val="p"/>
                      </m:rPr>
                      <w:rPr>
                        <w:rFonts w:ascii="Cambria Math" w:hAnsi="Cambria Math"/>
                        <w:lang w:val="en-US"/>
                      </w:rPr>
                      <m:t>AADT</m:t>
                    </m:r>
                  </m:e>
                </m:d>
                <m:sSub>
                  <m:sSubPr>
                    <m:ctrlPr>
                      <w:rPr>
                        <w:rFonts w:ascii="Cambria Math" w:hAnsi="Cambria Math"/>
                        <w:lang w:val="en-US"/>
                      </w:rPr>
                    </m:ctrlPr>
                  </m:sSubPr>
                  <m:e>
                    <m:r>
                      <w:rPr>
                        <w:rFonts w:ascii="Cambria Math" w:hAnsi="Cambria Math"/>
                        <w:lang w:val="en-US"/>
                      </w:rPr>
                      <m:t>λ</m:t>
                    </m:r>
                  </m:e>
                  <m:sub>
                    <m:r>
                      <m:rPr>
                        <m:sty m:val="p"/>
                      </m:rPr>
                      <w:rPr>
                        <w:rFonts w:ascii="Cambria Math" w:hAnsi="Cambria Math"/>
                        <w:lang w:val="en-US"/>
                      </w:rPr>
                      <m:t>f</m:t>
                    </m:r>
                  </m:sub>
                </m:sSub>
                <m:d>
                  <m:dPr>
                    <m:ctrlPr>
                      <w:rPr>
                        <w:rFonts w:ascii="Cambria Math" w:hAnsi="Cambria Math"/>
                        <w:lang w:val="en-US"/>
                      </w:rPr>
                    </m:ctrlPr>
                  </m:dPr>
                  <m:e>
                    <m:nary>
                      <m:naryPr>
                        <m:chr m:val="∑"/>
                        <m:supHide m:val="1"/>
                        <m:ctrlPr>
                          <w:rPr>
                            <w:rFonts w:ascii="Cambria Math" w:hAnsi="Cambria Math"/>
                            <w:lang w:val="en-US"/>
                          </w:rPr>
                        </m:ctrlPr>
                      </m:naryPr>
                      <m:sub>
                        <m:sSub>
                          <m:sSubPr>
                            <m:ctrlPr>
                              <w:rPr>
                                <w:rFonts w:ascii="Cambria Math" w:hAnsi="Cambria Math"/>
                                <w:lang w:val="en-US"/>
                              </w:rPr>
                            </m:ctrlPr>
                          </m:sSubPr>
                          <m:e>
                            <m:r>
                              <w:rPr>
                                <w:rFonts w:ascii="Cambria Math" w:hAnsi="Cambria Math"/>
                                <w:lang w:val="en-US"/>
                              </w:rPr>
                              <m:t>q</m:t>
                            </m:r>
                          </m:e>
                          <m:sub>
                            <m:r>
                              <m:rPr>
                                <m:sty m:val="p"/>
                              </m:rPr>
                              <w:rPr>
                                <w:rFonts w:ascii="Cambria Math" w:hAnsi="Cambria Math"/>
                                <w:lang w:val="en-US"/>
                              </w:rPr>
                              <m:t>2</m:t>
                            </m:r>
                          </m:sub>
                        </m:sSub>
                        <m:r>
                          <m:rPr>
                            <m:sty m:val="p"/>
                          </m:rPr>
                          <w:rPr>
                            <w:rFonts w:ascii="Cambria Math" w:hAnsi="Cambria Math"/>
                            <w:lang w:val="en-US"/>
                          </w:rPr>
                          <m:t>=10,35,60,105,130,200</m:t>
                        </m:r>
                      </m:sub>
                      <m:sup/>
                      <m:e>
                        <m:sSubSup>
                          <m:sSubSupPr>
                            <m:ctrlPr>
                              <w:rPr>
                                <w:rFonts w:ascii="Cambria Math" w:hAnsi="Cambria Math"/>
                                <w:lang w:val="en-US"/>
                              </w:rPr>
                            </m:ctrlPr>
                          </m:sSubSupPr>
                          <m:e>
                            <m:r>
                              <w:rPr>
                                <w:rFonts w:ascii="Cambria Math" w:hAnsi="Cambria Math"/>
                                <w:lang w:val="en-US"/>
                              </w:rPr>
                              <m:t>V</m:t>
                            </m:r>
                          </m:e>
                          <m:sub>
                            <m:r>
                              <m:rPr>
                                <m:sty m:val="p"/>
                              </m:rPr>
                              <w:rPr>
                                <w:rFonts w:ascii="Cambria Math" w:hAnsi="Cambria Math"/>
                                <w:lang w:val="en-US"/>
                              </w:rPr>
                              <m:t>dam</m:t>
                            </m:r>
                          </m:sub>
                          <m:sup>
                            <m:d>
                              <m:dPr>
                                <m:begChr m:val="["/>
                                <m:endChr m:val="]"/>
                                <m:ctrlPr>
                                  <w:rPr>
                                    <w:rFonts w:ascii="Cambria Math" w:hAnsi="Cambria Math"/>
                                    <w:lang w:val="en-US"/>
                                  </w:rPr>
                                </m:ctrlPr>
                              </m:dPr>
                              <m:e>
                                <m:r>
                                  <m:rPr>
                                    <m:sty m:val="p"/>
                                  </m:rPr>
                                  <w:rPr>
                                    <w:rFonts w:ascii="Cambria Math" w:hAnsi="Cambria Math"/>
                                    <w:lang w:val="en-US"/>
                                  </w:rPr>
                                  <m:t>2</m:t>
                                </m:r>
                              </m:e>
                            </m:d>
                          </m:sup>
                        </m:sSubSup>
                      </m:e>
                    </m:nary>
                    <m:d>
                      <m:dPr>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q</m:t>
                            </m:r>
                          </m:e>
                          <m:sub>
                            <m:r>
                              <m:rPr>
                                <m:sty m:val="p"/>
                              </m:rPr>
                              <w:rPr>
                                <w:rFonts w:ascii="Cambria Math" w:hAnsi="Cambria Math"/>
                                <w:lang w:val="en-US"/>
                              </w:rPr>
                              <m:t>2</m:t>
                            </m:r>
                          </m:sub>
                        </m:sSub>
                      </m:e>
                    </m:d>
                    <m:sSub>
                      <m:sSubPr>
                        <m:ctrlPr>
                          <w:rPr>
                            <w:rFonts w:ascii="Cambria Math" w:hAnsi="Cambria Math"/>
                            <w:lang w:val="en-US"/>
                          </w:rPr>
                        </m:ctrlPr>
                      </m:sSubPr>
                      <m:e>
                        <m:r>
                          <w:rPr>
                            <w:rFonts w:ascii="Cambria Math" w:hAnsi="Cambria Math"/>
                            <w:lang w:val="en-US"/>
                          </w:rPr>
                          <m:t>p</m:t>
                        </m:r>
                      </m:e>
                      <m:sub>
                        <m:sSub>
                          <m:sSubPr>
                            <m:ctrlPr>
                              <w:rPr>
                                <w:rFonts w:ascii="Cambria Math" w:hAnsi="Cambria Math"/>
                                <w:lang w:val="en-US"/>
                              </w:rPr>
                            </m:ctrlPr>
                          </m:sSubPr>
                          <m:e>
                            <m:r>
                              <w:rPr>
                                <w:rFonts w:ascii="Cambria Math" w:hAnsi="Cambria Math"/>
                                <w:lang w:val="en-US"/>
                              </w:rPr>
                              <m:t>Q</m:t>
                            </m:r>
                          </m:e>
                          <m:sub>
                            <m:r>
                              <m:rPr>
                                <m:sty m:val="p"/>
                              </m:rPr>
                              <w:rPr>
                                <w:rFonts w:ascii="Cambria Math" w:hAnsi="Cambria Math"/>
                                <w:lang w:val="en-US"/>
                              </w:rPr>
                              <m:t>2</m:t>
                            </m:r>
                          </m:sub>
                        </m:sSub>
                      </m:sub>
                    </m:sSub>
                    <m:d>
                      <m:dPr>
                        <m:ctrlPr>
                          <w:rPr>
                            <w:rFonts w:ascii="Cambria Math" w:hAnsi="Cambria Math"/>
                            <w:lang w:val="en-US"/>
                          </w:rPr>
                        </m:ctrlPr>
                      </m:dPr>
                      <m:e>
                        <m:sSub>
                          <m:sSubPr>
                            <m:ctrlPr>
                              <w:rPr>
                                <w:rFonts w:ascii="Cambria Math" w:hAnsi="Cambria Math"/>
                                <w:lang w:val="en-US"/>
                              </w:rPr>
                            </m:ctrlPr>
                          </m:sSubPr>
                          <m:e>
                            <m:r>
                              <w:rPr>
                                <w:rFonts w:ascii="Cambria Math" w:hAnsi="Cambria Math"/>
                                <w:lang w:val="en-US"/>
                              </w:rPr>
                              <m:t>q</m:t>
                            </m:r>
                          </m:e>
                          <m:sub>
                            <m:r>
                              <m:rPr>
                                <m:sty m:val="p"/>
                              </m:rPr>
                              <w:rPr>
                                <w:rFonts w:ascii="Cambria Math" w:hAnsi="Cambria Math"/>
                                <w:lang w:val="en-US"/>
                              </w:rPr>
                              <m:t>2</m:t>
                            </m:r>
                          </m:sub>
                        </m:sSub>
                      </m:e>
                    </m:d>
                  </m:e>
                </m:d>
                <m:sSup>
                  <m:sSupPr>
                    <m:ctrlPr>
                      <w:rPr>
                        <w:rFonts w:ascii="Cambria Math" w:hAnsi="Cambria Math"/>
                        <w:lang w:val="en-US"/>
                      </w:rPr>
                    </m:ctrlPr>
                  </m:sSupPr>
                  <m:e>
                    <m:r>
                      <w:rPr>
                        <w:rFonts w:ascii="Cambria Math" w:hAnsi="Cambria Math"/>
                        <w:lang w:val="en-US"/>
                      </w:rPr>
                      <m:t>κ</m:t>
                    </m:r>
                  </m:e>
                  <m:sup>
                    <m:d>
                      <m:dPr>
                        <m:begChr m:val="["/>
                        <m:endChr m:val="]"/>
                        <m:ctrlPr>
                          <w:rPr>
                            <w:rFonts w:ascii="Cambria Math" w:hAnsi="Cambria Math"/>
                            <w:lang w:val="en-US"/>
                          </w:rPr>
                        </m:ctrlPr>
                      </m:dPr>
                      <m:e>
                        <m:r>
                          <m:rPr>
                            <m:sty m:val="p"/>
                          </m:rPr>
                          <w:rPr>
                            <w:rFonts w:ascii="Cambria Math" w:hAnsi="Cambria Math"/>
                            <w:lang w:val="en-US"/>
                          </w:rPr>
                          <m:t>2</m:t>
                        </m:r>
                      </m:e>
                    </m:d>
                  </m:sup>
                </m:sSup>
                <m:r>
                  <m:rPr>
                    <m:sty m:val="p"/>
                  </m:rPr>
                  <w:rPr>
                    <w:rFonts w:ascii="Cambria Math" w:hAnsi="Cambria Math"/>
                    <w:lang w:val="en-US"/>
                  </w:rPr>
                  <m:t>,</m:t>
                </m:r>
              </m:oMath>
            </m:oMathPara>
          </w:p>
        </w:tc>
        <w:tc>
          <w:tcPr>
            <w:tcW w:w="567" w:type="dxa"/>
            <w:vAlign w:val="center"/>
          </w:tcPr>
          <w:p w:rsidR="003A547D" w:rsidRPr="00C066D6" w:rsidRDefault="009748F6" w:rsidP="002655A2">
            <w:r w:rsidRPr="00C066D6">
              <w:t>(</w:t>
            </w:r>
            <w:r w:rsidR="009F586E" w:rsidRPr="00C066D6">
              <w:t>5</w:t>
            </w:r>
            <w:r w:rsidR="008D1C58" w:rsidRPr="00C066D6">
              <w:t>)</w:t>
            </w:r>
          </w:p>
        </w:tc>
      </w:tr>
    </w:tbl>
    <w:p w:rsidR="003A547D" w:rsidRPr="00C066D6" w:rsidRDefault="003A547D" w:rsidP="003A547D"/>
    <w:p w:rsidR="003A547D" w:rsidRPr="00C066D6" w:rsidRDefault="003A547D" w:rsidP="003A547D">
      <w:r w:rsidRPr="00C066D6">
        <w:t xml:space="preserve">v němž jsme škodu způsobenou konkrétním tepelným výkonem </w:t>
      </w:r>
      <m:oMath>
        <m:sSub>
          <m:sSubPr>
            <m:ctrlPr>
              <w:rPr>
                <w:rFonts w:ascii="Cambria Math" w:hAnsi="Cambria Math"/>
                <w:i/>
              </w:rPr>
            </m:ctrlPr>
          </m:sSubPr>
          <m:e>
            <m:r>
              <w:rPr>
                <w:rFonts w:ascii="Cambria Math" w:hAnsi="Cambria Math"/>
              </w:rPr>
              <m:t>q</m:t>
            </m:r>
          </m:e>
          <m:sub>
            <m:r>
              <w:rPr>
                <w:rFonts w:ascii="Cambria Math" w:hAnsi="Cambria Math"/>
              </w:rPr>
              <m:t>i</m:t>
            </m:r>
          </m:sub>
        </m:sSub>
      </m:oMath>
      <w:r w:rsidRPr="00C066D6">
        <w:t xml:space="preserve"> vyjádřili objemem betonu </w:t>
      </w:r>
      <m:oMath>
        <m:sSubSup>
          <m:sSubSupPr>
            <m:ctrlPr>
              <w:rPr>
                <w:rFonts w:ascii="Cambria Math" w:hAnsi="Cambria Math"/>
                <w:i/>
              </w:rPr>
            </m:ctrlPr>
          </m:sSubSupPr>
          <m:e>
            <m:r>
              <w:rPr>
                <w:rFonts w:ascii="Cambria Math" w:hAnsi="Cambria Math"/>
              </w:rPr>
              <m:t>V</m:t>
            </m:r>
          </m:e>
          <m:sub>
            <m:r>
              <m:rPr>
                <m:sty m:val="p"/>
              </m:rPr>
              <w:rPr>
                <w:rFonts w:ascii="Cambria Math" w:hAnsi="Cambria Math"/>
              </w:rPr>
              <m:t>dam</m:t>
            </m:r>
          </m:sub>
          <m:sup>
            <m:d>
              <m:dPr>
                <m:begChr m:val="["/>
                <m:endChr m:val="]"/>
                <m:ctrlPr>
                  <w:rPr>
                    <w:rFonts w:ascii="Cambria Math" w:hAnsi="Cambria Math"/>
                    <w:i/>
                  </w:rPr>
                </m:ctrlPr>
              </m:dPr>
              <m:e>
                <m:r>
                  <w:rPr>
                    <w:rFonts w:ascii="Cambria Math" w:hAnsi="Cambria Math"/>
                  </w:rPr>
                  <m:t>i</m:t>
                </m:r>
              </m:e>
            </m:d>
          </m:sup>
        </m:sSubSup>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m:t>
        </m:r>
      </m:oMath>
      <w:r w:rsidRPr="00C066D6">
        <w:t xml:space="preserve"> [m</w:t>
      </w:r>
      <w:r w:rsidRPr="00C066D6">
        <w:rPr>
          <w:vertAlign w:val="superscript"/>
        </w:rPr>
        <w:t>3</w:t>
      </w:r>
      <w:r w:rsidRPr="00C066D6">
        <w:t xml:space="preserve">]. Tato veličina je součtem objemu betonu ztraceného odpryskem a objemu degradovaného velmi vysokou teplotou </w:t>
      </w:r>
      <m:oMath>
        <m:r>
          <w:rPr>
            <w:rFonts w:ascii="Cambria Math" w:hAnsi="Cambria Math"/>
          </w:rPr>
          <m:t>θ≥</m:t>
        </m:r>
        <m:acc>
          <m:accPr>
            <m:chr m:val="̅"/>
            <m:ctrlPr>
              <w:rPr>
                <w:rFonts w:ascii="Cambria Math" w:hAnsi="Cambria Math"/>
                <w:i/>
                <w:lang w:val="en-US"/>
              </w:rPr>
            </m:ctrlPr>
          </m:accPr>
          <m:e>
            <m:r>
              <w:rPr>
                <w:rFonts w:ascii="Cambria Math" w:hAnsi="Cambria Math"/>
              </w:rPr>
              <m:t>θ</m:t>
            </m:r>
          </m:e>
        </m:acc>
      </m:oMath>
      <w:r w:rsidRPr="00C066D6">
        <w:t xml:space="preserve">. </w:t>
      </w:r>
    </w:p>
    <w:p w:rsidR="003A547D" w:rsidRPr="00C066D6" w:rsidRDefault="003A547D" w:rsidP="003A547D">
      <w:r w:rsidRPr="00C066D6">
        <w:t xml:space="preserve">K výpočtu této veličiny, jsou nezbytné informace o vývoji teploty v tunelu v čase a prostoru. S výhodou lze využít formulí </w:t>
      </w:r>
      <w:r w:rsidR="001B1F33" w:rsidRPr="00C066D6">
        <w:t xml:space="preserve">(3) a (4) </w:t>
      </w:r>
      <w:r w:rsidRPr="00C066D6">
        <w:t xml:space="preserve">uvedených </w:t>
      </w:r>
      <w:r w:rsidR="001B1F33" w:rsidRPr="00C066D6">
        <w:t xml:space="preserve"> též </w:t>
      </w:r>
      <w:r w:rsidRPr="00C066D6">
        <w:t>v</w:t>
      </w:r>
      <w:r w:rsidR="008D1C58" w:rsidRPr="00C066D6">
        <w:t xml:space="preserve"> </w:t>
      </w:r>
      <w:r w:rsidR="001B1F33" w:rsidRPr="00C066D6">
        <w:rPr>
          <w:lang w:val="en-US"/>
        </w:rPr>
        <w:t>[11]</w:t>
      </w:r>
      <w:r w:rsidRPr="00C066D6">
        <w:t xml:space="preserve"> a v odkazech tamtéž.         </w:t>
      </w:r>
    </w:p>
    <w:p w:rsidR="003A547D" w:rsidRPr="00C066D6" w:rsidRDefault="003A547D" w:rsidP="003A547D"/>
    <w:p w:rsidR="003A547D" w:rsidRPr="00C066D6" w:rsidRDefault="003A547D" w:rsidP="003A547D">
      <w:r w:rsidRPr="00C066D6">
        <w:t xml:space="preserve">Pro ilustraci QRA jsou zvoleny tyto parametry: délka tunelu </w:t>
      </w:r>
      <m:oMath>
        <m:r>
          <w:rPr>
            <w:rFonts w:ascii="Cambria Math" w:hAnsi="Cambria Math"/>
          </w:rPr>
          <m:t>L</m:t>
        </m:r>
      </m:oMath>
      <w:r w:rsidRPr="00C066D6">
        <w:t xml:space="preserve"> = 2 [km], AADT = 17 000 [vozidel.den</w:t>
      </w:r>
      <w:r w:rsidRPr="00C066D6">
        <w:rPr>
          <w:vertAlign w:val="superscript"/>
        </w:rPr>
        <w:t>-1</w:t>
      </w:r>
      <w:r w:rsidRPr="00C066D6">
        <w:t xml:space="preserve">], </w:t>
      </w:r>
      <m:oMath>
        <m:r>
          <w:rPr>
            <w:rFonts w:ascii="Cambria Math" w:hAnsi="Cambria Math"/>
          </w:rPr>
          <m:t>T</m:t>
        </m:r>
      </m:oMath>
      <w:r w:rsidRPr="00C066D6">
        <w:t xml:space="preserve"> = 365 [dnů] = 1 [rok], </w:t>
      </w:r>
      <m:oMath>
        <m:sSub>
          <m:sSubPr>
            <m:ctrlPr>
              <w:rPr>
                <w:rFonts w:ascii="Cambria Math" w:hAnsi="Cambria Math"/>
                <w:i/>
                <w:lang w:val="en-US"/>
              </w:rPr>
            </m:ctrlPr>
          </m:sSubPr>
          <m:e>
            <m:r>
              <w:rPr>
                <w:rFonts w:ascii="Cambria Math" w:hAnsi="Cambria Math"/>
              </w:rPr>
              <m:t>λ</m:t>
            </m:r>
          </m:e>
          <m:sub>
            <m:r>
              <m:rPr>
                <m:sty m:val="p"/>
              </m:rPr>
              <w:rPr>
                <w:rFonts w:ascii="Cambria Math" w:hAnsi="Cambria Math"/>
              </w:rPr>
              <m:t>f</m:t>
            </m:r>
          </m:sub>
        </m:sSub>
      </m:oMath>
      <w:r w:rsidRPr="00C066D6">
        <w:t xml:space="preserve"> = </w:t>
      </w:r>
      <m:oMath>
        <m:r>
          <w:rPr>
            <w:rFonts w:ascii="Cambria Math" w:hAnsi="Cambria Math"/>
          </w:rPr>
          <m:t>30⋅</m:t>
        </m:r>
        <m:sSup>
          <m:sSupPr>
            <m:ctrlPr>
              <w:rPr>
                <w:rFonts w:ascii="Cambria Math" w:hAnsi="Cambria Math"/>
                <w:i/>
                <w:lang w:val="en-US"/>
              </w:rPr>
            </m:ctrlPr>
          </m:sSupPr>
          <m:e>
            <m:r>
              <w:rPr>
                <w:rFonts w:ascii="Cambria Math" w:hAnsi="Cambria Math"/>
              </w:rPr>
              <m:t>10</m:t>
            </m:r>
          </m:e>
          <m:sup>
            <m:r>
              <w:rPr>
                <w:rFonts w:ascii="Cambria Math" w:hAnsi="Cambria Math"/>
              </w:rPr>
              <m:t>-9</m:t>
            </m:r>
          </m:sup>
        </m:sSup>
      </m:oMath>
      <w:r w:rsidRPr="00C066D6">
        <w:t xml:space="preserve"> [požárů</w:t>
      </w:r>
      <w:r w:rsidR="006B7334">
        <w:t xml:space="preserve"> </w:t>
      </w:r>
      <w:r w:rsidRPr="00C066D6">
        <w:t>(vozokm)</w:t>
      </w:r>
      <w:r w:rsidRPr="00C066D6">
        <w:rPr>
          <w:vertAlign w:val="superscript"/>
        </w:rPr>
        <w:t>-1</w:t>
      </w:r>
      <w:r w:rsidRPr="00C066D6">
        <w:t>].</w:t>
      </w:r>
      <w:r w:rsidR="003062D1" w:rsidRPr="00C066D6">
        <w:t xml:space="preserve"> </w:t>
      </w:r>
      <w:r w:rsidR="0012547F" w:rsidRPr="00C066D6">
        <w:t xml:space="preserve">Při </w:t>
      </w:r>
      <w:r w:rsidR="003062D1" w:rsidRPr="00C066D6">
        <w:t>20</w:t>
      </w:r>
      <w:r w:rsidR="003062D1" w:rsidRPr="00C066D6">
        <w:rPr>
          <w:lang w:val="en-US"/>
        </w:rPr>
        <w:t>%</w:t>
      </w:r>
      <w:r w:rsidR="003062D1" w:rsidRPr="00C066D6">
        <w:t xml:space="preserve"> zastoupení vozidel typu TB </w:t>
      </w:r>
      <w:r w:rsidR="00DA1AA6" w:rsidRPr="00C066D6">
        <w:t xml:space="preserve">(nákladní vozy a autobusy) </w:t>
      </w:r>
      <w:r w:rsidR="003062D1" w:rsidRPr="00C066D6">
        <w:t xml:space="preserve">je podle TP 98 přepočtená hodnota </w:t>
      </w:r>
      <m:oMath>
        <m:r>
          <w:rPr>
            <w:rFonts w:ascii="Cambria Math" w:hAnsi="Cambria Math"/>
          </w:rPr>
          <m:t>AADT = 17000∙</m:t>
        </m:r>
        <m:d>
          <m:dPr>
            <m:ctrlPr>
              <w:rPr>
                <w:rFonts w:ascii="Cambria Math" w:hAnsi="Cambria Math"/>
                <w:i/>
              </w:rPr>
            </m:ctrlPr>
          </m:dPr>
          <m:e>
            <m:r>
              <w:rPr>
                <w:rFonts w:ascii="Cambria Math" w:hAnsi="Cambria Math"/>
              </w:rPr>
              <m:t>0,8 ∙1+0,2∙1,7</m:t>
            </m:r>
          </m:e>
        </m:d>
        <m:r>
          <w:rPr>
            <w:rFonts w:ascii="Cambria Math" w:hAnsi="Cambria Math"/>
          </w:rPr>
          <m:t>=19380</m:t>
        </m:r>
      </m:oMath>
      <w:r w:rsidR="003062D1" w:rsidRPr="00C066D6">
        <w:rPr>
          <w:rFonts w:eastAsiaTheme="minorEastAsia"/>
        </w:rPr>
        <w:t xml:space="preserve"> </w:t>
      </w:r>
      <w:r w:rsidR="003062D1" w:rsidRPr="00C066D6">
        <w:t>[vozidel.den</w:t>
      </w:r>
      <w:r w:rsidR="003062D1" w:rsidRPr="00C066D6">
        <w:rPr>
          <w:vertAlign w:val="superscript"/>
        </w:rPr>
        <w:t>-1</w:t>
      </w:r>
      <w:r w:rsidR="0012547F" w:rsidRPr="00C066D6">
        <w:t xml:space="preserve">]. Při uvažované délce </w:t>
      </w:r>
      <w:r w:rsidR="003062D1" w:rsidRPr="00C066D6">
        <w:t>2 km spadá tunel do bezpečnostní kategorie TA</w:t>
      </w:r>
      <w:r w:rsidR="0012547F" w:rsidRPr="00C066D6">
        <w:t xml:space="preserve">. </w:t>
      </w:r>
    </w:p>
    <w:p w:rsidR="00DA1AA6" w:rsidRPr="00C066D6" w:rsidRDefault="003A547D" w:rsidP="00B972C2">
      <w:r w:rsidRPr="00C066D6">
        <w:t xml:space="preserve">Protože </w:t>
      </w:r>
      <w:r w:rsidR="00DA1AA6" w:rsidRPr="00C066D6">
        <w:t xml:space="preserve">v současnosti </w:t>
      </w:r>
      <w:r w:rsidRPr="00C066D6">
        <w:t xml:space="preserve">nejsou k dispozici data o rozdělení počtu požárů na požární stavy s jedním TB (součinitel </w:t>
      </w:r>
      <m:oMath>
        <m:sSup>
          <m:sSupPr>
            <m:ctrlPr>
              <w:rPr>
                <w:rFonts w:ascii="Cambria Math" w:hAnsi="Cambria Math"/>
                <w:i/>
              </w:rPr>
            </m:ctrlPr>
          </m:sSupPr>
          <m:e>
            <m:r>
              <w:rPr>
                <w:rFonts w:ascii="Cambria Math" w:hAnsi="Cambria Math"/>
              </w:rPr>
              <m:t>κ</m:t>
            </m:r>
          </m:e>
          <m:sup>
            <m:d>
              <m:dPr>
                <m:begChr m:val="["/>
                <m:endChr m:val="]"/>
                <m:ctrlPr>
                  <w:rPr>
                    <w:rFonts w:ascii="Cambria Math" w:hAnsi="Cambria Math"/>
                    <w:i/>
                  </w:rPr>
                </m:ctrlPr>
              </m:dPr>
              <m:e>
                <m:r>
                  <w:rPr>
                    <w:rFonts w:ascii="Cambria Math" w:hAnsi="Cambria Math"/>
                  </w:rPr>
                  <m:t>1</m:t>
                </m:r>
              </m:e>
            </m:d>
          </m:sup>
        </m:sSup>
      </m:oMath>
      <w:r w:rsidRPr="00C066D6">
        <w:t>) a se dvěma TB (</w:t>
      </w:r>
      <m:oMath>
        <m:sSup>
          <m:sSupPr>
            <m:ctrlPr>
              <w:rPr>
                <w:rFonts w:ascii="Cambria Math" w:hAnsi="Cambria Math"/>
                <w:i/>
              </w:rPr>
            </m:ctrlPr>
          </m:sSupPr>
          <m:e>
            <m:r>
              <w:rPr>
                <w:rFonts w:ascii="Cambria Math" w:hAnsi="Cambria Math"/>
              </w:rPr>
              <m:t>κ</m:t>
            </m:r>
          </m:e>
          <m:sup>
            <m:d>
              <m:dPr>
                <m:begChr m:val="["/>
                <m:endChr m:val="]"/>
                <m:ctrlPr>
                  <w:rPr>
                    <w:rFonts w:ascii="Cambria Math" w:hAnsi="Cambria Math"/>
                    <w:i/>
                  </w:rPr>
                </m:ctrlPr>
              </m:dPr>
              <m:e>
                <m:r>
                  <w:rPr>
                    <w:rFonts w:ascii="Cambria Math" w:hAnsi="Cambria Math"/>
                  </w:rPr>
                  <m:t>2</m:t>
                </m:r>
              </m:e>
            </m:d>
          </m:sup>
        </m:sSup>
      </m:oMath>
      <w:r w:rsidR="009E29B9" w:rsidRPr="00C066D6">
        <w:t>), jsou na Obr. 13</w:t>
      </w:r>
      <w:r w:rsidRPr="00C066D6">
        <w:t xml:space="preserve"> při predikci rizika uvažovány všechny možné kombinace těchto součinitelů.</w:t>
      </w:r>
      <w:r w:rsidR="003062D1" w:rsidRPr="00C066D6">
        <w:t xml:space="preserve"> Statistická data pro podmínky v ČR by měla být zveřejněna ke konci roku 2019.</w:t>
      </w:r>
      <w:r w:rsidRPr="00C066D6">
        <w:t xml:space="preserve"> </w:t>
      </w:r>
    </w:p>
    <w:p w:rsidR="003A547D" w:rsidRPr="00C066D6" w:rsidRDefault="003A547D" w:rsidP="00B972C2">
      <w:r w:rsidRPr="00C066D6">
        <w:t>Výsledkem je pak int</w:t>
      </w:r>
      <w:r w:rsidR="009E29B9" w:rsidRPr="00C066D6">
        <w:t>ervalový odhad rizika. Z Obr. 13</w:t>
      </w:r>
      <w:r w:rsidRPr="00C066D6">
        <w:t xml:space="preserve"> tak vychází, že se riziko pohybuje v rozsahu 19</w:t>
      </w:r>
      <m:oMath>
        <m:r>
          <w:rPr>
            <w:rFonts w:ascii="Cambria Math" w:hAnsi="Cambria Math"/>
          </w:rPr>
          <m:t>÷</m:t>
        </m:r>
      </m:oMath>
      <w:r w:rsidRPr="00C066D6">
        <w:t>28 [m</w:t>
      </w:r>
      <w:r w:rsidRPr="00C066D6">
        <w:rPr>
          <w:vertAlign w:val="superscript"/>
        </w:rPr>
        <w:t>3</w:t>
      </w:r>
      <w:r w:rsidRPr="00C066D6">
        <w:t>rok</w:t>
      </w:r>
      <w:r w:rsidRPr="00C066D6">
        <w:rPr>
          <w:vertAlign w:val="superscript"/>
        </w:rPr>
        <w:t>-1</w:t>
      </w:r>
      <w:r w:rsidRPr="00C066D6">
        <w:t xml:space="preserve">]. Pokud bychom vzali v úvahu celkový objem ostění dotčeného </w:t>
      </w:r>
      <w:r w:rsidRPr="00C066D6">
        <w:lastRenderedPageBreak/>
        <w:t xml:space="preserve">požárem v délce 520 [m], tedy </w:t>
      </w:r>
      <m:oMath>
        <m:r>
          <w:rPr>
            <w:rFonts w:ascii="Cambria Math" w:hAnsi="Cambria Math"/>
          </w:rPr>
          <m:t>V</m:t>
        </m:r>
      </m:oMath>
      <w:r w:rsidRPr="00C066D6">
        <w:t xml:space="preserve"> = 3463 [m</w:t>
      </w:r>
      <w:r w:rsidRPr="00C066D6">
        <w:rPr>
          <w:vertAlign w:val="superscript"/>
        </w:rPr>
        <w:t>3</w:t>
      </w:r>
      <w:r w:rsidRPr="00C066D6">
        <w:t>], bylo by relativní riziko vztažené k tomuto objemu RISK</w:t>
      </w:r>
      <w:r w:rsidRPr="00C066D6">
        <w:rPr>
          <w:vertAlign w:val="subscript"/>
        </w:rPr>
        <w:t>rel</w:t>
      </w:r>
      <w:r w:rsidRPr="00C066D6">
        <w:t xml:space="preserve"> = 0.55</w:t>
      </w:r>
      <m:oMath>
        <m:r>
          <w:rPr>
            <w:rFonts w:ascii="Cambria Math" w:hAnsi="Cambria Math"/>
          </w:rPr>
          <m:t>÷</m:t>
        </m:r>
      </m:oMath>
      <w:r w:rsidRPr="00C066D6">
        <w:t xml:space="preserve">0.81 [%]. </w:t>
      </w:r>
    </w:p>
    <w:p w:rsidR="003A547D" w:rsidRPr="00C066D6" w:rsidRDefault="003A547D" w:rsidP="003A547D">
      <w:pPr>
        <w:pStyle w:val="Nadpis3"/>
        <w:rPr>
          <w:rFonts w:eastAsiaTheme="minorEastAsia"/>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3A547D" w:rsidRPr="00C066D6" w:rsidTr="002F542E">
        <w:tc>
          <w:tcPr>
            <w:tcW w:w="8640" w:type="dxa"/>
          </w:tcPr>
          <w:p w:rsidR="003A547D" w:rsidRPr="00C066D6" w:rsidRDefault="003A547D" w:rsidP="002F542E">
            <w:pPr>
              <w:jc w:val="center"/>
            </w:pPr>
            <w:r w:rsidRPr="00C066D6">
              <w:rPr>
                <w:noProof/>
                <w:lang w:eastAsia="cs-CZ"/>
              </w:rPr>
              <w:drawing>
                <wp:inline distT="0" distB="0" distL="0" distR="0" wp14:anchorId="6148A659" wp14:editId="3B2284C4">
                  <wp:extent cx="3047435" cy="2026920"/>
                  <wp:effectExtent l="0" t="0" r="63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our_risk_v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55075" cy="2032002"/>
                          </a:xfrm>
                          <a:prstGeom prst="rect">
                            <a:avLst/>
                          </a:prstGeom>
                        </pic:spPr>
                      </pic:pic>
                    </a:graphicData>
                  </a:graphic>
                </wp:inline>
              </w:drawing>
            </w:r>
          </w:p>
        </w:tc>
      </w:tr>
      <w:tr w:rsidR="003A547D" w:rsidRPr="00C066D6" w:rsidTr="002F542E">
        <w:tc>
          <w:tcPr>
            <w:tcW w:w="8640" w:type="dxa"/>
          </w:tcPr>
          <w:p w:rsidR="003A547D" w:rsidRPr="00C066D6" w:rsidRDefault="003A547D" w:rsidP="008D1C58">
            <w:pPr>
              <w:spacing w:after="120"/>
              <w:jc w:val="center"/>
              <w:rPr>
                <w:i/>
              </w:rPr>
            </w:pPr>
            <w:bookmarkStart w:id="5" w:name="_Ref435882695"/>
            <w:r w:rsidRPr="00C066D6">
              <w:t xml:space="preserve">Obr. </w:t>
            </w:r>
            <w:bookmarkEnd w:id="5"/>
            <w:r w:rsidR="009E29B9" w:rsidRPr="00C066D6">
              <w:t>13</w:t>
            </w:r>
            <w:r w:rsidRPr="00C066D6">
              <w:t xml:space="preserve"> Relativní škoda</w:t>
            </w:r>
          </w:p>
        </w:tc>
      </w:tr>
    </w:tbl>
    <w:p w:rsidR="003A547D" w:rsidRPr="00C066D6" w:rsidRDefault="003A547D" w:rsidP="003A547D"/>
    <w:p w:rsidR="003A547D" w:rsidRPr="00C066D6" w:rsidRDefault="003A547D" w:rsidP="003A547D">
      <w:pPr>
        <w:pStyle w:val="Nadpis3"/>
        <w:rPr>
          <w:rFonts w:eastAsiaTheme="minorEastAsia"/>
        </w:rPr>
      </w:pPr>
      <w:r w:rsidRPr="00C066D6">
        <w:rPr>
          <w:rFonts w:eastAsiaTheme="minorEastAsia"/>
        </w:rPr>
        <w:t>3.2.3 Shrnutí poznatků o metodice QRA v aplikaci na tunelové ostění</w:t>
      </w:r>
    </w:p>
    <w:p w:rsidR="00163B46" w:rsidRPr="00C066D6" w:rsidRDefault="00163B46" w:rsidP="00B972C2">
      <w:r w:rsidRPr="00C066D6">
        <w:t>Případová studie naznačuje, že přímá pravděpodobná škoda na tunelovém ostění, založená na dostupných statistických datech a vztažená k referenční době jednoho ro</w:t>
      </w:r>
      <w:r w:rsidR="001B1F33" w:rsidRPr="00C066D6">
        <w:t>ku, nemusí být</w:t>
      </w:r>
      <w:r w:rsidRPr="00C066D6">
        <w:t xml:space="preserve"> příliš výrazná. I tak je třeba věnovat pozornost zejména </w:t>
      </w:r>
      <w:r w:rsidR="00DA1AA6" w:rsidRPr="00C066D6">
        <w:t xml:space="preserve">tunelům </w:t>
      </w:r>
      <w:r w:rsidR="003062D1" w:rsidRPr="00C066D6">
        <w:t>hloubeným</w:t>
      </w:r>
      <w:r w:rsidR="00DA1AA6" w:rsidRPr="00C066D6">
        <w:t xml:space="preserve"> metodou „cut and cover“</w:t>
      </w:r>
      <w:r w:rsidRPr="00C066D6">
        <w:t>, u nichž</w:t>
      </w:r>
      <w:r w:rsidR="00DA1AA6" w:rsidRPr="00C066D6">
        <w:t xml:space="preserve"> síly v poškozeném</w:t>
      </w:r>
      <w:r w:rsidRPr="00C066D6">
        <w:t xml:space="preserve"> </w:t>
      </w:r>
      <w:r w:rsidR="00DA1AA6" w:rsidRPr="00C066D6">
        <w:t>ostění</w:t>
      </w:r>
      <w:r w:rsidRPr="00C066D6">
        <w:t xml:space="preserve"> </w:t>
      </w:r>
      <w:r w:rsidR="003062D1" w:rsidRPr="00C066D6">
        <w:t>nemohou být</w:t>
      </w:r>
      <w:r w:rsidRPr="00C066D6">
        <w:t xml:space="preserve"> kompenzován</w:t>
      </w:r>
      <w:r w:rsidR="003062D1" w:rsidRPr="00C066D6">
        <w:t xml:space="preserve">y </w:t>
      </w:r>
      <w:r w:rsidRPr="00C066D6">
        <w:t>klenbovým účinkem</w:t>
      </w:r>
      <w:r w:rsidR="003062D1" w:rsidRPr="00C066D6">
        <w:t xml:space="preserve"> v okolní hornině</w:t>
      </w:r>
      <w:r w:rsidR="00DA1AA6" w:rsidRPr="00C066D6">
        <w:t>, jak je tomu v případě ražených tunelů, navrhovaných metodou „opěrných napětí“ (lambda metoda = convergence confinement method)</w:t>
      </w:r>
      <w:r w:rsidRPr="00C066D6">
        <w:t>.</w:t>
      </w:r>
      <w:r w:rsidR="009E08EF" w:rsidRPr="00C066D6">
        <w:t xml:space="preserve"> Důsledky mimořádně intenzivního požáru na únosnost je třeba v každém případě prověřit podrobným statickým výpočtem s ohledem na skladbu horninového prostředí.</w:t>
      </w:r>
      <w:r w:rsidRPr="00C066D6">
        <w:t xml:space="preserve"> Při celkové ekonomické bilanci je třeba sledovat nejen přímé, ale i nepřímé finanční ztráty, vyvolané zastavením provozu v tunelu během rekonstrukce. Komplexní vyhodnocení finančních ztrát umožňuje </w:t>
      </w:r>
      <w:r w:rsidR="00364908" w:rsidRPr="00C066D6">
        <w:t>teorie užitku, aplikovaná v Čl</w:t>
      </w:r>
      <w:r w:rsidRPr="00C066D6">
        <w:t>. 3.3.</w:t>
      </w:r>
    </w:p>
    <w:p w:rsidR="00163B46" w:rsidRPr="00C066D6" w:rsidRDefault="00163B46" w:rsidP="00B972C2">
      <w:r w:rsidRPr="00C066D6">
        <w:t xml:space="preserve">Předložená metodika je jednoduchá, přitom vcelku dobře vystihuje i komplexní problém. </w:t>
      </w:r>
    </w:p>
    <w:p w:rsidR="00163B46" w:rsidRPr="00C066D6" w:rsidRDefault="00163B46" w:rsidP="00B972C2">
      <w:r w:rsidRPr="00C066D6">
        <w:t>Metodika má nepřehlédnutelná omezení:</w:t>
      </w:r>
    </w:p>
    <w:p w:rsidR="00163B46" w:rsidRPr="00C066D6" w:rsidRDefault="00163B46" w:rsidP="00B972C2">
      <w:pPr>
        <w:pStyle w:val="Odstavecseseznamem"/>
        <w:numPr>
          <w:ilvl w:val="0"/>
          <w:numId w:val="9"/>
        </w:numPr>
      </w:pPr>
      <w:r w:rsidRPr="00C066D6">
        <w:t>Nejsou k dispozici dostatečná data o vývoji dalších požárů po kolizi. Rizikový analytik (manažer) tak bude nezřídka odkázán na expertní úsudek</w:t>
      </w:r>
    </w:p>
    <w:p w:rsidR="00163B46" w:rsidRPr="00C066D6" w:rsidRDefault="00163B46" w:rsidP="00B972C2">
      <w:pPr>
        <w:pStyle w:val="Odstavecseseznamem"/>
        <w:numPr>
          <w:ilvl w:val="0"/>
          <w:numId w:val="9"/>
        </w:numPr>
      </w:pPr>
      <w:r w:rsidRPr="00C066D6">
        <w:t>Materiálový model neuvažuje změnu permeability vodní páry v důsledku poškození betonu (vznik trhlinek). Model mechaniky poškození se zdá být vhodným lékem k řešení problému.</w:t>
      </w:r>
    </w:p>
    <w:p w:rsidR="00163B46" w:rsidRPr="00C066D6" w:rsidRDefault="00163B46" w:rsidP="00B972C2">
      <w:r w:rsidRPr="00C066D6">
        <w:t xml:space="preserve">Pro  stanovení rizika jako pravděpodobné škody byl vytvořen soubor programů. Jednotlivé programy postupně řeší: </w:t>
      </w:r>
    </w:p>
    <w:p w:rsidR="00163B46" w:rsidRPr="00C066D6" w:rsidRDefault="00163B46" w:rsidP="00B972C2">
      <w:pPr>
        <w:pStyle w:val="Odstavecseseznamem"/>
        <w:numPr>
          <w:ilvl w:val="0"/>
          <w:numId w:val="9"/>
        </w:numPr>
      </w:pPr>
      <w:r w:rsidRPr="00C066D6">
        <w:t xml:space="preserve">PRETRAFE - analyzuje dopravní proud ve dvou pruzích. Proud </w:t>
      </w:r>
      <w:r w:rsidR="001B1F33" w:rsidRPr="00C066D6">
        <w:t xml:space="preserve">(viz Obr. 5) </w:t>
      </w:r>
      <w:r w:rsidRPr="00C066D6">
        <w:t>je  tvořen osobními vozy (PC), nákladními vozy a autobusy (TB) vzájemně oddělenými mezerami (V) a je modelován jako náhodný Markovův řetězec. Výsledkem je vývoj pravděpodobnosti stavů, v nichž se v daném  místě vyskytuje alespoň jeden</w:t>
      </w:r>
      <w:r w:rsidRPr="00C066D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066D6">
        <w:t>TB.</w:t>
      </w:r>
    </w:p>
    <w:p w:rsidR="00163B46" w:rsidRPr="00C066D6" w:rsidRDefault="00163B46" w:rsidP="00B972C2">
      <w:pPr>
        <w:pStyle w:val="Odstavecseseznamem"/>
        <w:numPr>
          <w:ilvl w:val="0"/>
          <w:numId w:val="9"/>
        </w:numPr>
      </w:pPr>
      <w:r w:rsidRPr="00C066D6">
        <w:lastRenderedPageBreak/>
        <w:t xml:space="preserve">CHArMED </w:t>
      </w:r>
      <w:r w:rsidR="00D604D9">
        <w:t xml:space="preserve">- </w:t>
      </w:r>
      <w:r w:rsidRPr="00C066D6">
        <w:t xml:space="preserve">analyzuje dopad požáru na tunelové ostění (spalling a snížení pevnosti betonu překročením dané teplotní meze) silničních tunelů. </w:t>
      </w:r>
    </w:p>
    <w:p w:rsidR="00163B46" w:rsidRPr="00C066D6" w:rsidRDefault="00163B46" w:rsidP="00B972C2">
      <w:pPr>
        <w:pStyle w:val="Odstavecseseznamem"/>
        <w:numPr>
          <w:ilvl w:val="0"/>
          <w:numId w:val="9"/>
        </w:numPr>
      </w:pPr>
      <w:r w:rsidRPr="00C066D6">
        <w:t xml:space="preserve">FERRATE </w:t>
      </w:r>
      <w:r w:rsidR="00D604D9">
        <w:t xml:space="preserve">- </w:t>
      </w:r>
      <w:r w:rsidRPr="00C066D6">
        <w:t xml:space="preserve">analyzuje a z výsledků získaných z obou předchozích programů </w:t>
      </w:r>
      <w:r w:rsidR="00123F7F">
        <w:t xml:space="preserve">a predikuje riziko </w:t>
      </w:r>
      <w:r w:rsidRPr="00C066D6">
        <w:t>požáru jako pravděpodobnou škodu (objem ostění, které vyžaduje opravu/výměnu).</w:t>
      </w:r>
    </w:p>
    <w:p w:rsidR="00163B46" w:rsidRPr="00C066D6" w:rsidRDefault="00163B46" w:rsidP="00163B4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63B46" w:rsidRPr="00C066D6" w:rsidRDefault="00163B46" w:rsidP="00636F8B">
      <w:pPr>
        <w:pStyle w:val="Nadpis1"/>
      </w:pPr>
      <w:r w:rsidRPr="00C066D6">
        <w:t>3.3 Hodnocení ekonomických dopadů požáru</w:t>
      </w:r>
    </w:p>
    <w:p w:rsidR="00163B46" w:rsidRPr="00C066D6" w:rsidRDefault="00163B46" w:rsidP="00636F8B">
      <w:pPr>
        <w:pStyle w:val="Nadpis2"/>
      </w:pPr>
      <w:r w:rsidRPr="00C066D6">
        <w:t>3.3.1 Principy hodnocen</w:t>
      </w:r>
      <w:r w:rsidR="00F34CB2" w:rsidRPr="00C066D6">
        <w:t>í na základě funkce užitku [2</w:t>
      </w:r>
      <w:r w:rsidRPr="00C066D6">
        <w:t>]</w:t>
      </w:r>
      <w:r w:rsidR="00364908" w:rsidRPr="00C066D6">
        <w:t>,</w:t>
      </w:r>
      <w:r w:rsidR="003B6A1C" w:rsidRPr="00C066D6">
        <w:t>[15]</w:t>
      </w:r>
    </w:p>
    <w:p w:rsidR="00163B46" w:rsidRPr="00C066D6" w:rsidRDefault="00163B46" w:rsidP="00636F8B">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6D6">
        <w:t>Teorie užitku souvisí s teorií her a využívá se při hodnocení ekonomických důsledků náhodných jevů, jako je požár (ve stavbě obecně a v tunelu jmenovitě).</w:t>
      </w:r>
      <w:r w:rsidR="009E29B9" w:rsidRPr="00C066D6">
        <w:t xml:space="preserve"> Na Obr. 14</w:t>
      </w:r>
      <w:r w:rsidRPr="00C066D6">
        <w:t xml:space="preserve"> jsou znázorněny tři typické funkce užitku, charakterizující tři možné přístupy rizikového manažera (decision maker) ke hře (k  rizikovému podniku) s možností stejně pravděpodobné výhry buď x</w:t>
      </w:r>
      <w:r w:rsidRPr="00C066D6">
        <w:rPr>
          <w:vertAlign w:val="subscript"/>
        </w:rPr>
        <w:t>max</w:t>
      </w:r>
      <w:r w:rsidRPr="00C066D6">
        <w:t xml:space="preserve">  [Kč], nebo 0 [Kč] při vkladu EMV = x</w:t>
      </w:r>
      <w:r w:rsidRPr="00C066D6">
        <w:rPr>
          <w:vertAlign w:val="subscript"/>
        </w:rPr>
        <w:t>max</w:t>
      </w:r>
      <w:r w:rsidRPr="00C066D6">
        <w:t>/2[Kč], kde EMV je očekávaná hodnota výhry v peněžních jednotkách (expected monetary value)</w:t>
      </w:r>
      <w:r w:rsidR="00B972C2" w:rsidRPr="00C066D6">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8D1C58" w:rsidRPr="00C066D6" w:rsidTr="008D1C58">
        <w:tc>
          <w:tcPr>
            <w:tcW w:w="8640" w:type="dxa"/>
          </w:tcPr>
          <w:p w:rsidR="008D1C58" w:rsidRPr="00C066D6" w:rsidRDefault="00962811" w:rsidP="0048656E">
            <w:pPr>
              <w:jc w:val="center"/>
            </w:pPr>
            <w:r w:rsidRPr="00C066D6">
              <w:object w:dxaOrig="11124" w:dyaOrig="8208" w14:anchorId="364C24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5pt;height:169.1pt" o:ole="">
                  <v:imagedata r:id="rId27" o:title="" cropbottom="5943f"/>
                </v:shape>
                <o:OLEObject Type="Embed" ProgID="PBrush" ShapeID="_x0000_i1025" DrawAspect="Content" ObjectID="_1627888008" r:id="rId28"/>
              </w:object>
            </w:r>
          </w:p>
        </w:tc>
      </w:tr>
      <w:tr w:rsidR="008D1C58" w:rsidRPr="00C066D6" w:rsidTr="008D1C58">
        <w:tc>
          <w:tcPr>
            <w:tcW w:w="8640" w:type="dxa"/>
          </w:tcPr>
          <w:p w:rsidR="008D1C58" w:rsidRPr="00C066D6" w:rsidRDefault="009E29B9" w:rsidP="00636F8B">
            <w:pPr>
              <w:jc w:val="center"/>
            </w:pPr>
            <w:r w:rsidRPr="00C066D6">
              <w:t>Obr. 14</w:t>
            </w:r>
            <w:r w:rsidR="008D1C58" w:rsidRPr="00C066D6">
              <w:t xml:space="preserve"> Funkce užitku: </w:t>
            </w:r>
            <w:r w:rsidR="008D1C58" w:rsidRPr="00C066D6">
              <w:rPr>
                <w:i/>
              </w:rPr>
              <w:t>A</w:t>
            </w:r>
            <w:r w:rsidR="008D1C58" w:rsidRPr="00C066D6">
              <w:t xml:space="preserve"> – averze k riziku, </w:t>
            </w:r>
            <w:r w:rsidR="008D1C58" w:rsidRPr="00C066D6">
              <w:rPr>
                <w:i/>
              </w:rPr>
              <w:t>N</w:t>
            </w:r>
            <w:r w:rsidR="008D1C58" w:rsidRPr="00C066D6">
              <w:t xml:space="preserve"> – neutrální přístup, </w:t>
            </w:r>
            <w:r w:rsidR="008D1C58" w:rsidRPr="00C066D6">
              <w:rPr>
                <w:i/>
              </w:rPr>
              <w:t xml:space="preserve">R </w:t>
            </w:r>
            <w:r w:rsidR="008D1C58" w:rsidRPr="00C066D6">
              <w:t>– reverze k riziku (vyhledávání rizika)</w:t>
            </w:r>
          </w:p>
        </w:tc>
      </w:tr>
    </w:tbl>
    <w:p w:rsidR="00364908" w:rsidRPr="00C066D6" w:rsidRDefault="00364908" w:rsidP="00636F8B"/>
    <w:p w:rsidR="00163B46" w:rsidRPr="00C066D6" w:rsidRDefault="00163B46" w:rsidP="00636F8B">
      <w:r w:rsidRPr="00C066D6">
        <w:t xml:space="preserve">Tři rizikoví manažeři </w:t>
      </w:r>
      <w:r w:rsidRPr="00C066D6">
        <w:rPr>
          <w:i/>
        </w:rPr>
        <w:t xml:space="preserve">A, N, R </w:t>
      </w:r>
      <w:r w:rsidRPr="00C066D6">
        <w:t xml:space="preserve">jsou ochotni vložit </w:t>
      </w:r>
      <w:r w:rsidRPr="00C066D6">
        <w:rPr>
          <w:i/>
        </w:rPr>
        <w:t>x</w:t>
      </w:r>
      <w:r w:rsidRPr="00C066D6">
        <w:rPr>
          <w:i/>
          <w:vertAlign w:val="subscript"/>
        </w:rPr>
        <w:t xml:space="preserve">A </w:t>
      </w:r>
      <w:r w:rsidRPr="00C066D6">
        <w:t xml:space="preserve">, </w:t>
      </w:r>
      <w:r w:rsidRPr="00C066D6">
        <w:rPr>
          <w:i/>
        </w:rPr>
        <w:t>x</w:t>
      </w:r>
      <w:r w:rsidRPr="00C066D6">
        <w:rPr>
          <w:i/>
          <w:vertAlign w:val="subscript"/>
        </w:rPr>
        <w:t xml:space="preserve">N </w:t>
      </w:r>
      <w:r w:rsidRPr="00C066D6">
        <w:t xml:space="preserve">, </w:t>
      </w:r>
      <w:r w:rsidRPr="00C066D6">
        <w:rPr>
          <w:i/>
        </w:rPr>
        <w:t>x</w:t>
      </w:r>
      <w:r w:rsidRPr="00C066D6">
        <w:rPr>
          <w:i/>
          <w:vertAlign w:val="subscript"/>
        </w:rPr>
        <w:t>R</w:t>
      </w:r>
      <w:r w:rsidRPr="00C066D6">
        <w:t xml:space="preserve"> peněžních jednotek, aby se mohli zúčastnit hry, při čemž </w:t>
      </w:r>
      <w:r w:rsidRPr="00C066D6">
        <w:rPr>
          <w:i/>
        </w:rPr>
        <w:t>U</w:t>
      </w:r>
      <w:r w:rsidRPr="00C066D6">
        <w:t>(x</w:t>
      </w:r>
      <w:r w:rsidRPr="00C066D6">
        <w:rPr>
          <w:i/>
          <w:vertAlign w:val="subscript"/>
        </w:rPr>
        <w:t>A</w:t>
      </w:r>
      <w:r w:rsidRPr="00C066D6">
        <w:t xml:space="preserve">) = </w:t>
      </w:r>
      <w:r w:rsidRPr="00C066D6">
        <w:rPr>
          <w:i/>
        </w:rPr>
        <w:t>U</w:t>
      </w:r>
      <w:r w:rsidRPr="00C066D6">
        <w:t>(x</w:t>
      </w:r>
      <w:r w:rsidRPr="00C066D6">
        <w:rPr>
          <w:vertAlign w:val="subscript"/>
        </w:rPr>
        <w:t>N</w:t>
      </w:r>
      <w:r w:rsidRPr="00C066D6">
        <w:t xml:space="preserve">) = </w:t>
      </w:r>
      <w:r w:rsidRPr="00C066D6">
        <w:rPr>
          <w:i/>
        </w:rPr>
        <w:t>U</w:t>
      </w:r>
      <w:r w:rsidRPr="00C066D6">
        <w:t>(x</w:t>
      </w:r>
      <w:r w:rsidRPr="00C066D6">
        <w:rPr>
          <w:vertAlign w:val="subscript"/>
        </w:rPr>
        <w:t>R</w:t>
      </w:r>
      <w:r w:rsidRPr="00C066D6">
        <w:t xml:space="preserve">) = </w:t>
      </w:r>
      <w:r w:rsidRPr="00C066D6">
        <w:rPr>
          <w:i/>
        </w:rPr>
        <w:t xml:space="preserve">U(EMV). </w:t>
      </w:r>
      <w:r w:rsidRPr="00C066D6">
        <w:t xml:space="preserve"> Hodnota</w:t>
      </w:r>
      <w:r w:rsidRPr="00C066D6">
        <w:rPr>
          <w:i/>
        </w:rPr>
        <w:t xml:space="preserve"> x</w:t>
      </w:r>
      <w:r w:rsidRPr="00C066D6">
        <w:rPr>
          <w:i/>
          <w:vertAlign w:val="subscript"/>
        </w:rPr>
        <w:t>A</w:t>
      </w:r>
      <w:r w:rsidRPr="00C066D6">
        <w:t xml:space="preserve">  =</w:t>
      </w:r>
      <w:r w:rsidRPr="00C066D6">
        <w:rPr>
          <w:i/>
        </w:rPr>
        <w:t xml:space="preserve"> CE</w:t>
      </w:r>
      <w:r w:rsidRPr="00C066D6">
        <w:rPr>
          <w:i/>
          <w:vertAlign w:val="subscript"/>
        </w:rPr>
        <w:t>A</w:t>
      </w:r>
      <w:r w:rsidRPr="00C066D6">
        <w:t xml:space="preserve"> je tzv</w:t>
      </w:r>
      <w:r w:rsidR="002767FF" w:rsidRPr="00C066D6">
        <w:t>.</w:t>
      </w:r>
      <w:r w:rsidRPr="00C066D6">
        <w:t xml:space="preserve"> </w:t>
      </w:r>
      <w:r w:rsidRPr="00C066D6">
        <w:rPr>
          <w:i/>
        </w:rPr>
        <w:t xml:space="preserve">peněžní ekvivalent </w:t>
      </w:r>
      <w:r w:rsidRPr="00C066D6">
        <w:t xml:space="preserve">(cash equivalent). Rozdíl  </w:t>
      </w:r>
      <w:r w:rsidRPr="00C066D6">
        <w:rPr>
          <w:i/>
        </w:rPr>
        <w:t xml:space="preserve">RP </w:t>
      </w:r>
      <w:r w:rsidRPr="00C066D6">
        <w:t xml:space="preserve"> = </w:t>
      </w:r>
      <w:r w:rsidRPr="00C066D6">
        <w:rPr>
          <w:i/>
        </w:rPr>
        <w:t xml:space="preserve">EMV </w:t>
      </w:r>
      <w:r w:rsidRPr="00C066D6">
        <w:t xml:space="preserve">- </w:t>
      </w:r>
      <w:r w:rsidRPr="00C066D6">
        <w:rPr>
          <w:i/>
        </w:rPr>
        <w:t>CE</w:t>
      </w:r>
      <w:r w:rsidRPr="00C066D6">
        <w:rPr>
          <w:i/>
          <w:vertAlign w:val="subscript"/>
        </w:rPr>
        <w:t xml:space="preserve">A  </w:t>
      </w:r>
      <w:r w:rsidRPr="00C066D6">
        <w:t xml:space="preserve"> je </w:t>
      </w:r>
      <w:r w:rsidRPr="00C066D6">
        <w:rPr>
          <w:i/>
        </w:rPr>
        <w:t xml:space="preserve">pojistné </w:t>
      </w:r>
      <w:r w:rsidRPr="00C066D6">
        <w:t xml:space="preserve">(risk premium), které je rizikový manažer ochoten zaplatit, aby se vyhnul riziku spojenému se hrou (s rizikovým podnikem). </w:t>
      </w:r>
    </w:p>
    <w:p w:rsidR="00163B46" w:rsidRPr="00C066D6" w:rsidRDefault="00163B46" w:rsidP="00636F8B">
      <w:r w:rsidRPr="00C066D6">
        <w:t xml:space="preserve">Stanovení peněžního ekvivalentu je základním krokem, který musí rizikový manažer učinit. V následujícím kroku musí najít takové řešení, které vede k maximálnímu užitku. </w:t>
      </w:r>
    </w:p>
    <w:p w:rsidR="00163B46" w:rsidRPr="00C066D6" w:rsidRDefault="00163B46" w:rsidP="00636F8B">
      <w:r w:rsidRPr="00C066D6">
        <w:t xml:space="preserve">Nechť </w:t>
      </w:r>
      <w:r w:rsidRPr="00C066D6">
        <w:rPr>
          <w:i/>
        </w:rPr>
        <w:t>x</w:t>
      </w:r>
      <w:r w:rsidRPr="00C066D6">
        <w:t xml:space="preserve">,, </w:t>
      </w:r>
      <w:r w:rsidRPr="00C066D6">
        <w:rPr>
          <w:i/>
        </w:rPr>
        <w:t>x</w:t>
      </w:r>
      <w:r w:rsidRPr="00C066D6">
        <w:rPr>
          <w:vertAlign w:val="subscript"/>
        </w:rPr>
        <w:t>2,</w:t>
      </w:r>
      <w:r w:rsidRPr="00C066D6">
        <w:t xml:space="preserve">……, </w:t>
      </w:r>
      <w:r w:rsidRPr="00C066D6">
        <w:rPr>
          <w:i/>
        </w:rPr>
        <w:t>x</w:t>
      </w:r>
      <w:r w:rsidRPr="00C066D6">
        <w:rPr>
          <w:i/>
          <w:vertAlign w:val="subscript"/>
        </w:rPr>
        <w:t>n</w:t>
      </w:r>
      <w:r w:rsidRPr="00C066D6">
        <w:rPr>
          <w:vertAlign w:val="subscript"/>
        </w:rPr>
        <w:t xml:space="preserve"> </w:t>
      </w:r>
      <w:r w:rsidRPr="00C066D6">
        <w:t xml:space="preserve"> jsou možné výsledky hry (výnosy rizikového podniku) s pravděpodobnostmi  </w:t>
      </w:r>
      <w:r w:rsidRPr="00C066D6">
        <w:rPr>
          <w:i/>
        </w:rPr>
        <w:t>p</w:t>
      </w:r>
      <w:r w:rsidRPr="00C066D6">
        <w:rPr>
          <w:vertAlign w:val="subscript"/>
        </w:rPr>
        <w:t xml:space="preserve">1 </w:t>
      </w:r>
      <w:r w:rsidRPr="00C066D6">
        <w:t>,</w:t>
      </w:r>
      <w:r w:rsidRPr="00C066D6">
        <w:rPr>
          <w:i/>
        </w:rPr>
        <w:t xml:space="preserve"> p</w:t>
      </w:r>
      <w:r w:rsidRPr="00C066D6">
        <w:rPr>
          <w:vertAlign w:val="subscript"/>
        </w:rPr>
        <w:t>2</w:t>
      </w:r>
      <w:r w:rsidRPr="00C066D6">
        <w:t>,….,</w:t>
      </w:r>
      <w:r w:rsidRPr="00C066D6">
        <w:rPr>
          <w:i/>
        </w:rPr>
        <w:t xml:space="preserve"> p</w:t>
      </w:r>
      <w:r w:rsidRPr="00C066D6">
        <w:rPr>
          <w:vertAlign w:val="subscript"/>
        </w:rPr>
        <w:t xml:space="preserve">n </w:t>
      </w:r>
      <w:r w:rsidRPr="00C066D6">
        <w:t xml:space="preserve">. Na hodnoty </w:t>
      </w:r>
      <w:r w:rsidRPr="00C066D6">
        <w:rPr>
          <w:i/>
        </w:rPr>
        <w:t>x</w:t>
      </w:r>
      <w:r w:rsidRPr="00C066D6">
        <w:rPr>
          <w:i/>
          <w:vertAlign w:val="subscript"/>
        </w:rPr>
        <w:t>i</w:t>
      </w:r>
      <w:r w:rsidRPr="00C066D6">
        <w:t xml:space="preserve">, </w:t>
      </w:r>
      <w:r w:rsidRPr="00C066D6">
        <w:rPr>
          <w:i/>
        </w:rPr>
        <w:t>i</w:t>
      </w:r>
      <w:r w:rsidRPr="00C066D6">
        <w:t xml:space="preserve"> = 1, …, </w:t>
      </w:r>
      <w:r w:rsidRPr="00C066D6">
        <w:rPr>
          <w:i/>
        </w:rPr>
        <w:t xml:space="preserve">n, </w:t>
      </w:r>
      <w:r w:rsidRPr="00C066D6">
        <w:t>lze pohlížet jako na realizace diskrétní náhodné proměnné. Potom střední užitek vyplyne ze vzorce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2"/>
      </w:tblGrid>
      <w:tr w:rsidR="008D1C58" w:rsidRPr="00C066D6" w:rsidTr="008D1C58">
        <w:tc>
          <w:tcPr>
            <w:tcW w:w="8500" w:type="dxa"/>
          </w:tcPr>
          <w:p w:rsidR="008D1C58" w:rsidRPr="00C066D6" w:rsidRDefault="00B9278C" w:rsidP="00636F8B">
            <w:pPr>
              <w:rPr>
                <w:rFonts w:ascii="Times New Roman" w:eastAsiaTheme="minorEastAsia" w:hAnsi="Times New Roman"/>
                <w:i/>
              </w:rPr>
            </w:pPr>
            <m:oMathPara>
              <m:oMath>
                <m:r>
                  <w:rPr>
                    <w:rFonts w:ascii="Cambria Math" w:eastAsiaTheme="minorEastAsia" w:hAnsi="Cambria Math"/>
                  </w:rPr>
                  <m:t>E</m:t>
                </m:r>
                <m:d>
                  <m:dPr>
                    <m:begChr m:val="["/>
                    <m:endChr m:val="]"/>
                    <m:ctrlPr>
                      <w:rPr>
                        <w:rFonts w:ascii="Cambria Math" w:eastAsiaTheme="minorEastAsia" w:hAnsi="Cambria Math"/>
                        <w:i/>
                      </w:rPr>
                    </m:ctrlPr>
                  </m:dPr>
                  <m:e>
                    <m:r>
                      <w:rPr>
                        <w:rFonts w:ascii="Cambria Math" w:eastAsiaTheme="minorEastAsia" w:hAnsi="Cambria Math"/>
                      </w:rPr>
                      <m:t>U</m:t>
                    </m:r>
                    <m:d>
                      <m:dPr>
                        <m:ctrlPr>
                          <w:rPr>
                            <w:rFonts w:ascii="Cambria Math" w:eastAsiaTheme="minorEastAsia" w:hAnsi="Cambria Math"/>
                            <w:i/>
                          </w:rPr>
                        </m:ctrlPr>
                      </m:dPr>
                      <m:e>
                        <m:r>
                          <w:rPr>
                            <w:rFonts w:ascii="Cambria Math" w:eastAsiaTheme="minorEastAsia" w:hAnsi="Cambria Math"/>
                          </w:rPr>
                          <m:t>x</m:t>
                        </m:r>
                      </m:e>
                    </m:d>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r>
                      <w:rPr>
                        <w:rFonts w:ascii="Cambria Math" w:eastAsiaTheme="minorEastAsia" w:hAnsi="Cambria Math"/>
                      </w:rPr>
                      <m:t>U</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d>
                    <m:r>
                      <w:rPr>
                        <w:rFonts w:ascii="Cambria Math" w:eastAsiaTheme="minorEastAsia" w:hAnsi="Cambria Math"/>
                      </w:rPr>
                      <m:t xml:space="preserve">. </m:t>
                    </m:r>
                  </m:e>
                </m:nary>
              </m:oMath>
            </m:oMathPara>
          </w:p>
        </w:tc>
        <w:tc>
          <w:tcPr>
            <w:tcW w:w="562" w:type="dxa"/>
            <w:vAlign w:val="center"/>
          </w:tcPr>
          <w:p w:rsidR="008D1C58" w:rsidRPr="00C066D6" w:rsidRDefault="008D1C58" w:rsidP="00636F8B">
            <w:r w:rsidRPr="00C066D6">
              <w:rPr>
                <w:lang w:val="en-US"/>
              </w:rPr>
              <w:t>(</w:t>
            </w:r>
            <w:r w:rsidR="009F586E" w:rsidRPr="00C066D6">
              <w:rPr>
                <w:lang w:val="en-US"/>
              </w:rPr>
              <w:t>6</w:t>
            </w:r>
            <w:r w:rsidRPr="00C066D6">
              <w:rPr>
                <w:lang w:val="en-US"/>
              </w:rPr>
              <w:t>)</w:t>
            </w:r>
          </w:p>
        </w:tc>
      </w:tr>
    </w:tbl>
    <w:p w:rsidR="00163B46" w:rsidRPr="00C066D6" w:rsidRDefault="00163B46" w:rsidP="00636F8B">
      <w:r w:rsidRPr="00C066D6">
        <w:lastRenderedPageBreak/>
        <w:t xml:space="preserve">Pokud je </w:t>
      </w:r>
      <w:r w:rsidRPr="00C066D6">
        <w:rPr>
          <w:i/>
        </w:rPr>
        <w:t xml:space="preserve">X </w:t>
      </w:r>
      <w:r w:rsidRPr="00C066D6">
        <w:t xml:space="preserve">spojitou náhodnou </w:t>
      </w:r>
      <w:r w:rsidRPr="00C066D6">
        <w:rPr>
          <w:i/>
        </w:rPr>
        <w:t xml:space="preserve"> </w:t>
      </w:r>
      <w:r w:rsidRPr="00C066D6">
        <w:t xml:space="preserve">proměnnou s hustotou rozdělení </w:t>
      </w:r>
      <m:oMath>
        <m:sSub>
          <m:sSubPr>
            <m:ctrlPr>
              <w:rPr>
                <w:rFonts w:ascii="Cambria Math" w:hAnsi="Cambria Math"/>
                <w:i/>
              </w:rPr>
            </m:ctrlPr>
          </m:sSubPr>
          <m:e>
            <m:r>
              <w:rPr>
                <w:rFonts w:ascii="Cambria Math" w:hAnsi="Cambria Math"/>
              </w:rPr>
              <m:t>f</m:t>
            </m:r>
          </m:e>
          <m:sub>
            <m:r>
              <w:rPr>
                <w:rFonts w:ascii="Cambria Math" w:hAnsi="Cambria Math"/>
              </w:rPr>
              <m:t>X</m:t>
            </m:r>
          </m:sub>
        </m:sSub>
        <m:r>
          <w:rPr>
            <w:rFonts w:ascii="Cambria Math" w:hAnsi="Cambria Math"/>
          </w:rPr>
          <m:t>(x)</m:t>
        </m:r>
      </m:oMath>
      <w:r w:rsidRPr="00C066D6">
        <w:t>, pak střední užitek je vyjádřen takto:</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2"/>
      </w:tblGrid>
      <w:tr w:rsidR="00B9278C" w:rsidRPr="00C066D6" w:rsidTr="00A75D5E">
        <w:tc>
          <w:tcPr>
            <w:tcW w:w="8500" w:type="dxa"/>
          </w:tcPr>
          <w:p w:rsidR="00B9278C" w:rsidRPr="00C066D6" w:rsidRDefault="00B9278C" w:rsidP="00636F8B">
            <w:pPr>
              <w:rPr>
                <w:rFonts w:ascii="Times New Roman" w:eastAsiaTheme="minorEastAsia" w:hAnsi="Times New Roman"/>
              </w:rPr>
            </w:pPr>
            <m:oMathPara>
              <m:oMath>
                <m:r>
                  <w:rPr>
                    <w:rFonts w:ascii="Cambria Math" w:hAnsi="Cambria Math"/>
                  </w:rPr>
                  <m:t>E</m:t>
                </m:r>
                <m:r>
                  <m:rPr>
                    <m:sty m:val="p"/>
                  </m:rPr>
                  <w:rPr>
                    <w:rFonts w:ascii="Cambria Math" w:hAnsi="Cambria Math"/>
                  </w:rPr>
                  <m:t>[</m:t>
                </m:r>
                <m:r>
                  <w:rPr>
                    <w:rFonts w:ascii="Cambria Math" w:hAnsi="Cambria Math"/>
                  </w:rPr>
                  <m:t>U</m:t>
                </m:r>
                <m:r>
                  <m:rPr>
                    <m:sty m:val="p"/>
                  </m:rPr>
                  <w:rPr>
                    <w:rFonts w:ascii="Cambria Math" w:hAnsi="Cambria Math"/>
                  </w:rPr>
                  <m:t>(</m:t>
                </m:r>
                <m:r>
                  <w:rPr>
                    <w:rFonts w:ascii="Cambria Math" w:hAnsi="Cambria Math"/>
                  </w:rPr>
                  <m:t>x</m:t>
                </m:r>
                <m:r>
                  <m:rPr>
                    <m:sty m:val="p"/>
                  </m:rPr>
                  <w:rPr>
                    <w:rFonts w:ascii="Cambria Math" w:hAnsi="Cambria Math"/>
                  </w:rPr>
                  <m:t>)] =</m:t>
                </m:r>
                <m:nary>
                  <m:naryPr>
                    <m:limLoc m:val="undOvr"/>
                    <m:ctrlPr>
                      <w:rPr>
                        <w:rFonts w:ascii="Cambria Math" w:hAnsi="Cambria Math"/>
                      </w:rPr>
                    </m:ctrlPr>
                  </m:naryPr>
                  <m:sub>
                    <m:r>
                      <m:rPr>
                        <m:sty m:val="p"/>
                      </m:rPr>
                      <w:rPr>
                        <w:rFonts w:ascii="Cambria Math" w:hAnsi="Cambria Math"/>
                      </w:rPr>
                      <m:t xml:space="preserve">  </m:t>
                    </m:r>
                    <m:sSub>
                      <m:sSubPr>
                        <m:ctrlPr>
                          <w:rPr>
                            <w:rFonts w:ascii="Cambria Math" w:hAnsi="Cambria Math"/>
                          </w:rPr>
                        </m:ctrlPr>
                      </m:sSubPr>
                      <m:e>
                        <m:r>
                          <w:rPr>
                            <w:rFonts w:ascii="Cambria Math" w:hAnsi="Cambria Math"/>
                          </w:rPr>
                          <m:t>x</m:t>
                        </m:r>
                      </m:e>
                      <m:sub>
                        <m:r>
                          <w:rPr>
                            <w:rFonts w:ascii="Cambria Math" w:hAnsi="Cambria Math"/>
                          </w:rPr>
                          <m:t>min</m:t>
                        </m:r>
                      </m:sub>
                    </m:sSub>
                  </m:sub>
                  <m:sup>
                    <m:sSub>
                      <m:sSubPr>
                        <m:ctrlPr>
                          <w:rPr>
                            <w:rFonts w:ascii="Cambria Math" w:hAnsi="Cambria Math"/>
                          </w:rPr>
                        </m:ctrlPr>
                      </m:sSubPr>
                      <m:e>
                        <m:r>
                          <w:rPr>
                            <w:rFonts w:ascii="Cambria Math" w:hAnsi="Cambria Math"/>
                          </w:rPr>
                          <m:t>x</m:t>
                        </m:r>
                      </m:e>
                      <m:sub>
                        <m:r>
                          <w:rPr>
                            <w:rFonts w:ascii="Cambria Math" w:hAnsi="Cambria Math"/>
                          </w:rPr>
                          <m:t>max</m:t>
                        </m:r>
                      </m:sub>
                    </m:sSub>
                  </m:sup>
                  <m:e>
                    <m:r>
                      <w:rPr>
                        <w:rFonts w:ascii="Cambria Math" w:hAnsi="Cambria Math"/>
                      </w:rPr>
                      <m:t>U</m:t>
                    </m:r>
                    <m:d>
                      <m:dPr>
                        <m:ctrlPr>
                          <w:rPr>
                            <w:rFonts w:ascii="Cambria Math" w:hAnsi="Cambria Math"/>
                          </w:rPr>
                        </m:ctrlPr>
                      </m:dPr>
                      <m:e>
                        <m:r>
                          <w:rPr>
                            <w:rFonts w:ascii="Cambria Math" w:hAnsi="Cambria Math"/>
                          </w:rPr>
                          <m:t>x</m:t>
                        </m:r>
                      </m:e>
                    </m:d>
                    <m:sSub>
                      <m:sSubPr>
                        <m:ctrlPr>
                          <w:rPr>
                            <w:rFonts w:ascii="Cambria Math" w:hAnsi="Cambria Math"/>
                          </w:rPr>
                        </m:ctrlPr>
                      </m:sSubPr>
                      <m:e>
                        <m:r>
                          <w:rPr>
                            <w:rFonts w:ascii="Cambria Math" w:hAnsi="Cambria Math"/>
                          </w:rPr>
                          <m:t>f</m:t>
                        </m:r>
                      </m:e>
                      <m:sub>
                        <m:r>
                          <w:rPr>
                            <w:rFonts w:ascii="Cambria Math" w:hAnsi="Cambria Math"/>
                          </w:rPr>
                          <m:t>X</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dx</m:t>
                    </m:r>
                    <m:r>
                      <m:rPr>
                        <m:sty m:val="p"/>
                      </m:rPr>
                      <w:rPr>
                        <w:rFonts w:ascii="Cambria Math" w:hAnsi="Cambria Math"/>
                      </w:rPr>
                      <m:t xml:space="preserve"> .</m:t>
                    </m:r>
                  </m:e>
                </m:nary>
              </m:oMath>
            </m:oMathPara>
          </w:p>
        </w:tc>
        <w:tc>
          <w:tcPr>
            <w:tcW w:w="562" w:type="dxa"/>
            <w:vAlign w:val="center"/>
          </w:tcPr>
          <w:p w:rsidR="00B9278C" w:rsidRPr="00C066D6" w:rsidRDefault="009F586E" w:rsidP="00636F8B">
            <w:r w:rsidRPr="00C066D6">
              <w:rPr>
                <w:lang w:val="en-US"/>
              </w:rPr>
              <w:t>(7</w:t>
            </w:r>
            <w:r w:rsidR="00B9278C" w:rsidRPr="00C066D6">
              <w:rPr>
                <w:lang w:val="en-US"/>
              </w:rPr>
              <w:t>)</w:t>
            </w:r>
          </w:p>
        </w:tc>
      </w:tr>
    </w:tbl>
    <w:p w:rsidR="00B9278C" w:rsidRPr="00C066D6" w:rsidRDefault="00B9278C" w:rsidP="00636F8B">
      <w:pPr>
        <w:rPr>
          <w:rFonts w:eastAsia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63B46" w:rsidRPr="00C066D6" w:rsidRDefault="00163B46" w:rsidP="00636F8B">
      <w:r w:rsidRPr="00C066D6">
        <w:t xml:space="preserve">Pozitivní výsledky (výnosy) přinášejí </w:t>
      </w:r>
      <w:r w:rsidRPr="00C066D6">
        <w:rPr>
          <w:i/>
        </w:rPr>
        <w:t>užitek (utility)</w:t>
      </w:r>
      <w:r w:rsidRPr="00C066D6">
        <w:t>,</w:t>
      </w:r>
      <w:r w:rsidR="002767FF" w:rsidRPr="00C066D6">
        <w:t xml:space="preserve"> naopak</w:t>
      </w:r>
      <w:r w:rsidRPr="00C066D6">
        <w:t xml:space="preserve"> nežádoucí výsledky (ztráty a náklady) jsou v anglické terminologii označovány jako </w:t>
      </w:r>
      <w:r w:rsidRPr="00C066D6">
        <w:rPr>
          <w:i/>
        </w:rPr>
        <w:t xml:space="preserve">disutility </w:t>
      </w:r>
      <w:r w:rsidRPr="00C066D6">
        <w:t xml:space="preserve">a  rizikový manažer se je snaží  minimalizovat. </w:t>
      </w:r>
    </w:p>
    <w:p w:rsidR="00163B46" w:rsidRPr="00C066D6" w:rsidRDefault="00163B46" w:rsidP="00636F8B">
      <w:r w:rsidRPr="00C066D6">
        <w:t>Z psychologického hlediska lze očekávat jiný přístup rizikového manažera k riziku při malých a velkých hodnotách výstupní náhodné proměnné</w:t>
      </w:r>
      <w:r w:rsidRPr="00C066D6">
        <w:rPr>
          <w:i/>
        </w:rPr>
        <w:t xml:space="preserve"> X. </w:t>
      </w:r>
      <w:r w:rsidRPr="00C066D6">
        <w:t>Tomu odpovídá sigmoidál</w:t>
      </w:r>
      <w:r w:rsidR="009E29B9" w:rsidRPr="00C066D6">
        <w:t>ní tvar funkce užitku na Obr. 15 (srov. s Obr. 14</w:t>
      </w:r>
      <w:r w:rsidRPr="00C066D6">
        <w:t xml:space="preserve">). Pro malé hodnoty lze očekávat spíš příchylnost k riziku (rizikový manažer vykazuje reverzi k riziku), pro velké hodnoty </w:t>
      </w:r>
      <w:r w:rsidRPr="00C066D6">
        <w:rPr>
          <w:i/>
        </w:rPr>
        <w:t xml:space="preserve">X </w:t>
      </w:r>
      <w:r w:rsidRPr="00C066D6">
        <w:t>je očekávatelná spíš averze k riziku.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8D1C58" w:rsidRPr="00C066D6" w:rsidTr="008D1C58">
        <w:tc>
          <w:tcPr>
            <w:tcW w:w="8640" w:type="dxa"/>
          </w:tcPr>
          <w:p w:rsidR="008D1C58" w:rsidRPr="00C066D6" w:rsidRDefault="00962811" w:rsidP="00636F8B">
            <w:pPr>
              <w:jc w:val="center"/>
            </w:pPr>
            <w:r w:rsidRPr="00C066D6">
              <w:object w:dxaOrig="10188" w:dyaOrig="7560" w14:anchorId="22187FCD">
                <v:shape id="_x0000_i1026" type="#_x0000_t75" style="width:240.95pt;height:178.8pt" o:ole="">
                  <v:imagedata r:id="rId29" o:title=""/>
                </v:shape>
                <o:OLEObject Type="Embed" ProgID="PBrush" ShapeID="_x0000_i1026" DrawAspect="Content" ObjectID="_1627888009" r:id="rId30"/>
              </w:object>
            </w:r>
          </w:p>
        </w:tc>
      </w:tr>
      <w:tr w:rsidR="008D1C58" w:rsidRPr="00C066D6" w:rsidTr="008D1C58">
        <w:tc>
          <w:tcPr>
            <w:tcW w:w="8640" w:type="dxa"/>
          </w:tcPr>
          <w:p w:rsidR="008D1C58" w:rsidRPr="00C066D6" w:rsidRDefault="008D1C58" w:rsidP="00636F8B">
            <w:pPr>
              <w:jc w:val="center"/>
            </w:pPr>
            <w:r w:rsidRPr="00C066D6">
              <w:t>Ob</w:t>
            </w:r>
            <w:r w:rsidR="009E29B9" w:rsidRPr="00C066D6">
              <w:t>r. 15</w:t>
            </w:r>
            <w:r w:rsidRPr="00C066D6">
              <w:t xml:space="preserve"> Funkce užitku sigmoidálního typu</w:t>
            </w:r>
          </w:p>
        </w:tc>
      </w:tr>
    </w:tbl>
    <w:p w:rsidR="00163B46" w:rsidRPr="00C066D6" w:rsidRDefault="00163B46" w:rsidP="008D1C58">
      <w:pPr>
        <w:rPr>
          <w:rFonts w:eastAsia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63B46" w:rsidRPr="00C066D6" w:rsidRDefault="00163B46" w:rsidP="00364908">
      <w:pPr>
        <w:pStyle w:val="Nadpis2"/>
      </w:pPr>
      <w:r w:rsidRPr="00C066D6">
        <w:t>3.3.2 Aplikace teorie užitku na hodnocení důsledků požáru v tunelu</w:t>
      </w:r>
    </w:p>
    <w:p w:rsidR="00163B46" w:rsidRPr="00C066D6" w:rsidRDefault="00163B46" w:rsidP="00B972C2">
      <w:r w:rsidRPr="00C066D6">
        <w:t xml:space="preserve">Při velkých ztrátách způsobených požárem se doporučuje vzít v úvahu hodnotu vlastníkova majetku </w:t>
      </w:r>
      <w:r w:rsidRPr="00C066D6">
        <w:rPr>
          <w:i/>
        </w:rPr>
        <w:t>W</w:t>
      </w:r>
      <w:r w:rsidRPr="00C066D6">
        <w:t xml:space="preserve"> a vztáhnout funkci užitku k hodnotě majetku redukované důsledkem požáru </w:t>
      </w:r>
      <w:r w:rsidRPr="00C066D6">
        <w:rPr>
          <w:i/>
        </w:rPr>
        <w:t xml:space="preserve">X. </w:t>
      </w:r>
      <w:r w:rsidRPr="00C066D6">
        <w:t xml:space="preserve">Redukovaná hodnota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2"/>
      </w:tblGrid>
      <w:tr w:rsidR="00B9278C" w:rsidRPr="00C066D6" w:rsidTr="00A75D5E">
        <w:tc>
          <w:tcPr>
            <w:tcW w:w="8500" w:type="dxa"/>
          </w:tcPr>
          <w:p w:rsidR="00B9278C" w:rsidRPr="00C066D6" w:rsidRDefault="00B9278C" w:rsidP="00636F8B">
            <w:pPr>
              <w:rPr>
                <w:rFonts w:ascii="Times New Roman" w:eastAsiaTheme="minorEastAsia" w:hAnsi="Times New Roman"/>
              </w:rPr>
            </w:pPr>
            <m:oMathPara>
              <m:oMath>
                <m:r>
                  <w:rPr>
                    <w:rFonts w:ascii="Cambria Math" w:hAnsi="Cambria Math"/>
                  </w:rPr>
                  <m:t>Z</m:t>
                </m:r>
                <m:r>
                  <m:rPr>
                    <m:sty m:val="p"/>
                  </m:rPr>
                  <w:rPr>
                    <w:rFonts w:ascii="Cambria Math" w:hAnsi="Cambria Math"/>
                  </w:rPr>
                  <m:t>=</m:t>
                </m:r>
                <m:r>
                  <w:rPr>
                    <w:rFonts w:ascii="Cambria Math" w:hAnsi="Cambria Math"/>
                  </w:rPr>
                  <m:t>W</m:t>
                </m:r>
                <m:r>
                  <m:rPr>
                    <m:sty m:val="p"/>
                  </m:rPr>
                  <w:rPr>
                    <w:rFonts w:ascii="Cambria Math" w:hAnsi="Cambria Math"/>
                  </w:rPr>
                  <m:t>-</m:t>
                </m:r>
                <m:r>
                  <w:rPr>
                    <w:rFonts w:ascii="Cambria Math" w:hAnsi="Cambria Math"/>
                  </w:rPr>
                  <m:t>X</m:t>
                </m:r>
              </m:oMath>
            </m:oMathPara>
          </w:p>
        </w:tc>
        <w:tc>
          <w:tcPr>
            <w:tcW w:w="562" w:type="dxa"/>
            <w:vAlign w:val="center"/>
          </w:tcPr>
          <w:p w:rsidR="00B9278C" w:rsidRPr="00C066D6" w:rsidRDefault="009F586E" w:rsidP="00A75D5E">
            <w:r w:rsidRPr="00C066D6">
              <w:rPr>
                <w:lang w:val="en-US"/>
              </w:rPr>
              <w:t>(8</w:t>
            </w:r>
            <w:r w:rsidR="00B9278C" w:rsidRPr="00C066D6">
              <w:rPr>
                <w:lang w:val="en-US"/>
              </w:rPr>
              <w:t>)</w:t>
            </w:r>
          </w:p>
        </w:tc>
      </w:tr>
    </w:tbl>
    <w:p w:rsidR="00B972C2" w:rsidRPr="00C066D6" w:rsidRDefault="00B972C2" w:rsidP="00B972C2"/>
    <w:p w:rsidR="00163B46" w:rsidRPr="00C066D6" w:rsidRDefault="00163B46" w:rsidP="00B972C2">
      <w:r w:rsidRPr="00C066D6">
        <w:t>naznačuje vlastníkovu schopnost absorbovat ztrátu.</w:t>
      </w:r>
    </w:p>
    <w:p w:rsidR="00163B46" w:rsidRPr="00C066D6" w:rsidRDefault="00163B46" w:rsidP="00B972C2">
      <w:r w:rsidRPr="00C066D6">
        <w:t>Pro svou jednoduchost se používá často konkávní funkce ve tvaru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62"/>
      </w:tblGrid>
      <w:tr w:rsidR="00B9278C" w:rsidRPr="00C066D6" w:rsidTr="00A75D5E">
        <w:tc>
          <w:tcPr>
            <w:tcW w:w="8500" w:type="dxa"/>
          </w:tcPr>
          <w:p w:rsidR="00B9278C" w:rsidRPr="00C066D6" w:rsidRDefault="00B9278C" w:rsidP="00636F8B">
            <w:pPr>
              <w:rPr>
                <w:rFonts w:ascii="Times New Roman" w:eastAsiaTheme="minorEastAsia" w:hAnsi="Times New Roman"/>
              </w:rPr>
            </w:pPr>
            <m:oMathPara>
              <m:oMath>
                <m:r>
                  <w:rPr>
                    <w:rFonts w:ascii="Cambria Math" w:hAnsi="Cambria Math"/>
                  </w:rPr>
                  <m:t>U</m:t>
                </m:r>
                <m:d>
                  <m:dPr>
                    <m:ctrlPr>
                      <w:rPr>
                        <w:rFonts w:ascii="Cambria Math" w:hAnsi="Cambria Math"/>
                      </w:rPr>
                    </m:ctrlPr>
                  </m:dPr>
                  <m:e>
                    <m:r>
                      <w:rPr>
                        <w:rFonts w:ascii="Cambria Math" w:hAnsi="Cambria Math"/>
                      </w:rPr>
                      <m:t>Z</m:t>
                    </m:r>
                  </m:e>
                </m:d>
                <m:r>
                  <m:rPr>
                    <m:sty m:val="p"/>
                  </m:rPr>
                  <w:rPr>
                    <w:rFonts w:ascii="Cambria Math" w:hAnsi="Cambria Math"/>
                  </w:rPr>
                  <m:t xml:space="preserve">= - </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θZ</m:t>
                    </m:r>
                  </m:sup>
                </m:sSup>
                <m:r>
                  <m:rPr>
                    <m:sty m:val="p"/>
                  </m:rPr>
                  <w:rPr>
                    <w:rFonts w:ascii="Cambria Math" w:hAnsi="Cambria Math"/>
                  </w:rPr>
                  <m:t xml:space="preserve">= - </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θ</m:t>
                    </m:r>
                    <m:d>
                      <m:dPr>
                        <m:ctrlPr>
                          <w:rPr>
                            <w:rFonts w:ascii="Cambria Math" w:hAnsi="Cambria Math"/>
                          </w:rPr>
                        </m:ctrlPr>
                      </m:dPr>
                      <m:e>
                        <m:r>
                          <w:rPr>
                            <w:rFonts w:ascii="Cambria Math" w:hAnsi="Cambria Math"/>
                          </w:rPr>
                          <m:t>W</m:t>
                        </m:r>
                        <m:r>
                          <m:rPr>
                            <m:sty m:val="p"/>
                          </m:rPr>
                          <w:rPr>
                            <w:rFonts w:ascii="Cambria Math" w:hAnsi="Cambria Math"/>
                          </w:rPr>
                          <m:t>-</m:t>
                        </m:r>
                        <m:r>
                          <w:rPr>
                            <w:rFonts w:ascii="Cambria Math" w:hAnsi="Cambria Math"/>
                          </w:rPr>
                          <m:t>X</m:t>
                        </m:r>
                      </m:e>
                    </m:d>
                  </m:sup>
                </m:sSup>
                <m:r>
                  <m:rPr>
                    <m:sty m:val="p"/>
                  </m:rPr>
                  <w:rPr>
                    <w:rFonts w:ascii="Cambria Math" w:hAnsi="Cambria Math"/>
                  </w:rPr>
                  <m:t xml:space="preserve">= - </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θW</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e</m:t>
                    </m:r>
                  </m:e>
                  <m:sup>
                    <m:r>
                      <w:rPr>
                        <w:rFonts w:ascii="Cambria Math" w:hAnsi="Cambria Math"/>
                      </w:rPr>
                      <m:t>θX</m:t>
                    </m:r>
                  </m:sup>
                </m:sSup>
                <m:r>
                  <m:rPr>
                    <m:sty m:val="p"/>
                  </m:rPr>
                  <w:rPr>
                    <w:rFonts w:ascii="Cambria Math" w:hAnsi="Cambria Math"/>
                  </w:rPr>
                  <m:t>,</m:t>
                </m:r>
              </m:oMath>
            </m:oMathPara>
          </w:p>
        </w:tc>
        <w:tc>
          <w:tcPr>
            <w:tcW w:w="562" w:type="dxa"/>
            <w:vAlign w:val="center"/>
          </w:tcPr>
          <w:p w:rsidR="00B9278C" w:rsidRPr="00C066D6" w:rsidRDefault="009F586E" w:rsidP="00A75D5E">
            <w:r w:rsidRPr="00C066D6">
              <w:rPr>
                <w:lang w:val="en-US"/>
              </w:rPr>
              <w:t>(9</w:t>
            </w:r>
            <w:r w:rsidR="00B9278C" w:rsidRPr="00C066D6">
              <w:rPr>
                <w:lang w:val="en-US"/>
              </w:rPr>
              <w:t>)</w:t>
            </w:r>
          </w:p>
        </w:tc>
      </w:tr>
    </w:tbl>
    <w:p w:rsidR="00B9278C" w:rsidRPr="00C066D6" w:rsidRDefault="00B9278C" w:rsidP="00163B46">
      <w:pPr>
        <w:rPr>
          <w:rFonts w:eastAsia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63B46" w:rsidRPr="00C066D6" w:rsidRDefault="00163B46" w:rsidP="00B972C2">
      <w:r w:rsidRPr="00C066D6">
        <w:t>kde parametr</w:t>
      </w:r>
      <m:oMath>
        <m:r>
          <w:rPr>
            <w:rFonts w:ascii="Cambria Math" w:hAnsi="Cambria Math"/>
          </w:rPr>
          <m:t xml:space="preserve"> θ </m:t>
        </m:r>
      </m:oMath>
      <w:r w:rsidRPr="00C066D6">
        <w:t xml:space="preserve"> vystihuje míru averze rizikového manažera vůči riziku.</w:t>
      </w:r>
    </w:p>
    <w:p w:rsidR="00163B46" w:rsidRPr="00C066D6" w:rsidRDefault="00163B46" w:rsidP="00636F8B">
      <w:r w:rsidRPr="00C066D6">
        <w:lastRenderedPageBreak/>
        <w:t>Souborem opatření lze dosáhnout jak nižší ztráty na majetku (při větší požární odolnosti),</w:t>
      </w:r>
      <w:r w:rsidRPr="00C066D6">
        <w:rPr>
          <w:i/>
        </w:rPr>
        <w:t xml:space="preserve"> </w:t>
      </w:r>
      <w:r w:rsidRPr="00C066D6">
        <w:t xml:space="preserve">tak snížení pravděpodobností vzniklých škod, ovšem za cenu dodatečného nákladu </w:t>
      </w:r>
      <w:r w:rsidRPr="00C066D6">
        <w:rPr>
          <w:i/>
        </w:rPr>
        <w:t>C.</w:t>
      </w:r>
      <w:r w:rsidRPr="00C066D6">
        <w:t xml:space="preserve"> Ten zahrnuje i další případné položky, jako je platba pojistného apod. </w:t>
      </w:r>
      <w:r w:rsidRPr="00C066D6">
        <w:rPr>
          <w:i/>
        </w:rPr>
        <w:t xml:space="preserve"> </w:t>
      </w:r>
      <w:r w:rsidRPr="00C066D6">
        <w:t>Redukovaná hodnota majetku pak bude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3"/>
        <w:gridCol w:w="599"/>
      </w:tblGrid>
      <w:tr w:rsidR="00B9278C" w:rsidRPr="00C066D6" w:rsidTr="00A75D5E">
        <w:tc>
          <w:tcPr>
            <w:tcW w:w="8500" w:type="dxa"/>
          </w:tcPr>
          <w:p w:rsidR="00B9278C" w:rsidRPr="00C066D6" w:rsidRDefault="00B9278C" w:rsidP="00636F8B">
            <w:pPr>
              <w:rPr>
                <w:rFonts w:ascii="Times New Roman" w:eastAsiaTheme="minorEastAsia" w:hAnsi="Times New Roman"/>
                <w:i/>
              </w:rPr>
            </w:pPr>
            <m:oMathPara>
              <m:oMath>
                <m:r>
                  <w:rPr>
                    <w:rFonts w:ascii="Cambria Math" w:hAnsi="Cambria Math"/>
                  </w:rPr>
                  <m:t xml:space="preserve">Z=W-C- X. </m:t>
                </m:r>
              </m:oMath>
            </m:oMathPara>
          </w:p>
        </w:tc>
        <w:tc>
          <w:tcPr>
            <w:tcW w:w="562" w:type="dxa"/>
            <w:vAlign w:val="center"/>
          </w:tcPr>
          <w:p w:rsidR="00B9278C" w:rsidRPr="00C066D6" w:rsidRDefault="009F586E" w:rsidP="00636F8B">
            <w:r w:rsidRPr="00C066D6">
              <w:rPr>
                <w:lang w:val="en-US"/>
              </w:rPr>
              <w:t>(8</w:t>
            </w:r>
            <w:r w:rsidR="00B9278C" w:rsidRPr="00C066D6">
              <w:rPr>
                <w:lang w:val="en-US"/>
              </w:rPr>
              <w:t>a)</w:t>
            </w:r>
          </w:p>
        </w:tc>
      </w:tr>
    </w:tbl>
    <w:p w:rsidR="00B9278C" w:rsidRPr="00C066D6" w:rsidRDefault="00B9278C" w:rsidP="00636F8B">
      <w:pPr>
        <w:rPr>
          <w:rFonts w:eastAsia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63B46" w:rsidRPr="00C066D6" w:rsidRDefault="00163B46" w:rsidP="00636F8B">
      <w:r w:rsidRPr="00C066D6">
        <w:t xml:space="preserve">Podstatnou rizikovou položkou jsou nepřímé finanční ztráty způsobené uzavřením tunelu v době rekonstrukce. Ty zahrneme do komplexní rozvahy v následujícím </w:t>
      </w:r>
      <w:r w:rsidR="002767FF" w:rsidRPr="00C066D6">
        <w:t xml:space="preserve">Odst. </w:t>
      </w:r>
      <w:r w:rsidRPr="00C066D6">
        <w:t>3.</w:t>
      </w:r>
      <w:r w:rsidR="002767FF" w:rsidRPr="00C066D6">
        <w:t>3.3</w:t>
      </w:r>
      <w:r w:rsidR="009202CD" w:rsidRPr="00C066D6">
        <w:t>.</w:t>
      </w:r>
    </w:p>
    <w:p w:rsidR="00163B46" w:rsidRPr="00C066D6" w:rsidRDefault="00163B46" w:rsidP="00163B46">
      <w:pPr>
        <w:rPr>
          <w:rFonts w:eastAsia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63B46" w:rsidRPr="00C066D6" w:rsidRDefault="00163B46" w:rsidP="00636F8B">
      <w:pPr>
        <w:pStyle w:val="Nadpis2"/>
      </w:pPr>
      <w:r w:rsidRPr="00C066D6">
        <w:t>3.3.3 Výběr varianty řešení se zahrnutím přímých i nepřímých důsledků požáru</w:t>
      </w:r>
    </w:p>
    <w:p w:rsidR="00163B46" w:rsidRPr="00C066D6" w:rsidRDefault="00163B46" w:rsidP="00636F8B">
      <w:pPr>
        <w:rPr>
          <w:rFonts w:eastAsiaTheme="minorEastAsia"/>
        </w:rPr>
      </w:pPr>
      <w:r w:rsidRPr="00C066D6">
        <w:t xml:space="preserve">Finanční ztrátu způsobenou dobou přerušení provozu v tunelu během opravy lze modelovat jako další náhodnou proměnnou </w:t>
      </w:r>
      <w:r w:rsidRPr="00C066D6">
        <w:rPr>
          <w:i/>
        </w:rPr>
        <w:t xml:space="preserve">Y </w:t>
      </w:r>
      <w:r w:rsidRPr="00C066D6">
        <w:t xml:space="preserve">se spojitým rozdělením </w:t>
      </w:r>
      <m:oMath>
        <m:sSub>
          <m:sSubPr>
            <m:ctrlPr>
              <w:rPr>
                <w:rFonts w:ascii="Cambria Math" w:hAnsi="Cambria Math"/>
                <w:i/>
              </w:rPr>
            </m:ctrlPr>
          </m:sSubPr>
          <m:e>
            <m:r>
              <w:rPr>
                <w:rFonts w:ascii="Cambria Math" w:hAnsi="Cambria Math"/>
              </w:rPr>
              <m:t>f</m:t>
            </m:r>
          </m:e>
          <m:sub>
            <m:r>
              <w:rPr>
                <w:rFonts w:ascii="Cambria Math" w:hAnsi="Cambria Math"/>
              </w:rPr>
              <m:t xml:space="preserve">Y </m:t>
            </m:r>
          </m:sub>
        </m:sSub>
      </m:oMath>
      <w:r w:rsidRPr="00C066D6">
        <w:rPr>
          <w:rFonts w:eastAsiaTheme="minorEastAsia"/>
        </w:rPr>
        <w:t xml:space="preserve">(y). Podle metodiky, popsané v </w:t>
      </w:r>
      <w:r w:rsidR="002767FF" w:rsidRPr="00C066D6">
        <w:rPr>
          <w:rFonts w:eastAsiaTheme="minorEastAsia"/>
        </w:rPr>
        <w:t>Čl. 3</w:t>
      </w:r>
      <w:r w:rsidRPr="00C066D6">
        <w:rPr>
          <w:rFonts w:eastAsiaTheme="minorEastAsia"/>
        </w:rPr>
        <w:t xml:space="preserve">.2, může dojít k přerušení provozu kterýmkoli z devíti požárních scénářů </w:t>
      </w:r>
      <w:r w:rsidRPr="00C066D6">
        <w:rPr>
          <w:rFonts w:eastAsiaTheme="minorEastAsia"/>
          <w:i/>
        </w:rPr>
        <w:t>Sc = i</w:t>
      </w:r>
      <w:r w:rsidR="009F586E" w:rsidRPr="00C066D6">
        <w:rPr>
          <w:rFonts w:eastAsiaTheme="minorEastAsia"/>
        </w:rPr>
        <w:t>, viz rov. (5</w:t>
      </w:r>
      <w:r w:rsidRPr="00C066D6">
        <w:rPr>
          <w:rFonts w:eastAsiaTheme="minorEastAsia"/>
        </w:rPr>
        <w:t xml:space="preserve">) a Obr. 6a,b. </w:t>
      </w:r>
    </w:p>
    <w:p w:rsidR="00163B46" w:rsidRPr="00C066D6" w:rsidRDefault="00163B46" w:rsidP="00636F8B">
      <w:pPr>
        <w:rPr>
          <w:rFonts w:eastAsiaTheme="minorEastAsia"/>
        </w:rPr>
      </w:pPr>
      <w:r w:rsidRPr="00C066D6">
        <w:rPr>
          <w:rFonts w:eastAsiaTheme="minorEastAsia"/>
        </w:rPr>
        <w:t xml:space="preserve">Jedná se o </w:t>
      </w:r>
    </w:p>
    <w:p w:rsidR="00163B46" w:rsidRPr="00C066D6" w:rsidRDefault="00163B46" w:rsidP="00636F8B">
      <w:pPr>
        <w:pStyle w:val="Odstavecseseznamem"/>
        <w:numPr>
          <w:ilvl w:val="0"/>
          <w:numId w:val="16"/>
        </w:numPr>
        <w:rPr>
          <w:rFonts w:eastAsiaTheme="minorEastAsia"/>
        </w:rPr>
      </w:pPr>
      <w:r w:rsidRPr="00C066D6">
        <w:t xml:space="preserve">tři scénáře: pro </w:t>
      </w:r>
      <w:r w:rsidRPr="00C066D6">
        <w:rPr>
          <w:i/>
        </w:rPr>
        <w:t xml:space="preserve">i </w:t>
      </w:r>
      <w:r w:rsidRPr="00C066D6">
        <w:t>= 1,2,3, za účasti jednoho</w:t>
      </w:r>
      <w:r w:rsidRPr="00C066D6">
        <w:rPr>
          <w:i/>
        </w:rPr>
        <w:t xml:space="preserve"> TB </w:t>
      </w:r>
      <w:r w:rsidRPr="00C066D6">
        <w:t xml:space="preserve">při požární nehodě s tepelnými výkony </w:t>
      </w:r>
      <w:r w:rsidRPr="00C066D6">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i</m:t>
            </m:r>
          </m:sub>
        </m:sSub>
        <m:r>
          <w:rPr>
            <w:rFonts w:ascii="Cambria Math" w:eastAsiaTheme="minorEastAsia" w:hAnsi="Cambria Math"/>
          </w:rPr>
          <m:t>=5, 30, 100 [MW]</m:t>
        </m:r>
      </m:oMath>
    </w:p>
    <w:p w:rsidR="00163B46" w:rsidRPr="00C066D6" w:rsidRDefault="00163B46" w:rsidP="00A75D5E">
      <w:pPr>
        <w:pStyle w:val="Odstavecseseznamem"/>
        <w:numPr>
          <w:ilvl w:val="0"/>
          <w:numId w:val="16"/>
        </w:numPr>
      </w:pPr>
      <w:r w:rsidRPr="00C066D6">
        <w:rPr>
          <w:rFonts w:eastAsiaTheme="minorEastAsia"/>
        </w:rPr>
        <w:t xml:space="preserve">šest scénářů pro: </w:t>
      </w:r>
      <w:r w:rsidRPr="00C066D6">
        <w:rPr>
          <w:i/>
        </w:rPr>
        <w:t xml:space="preserve">i </w:t>
      </w:r>
      <w:r w:rsidRPr="00C066D6">
        <w:t>= 4, …., 9, za účasti dvou</w:t>
      </w:r>
      <w:r w:rsidRPr="00C066D6">
        <w:rPr>
          <w:i/>
        </w:rPr>
        <w:t xml:space="preserve"> TB</w:t>
      </w:r>
      <w:r w:rsidRPr="00C066D6">
        <w:t xml:space="preserve"> při nehodě s tepelnými výkony</w:t>
      </w:r>
      <w:r w:rsidR="00636F8B" w:rsidRPr="00C066D6">
        <w:t xml:space="preserve">                </w:t>
      </w:r>
      <m:oMath>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i</m:t>
            </m:r>
          </m:sub>
        </m:sSub>
        <m:r>
          <w:rPr>
            <w:rFonts w:ascii="Cambria Math" w:eastAsiaTheme="minorEastAsia" w:hAnsi="Cambria Math"/>
          </w:rPr>
          <m:t>=</m:t>
        </m:r>
        <m:r>
          <w:rPr>
            <w:rFonts w:ascii="Cambria Math" w:hAnsi="Cambria Math"/>
          </w:rPr>
          <m:t xml:space="preserve"> 10, 35, 60, 105, 130, 200 </m:t>
        </m:r>
        <m:r>
          <w:rPr>
            <w:rFonts w:ascii="Cambria Math" w:eastAsiaTheme="minorEastAsia" w:hAnsi="Cambria Math"/>
          </w:rPr>
          <m:t>[MW]</m:t>
        </m:r>
      </m:oMath>
    </w:p>
    <w:p w:rsidR="00163B46" w:rsidRPr="00C066D6" w:rsidRDefault="00163B46" w:rsidP="00636F8B">
      <w:r w:rsidRPr="00C066D6">
        <w:t xml:space="preserve">Hustotu rozdělení pravděpodobnosti finanční ztráty </w:t>
      </w:r>
      <w:r w:rsidRPr="00C066D6">
        <w:rPr>
          <w:i/>
        </w:rPr>
        <w:t xml:space="preserve">Y </w:t>
      </w:r>
      <w:r w:rsidRPr="00C066D6">
        <w:t>vypočteme</w:t>
      </w:r>
      <w:r w:rsidRPr="00C066D6">
        <w:rPr>
          <w:i/>
        </w:rPr>
        <w:t xml:space="preserve"> </w:t>
      </w:r>
      <w:r w:rsidRPr="00C066D6">
        <w:t>s ohledem na podmíněnost souvisejících jevů ve třech krocích:</w:t>
      </w:r>
    </w:p>
    <w:p w:rsidR="00163B46" w:rsidRPr="00C066D6" w:rsidRDefault="008B3A2E" w:rsidP="00636F8B">
      <w:pPr>
        <w:pStyle w:val="Odstavecseseznamem"/>
        <w:numPr>
          <w:ilvl w:val="0"/>
          <w:numId w:val="17"/>
        </w:numPr>
      </w:pPr>
      <m:oMath>
        <m:sSub>
          <m:sSubPr>
            <m:ctrlPr>
              <w:rPr>
                <w:rFonts w:ascii="Cambria Math" w:hAnsi="Cambria Math"/>
                <w:i/>
              </w:rPr>
            </m:ctrlPr>
          </m:sSubPr>
          <m:e>
            <m:r>
              <w:rPr>
                <w:rFonts w:ascii="Cambria Math" w:hAnsi="Cambria Math"/>
              </w:rPr>
              <m:t>f</m:t>
            </m:r>
          </m:e>
          <m:sub>
            <m:r>
              <w:rPr>
                <w:rFonts w:ascii="Cambria Math" w:hAnsi="Cambria Math"/>
              </w:rPr>
              <m:t>Y</m:t>
            </m:r>
          </m:sub>
        </m:sSub>
        <m:r>
          <w:rPr>
            <w:rFonts w:ascii="Cambria Math" w:hAnsi="Cambria Math"/>
          </w:rPr>
          <m:t>(y)</m:t>
        </m:r>
      </m:oMath>
      <w:r w:rsidR="00163B46" w:rsidRPr="00C066D6">
        <w:rPr>
          <w:rFonts w:eastAsiaTheme="minorEastAsia"/>
        </w:rPr>
        <w:t xml:space="preserve"> =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Y</m:t>
            </m:r>
          </m:sub>
        </m:sSub>
        <m:d>
          <m:dPr>
            <m:ctrlPr>
              <w:rPr>
                <w:rFonts w:ascii="Cambria Math" w:eastAsiaTheme="minorEastAsia" w:hAnsi="Cambria Math"/>
                <w:i/>
              </w:rPr>
            </m:ctrlPr>
          </m:dPr>
          <m:e>
            <m:r>
              <w:rPr>
                <w:rFonts w:ascii="Cambria Math" w:eastAsiaTheme="minorEastAsia" w:hAnsi="Cambria Math"/>
              </w:rPr>
              <m:t>y ⎸</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f</m:t>
                </m:r>
              </m:sub>
            </m:sSub>
            <m:r>
              <w:rPr>
                <w:rFonts w:ascii="Cambria Math" w:eastAsiaTheme="minorEastAsia" w:hAnsi="Cambria Math"/>
              </w:rPr>
              <m:t>=1</m:t>
            </m:r>
          </m:e>
        </m:d>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f</m:t>
            </m:r>
          </m:sub>
        </m:sSub>
        <m:r>
          <w:rPr>
            <w:rFonts w:ascii="Cambria Math" w:eastAsiaTheme="minorEastAsia" w:hAnsi="Cambria Math"/>
          </w:rPr>
          <m:t>=1)</m:t>
        </m:r>
      </m:oMath>
      <w:r w:rsidR="00163B46" w:rsidRPr="00C066D6">
        <w:rPr>
          <w:rFonts w:eastAsiaTheme="minorEastAsia"/>
        </w:rPr>
        <w:t>.</w:t>
      </w:r>
    </w:p>
    <w:p w:rsidR="00163B46" w:rsidRPr="00C066D6" w:rsidRDefault="00163B46" w:rsidP="00636F8B">
      <w:pPr>
        <w:rPr>
          <w:rFonts w:eastAsiaTheme="minorEastAsia"/>
        </w:rPr>
      </w:pPr>
      <w:r w:rsidRPr="00C066D6">
        <w:t xml:space="preserve">Pravděpodobnost vzniku jednoho požáru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f</m:t>
            </m:r>
          </m:sub>
        </m:sSub>
        <m:r>
          <w:rPr>
            <w:rFonts w:ascii="Cambria Math" w:eastAsiaTheme="minorEastAsia" w:hAnsi="Cambria Math"/>
          </w:rPr>
          <m:t>=1</m:t>
        </m:r>
      </m:oMath>
      <w:r w:rsidRPr="00C066D6">
        <w:t xml:space="preserve"> se vypočte pomocí intenzity Poissonova procesu </w:t>
      </w:r>
      <m:oMath>
        <m:sSub>
          <m:sSubPr>
            <m:ctrlPr>
              <w:rPr>
                <w:rFonts w:ascii="Cambria Math" w:hAnsi="Cambria Math"/>
                <w:i/>
              </w:rPr>
            </m:ctrlPr>
          </m:sSubPr>
          <m:e>
            <m:r>
              <w:rPr>
                <w:rFonts w:ascii="Cambria Math" w:hAnsi="Cambria Math"/>
              </w:rPr>
              <m:t>λ</m:t>
            </m:r>
          </m:e>
          <m:sub>
            <m:r>
              <w:rPr>
                <w:rFonts w:ascii="Cambria Math" w:hAnsi="Cambria Math"/>
              </w:rPr>
              <m:t>f</m:t>
            </m:r>
          </m:sub>
        </m:sSub>
        <m:r>
          <w:rPr>
            <w:rFonts w:ascii="Cambria Math" w:hAnsi="Cambria Math"/>
          </w:rPr>
          <m:t xml:space="preserve">, </m:t>
        </m:r>
      </m:oMath>
      <w:r w:rsidRPr="00C066D6">
        <w:rPr>
          <w:rFonts w:eastAsiaTheme="minorEastAsia"/>
        </w:rPr>
        <w:t>viz rov. (2).</w:t>
      </w:r>
    </w:p>
    <w:p w:rsidR="00163B46" w:rsidRPr="00C066D6" w:rsidRDefault="008B3A2E" w:rsidP="00636F8B">
      <w:pPr>
        <w:pStyle w:val="Odstavecseseznamem"/>
        <w:numPr>
          <w:ilvl w:val="0"/>
          <w:numId w:val="17"/>
        </w:num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Y</m:t>
            </m:r>
          </m:sub>
        </m:sSub>
        <m:d>
          <m:dPr>
            <m:ctrlPr>
              <w:rPr>
                <w:rFonts w:ascii="Cambria Math" w:eastAsiaTheme="minorEastAsia" w:hAnsi="Cambria Math"/>
                <w:i/>
              </w:rPr>
            </m:ctrlPr>
          </m:dPr>
          <m:e>
            <m:r>
              <w:rPr>
                <w:rFonts w:ascii="Cambria Math" w:eastAsiaTheme="minorEastAsia" w:hAnsi="Cambria Math"/>
              </w:rPr>
              <m:t>y ⎸</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f</m:t>
                </m:r>
              </m:sub>
            </m:sSub>
            <m:r>
              <w:rPr>
                <w:rFonts w:ascii="Cambria Math" w:eastAsiaTheme="minorEastAsia" w:hAnsi="Cambria Math"/>
              </w:rPr>
              <m:t>=1</m:t>
            </m:r>
          </m:e>
        </m:d>
        <m:r>
          <w:rPr>
            <w:rFonts w:ascii="Cambria Math" w:eastAsiaTheme="minorEastAsia" w:hAnsi="Cambria Math"/>
          </w:rPr>
          <m:t xml:space="preserve">= </m:t>
        </m:r>
        <m:nary>
          <m:naryPr>
            <m:chr m:val="∑"/>
            <m:limLoc m:val="undOvr"/>
            <m:supHide m:val="1"/>
            <m:ctrlPr>
              <w:rPr>
                <w:rFonts w:ascii="Cambria Math" w:eastAsiaTheme="minorEastAsia" w:hAnsi="Cambria Math"/>
                <w:i/>
              </w:rPr>
            </m:ctrlPr>
          </m:naryPr>
          <m:sub>
            <m:r>
              <w:rPr>
                <w:rFonts w:ascii="Cambria Math" w:eastAsiaTheme="minorEastAsia" w:hAnsi="Cambria Math"/>
              </w:rPr>
              <m:t>(i)</m:t>
            </m:r>
          </m:sub>
          <m:sup/>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Y</m:t>
                </m:r>
              </m:sub>
            </m:sSub>
            <m:d>
              <m:dPr>
                <m:ctrlPr>
                  <w:rPr>
                    <w:rFonts w:ascii="Cambria Math" w:eastAsiaTheme="minorEastAsia" w:hAnsi="Cambria Math"/>
                    <w:i/>
                  </w:rPr>
                </m:ctrlPr>
              </m:dPr>
              <m:e>
                <m:r>
                  <w:rPr>
                    <w:rFonts w:ascii="Cambria Math" w:eastAsiaTheme="minorEastAsia" w:hAnsi="Cambria Math"/>
                  </w:rPr>
                  <m:t>y ⎸ Sc=i)</m:t>
                </m:r>
              </m:e>
            </m:d>
            <m:r>
              <m:rPr>
                <m:sty m:val="p"/>
              </m:rPr>
              <w:rPr>
                <w:rFonts w:ascii="Cambria Math" w:eastAsiaTheme="minorEastAsia" w:hAnsi="Cambria Math"/>
              </w:rPr>
              <m:t>.</m:t>
            </m:r>
            <m:r>
              <w:rPr>
                <w:rFonts w:ascii="Cambria Math" w:eastAsiaTheme="minorEastAsia" w:hAnsi="Cambria Math"/>
              </w:rPr>
              <m:t xml:space="preserve"> P(Sc=i)</m:t>
            </m:r>
          </m:e>
        </m:nary>
      </m:oMath>
      <w:r w:rsidR="00163B46" w:rsidRPr="00C066D6">
        <w:rPr>
          <w:rFonts w:eastAsiaTheme="minorEastAsia"/>
        </w:rPr>
        <w:t xml:space="preserve">. </w:t>
      </w:r>
    </w:p>
    <w:p w:rsidR="00163B46" w:rsidRPr="00C066D6" w:rsidRDefault="00163B46" w:rsidP="00636F8B">
      <w:pPr>
        <w:rPr>
          <w:lang w:val="en-US"/>
        </w:rPr>
      </w:pPr>
      <w:r w:rsidRPr="00C066D6">
        <w:t xml:space="preserve">Rozdělení finanční ztráty podmíněné scénářem </w:t>
      </w:r>
      <w:r w:rsidRPr="00C066D6">
        <w:rPr>
          <w:i/>
        </w:rPr>
        <w:t xml:space="preserve">i </w:t>
      </w:r>
      <w:r w:rsidRPr="00C066D6">
        <w:t xml:space="preserve">lze modelovat logaritmicko-normálním rozdělením s proměnnými středními hodnotami a rozptyly v závislosti na tepelném výkonu požáru. Z praktických důvodů stačí uvažovat tři kategorie tepelných výkonů, definované např. intervaly [5 -35; 60 – 105; 130 -200] MW. Postup byl podrobně popsán v </w:t>
      </w:r>
      <w:r w:rsidRPr="00C066D6">
        <w:rPr>
          <w:lang w:val="en-US"/>
        </w:rPr>
        <w:t>[</w:t>
      </w:r>
      <w:r w:rsidR="009F586E" w:rsidRPr="00C066D6">
        <w:rPr>
          <w:lang w:val="en-US"/>
        </w:rPr>
        <w:t>15</w:t>
      </w:r>
      <w:r w:rsidRPr="00C066D6">
        <w:rPr>
          <w:lang w:val="en-US"/>
        </w:rPr>
        <w:t>].</w:t>
      </w:r>
    </w:p>
    <w:p w:rsidR="00163B46" w:rsidRPr="00C066D6" w:rsidRDefault="00163B46" w:rsidP="00636F8B">
      <w:pPr>
        <w:pStyle w:val="Odstavecseseznamem"/>
        <w:numPr>
          <w:ilvl w:val="0"/>
          <w:numId w:val="17"/>
        </w:numPr>
      </w:pPr>
      <m:oMath>
        <m:r>
          <w:rPr>
            <w:rFonts w:ascii="Cambria Math" w:hAnsi="Cambria Math"/>
          </w:rPr>
          <m:t>P</m:t>
        </m:r>
        <m:d>
          <m:dPr>
            <m:ctrlPr>
              <w:rPr>
                <w:rFonts w:ascii="Cambria Math" w:hAnsi="Cambria Math"/>
                <w:i/>
              </w:rPr>
            </m:ctrlPr>
          </m:dPr>
          <m:e>
            <m:r>
              <w:rPr>
                <w:rFonts w:ascii="Cambria Math" w:hAnsi="Cambria Math"/>
              </w:rPr>
              <m:t>Sc=i</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p</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i</m:t>
                        </m:r>
                      </m:sub>
                    </m:sSub>
                  </m:e>
                </m:d>
                <m:r>
                  <w:rPr>
                    <w:rFonts w:ascii="Cambria Math" w:hAnsi="Cambria Math"/>
                  </w:rPr>
                  <m:t xml:space="preserve">. </m:t>
                </m:r>
                <m:sSup>
                  <m:sSupPr>
                    <m:ctrlPr>
                      <w:rPr>
                        <w:rFonts w:ascii="Cambria Math" w:eastAsiaTheme="minorEastAsia" w:hAnsi="Cambria Math" w:cs="Times New Roman"/>
                        <w:i/>
                        <w:lang w:val="en-US"/>
                      </w:rPr>
                    </m:ctrlPr>
                  </m:sSupPr>
                  <m:e>
                    <m:r>
                      <w:rPr>
                        <w:rFonts w:ascii="Cambria Math" w:eastAsiaTheme="minorEastAsia" w:hAnsi="Cambria Math" w:cs="Times New Roman"/>
                      </w:rPr>
                      <m:t>κ</m:t>
                    </m:r>
                  </m:e>
                  <m:sup>
                    <m:r>
                      <w:rPr>
                        <w:rFonts w:ascii="Cambria Math" w:eastAsiaTheme="minorEastAsia" w:hAnsi="Cambria Math" w:cs="Times New Roman"/>
                      </w:rPr>
                      <m:t>[1]</m:t>
                    </m:r>
                  </m:sup>
                </m:sSup>
                <m:sSubSup>
                  <m:sSubSupPr>
                    <m:ctrlPr>
                      <w:rPr>
                        <w:rFonts w:ascii="Cambria Math" w:eastAsiaTheme="minorEastAsia" w:hAnsi="Cambria Math" w:cs="Times New Roman"/>
                        <w:i/>
                        <w:lang w:val="en-US"/>
                      </w:rPr>
                    </m:ctrlPr>
                  </m:sSubSupPr>
                  <m:e>
                    <m:r>
                      <w:rPr>
                        <w:rFonts w:ascii="Cambria Math" w:eastAsiaTheme="minorEastAsia" w:hAnsi="Cambria Math" w:cs="Times New Roman"/>
                      </w:rPr>
                      <m:t>P</m:t>
                    </m:r>
                  </m:e>
                  <m:sub>
                    <m:r>
                      <m:rPr>
                        <m:sty m:val="p"/>
                      </m:rPr>
                      <w:rPr>
                        <w:rFonts w:ascii="Cambria Math" w:eastAsiaTheme="minorEastAsia" w:hAnsi="Cambria Math" w:cs="Times New Roman"/>
                      </w:rPr>
                      <m:t>f</m:t>
                    </m:r>
                  </m:sub>
                  <m:sup>
                    <m:d>
                      <m:dPr>
                        <m:begChr m:val="["/>
                        <m:endChr m:val="]"/>
                        <m:ctrlPr>
                          <w:rPr>
                            <w:rFonts w:ascii="Cambria Math" w:eastAsiaTheme="minorEastAsia" w:hAnsi="Cambria Math" w:cs="Times New Roman"/>
                            <w:i/>
                          </w:rPr>
                        </m:ctrlPr>
                      </m:dPr>
                      <m:e>
                        <m:r>
                          <w:rPr>
                            <w:rFonts w:ascii="Cambria Math" w:eastAsiaTheme="minorEastAsia" w:hAnsi="Cambria Math" w:cs="Times New Roman"/>
                          </w:rPr>
                          <m:t>1</m:t>
                        </m:r>
                      </m:e>
                    </m:d>
                    <m:r>
                      <w:rPr>
                        <w:rFonts w:ascii="Cambria Math" w:eastAsiaTheme="minorEastAsia" w:hAnsi="Cambria Math" w:cs="Times New Roman"/>
                      </w:rPr>
                      <m:t xml:space="preserve">    </m:t>
                    </m:r>
                  </m:sup>
                </m:sSubSup>
                <m:r>
                  <m:rPr>
                    <m:sty m:val="p"/>
                  </m:rPr>
                  <w:rPr>
                    <w:rFonts w:ascii="Cambria Math" w:eastAsiaTheme="minorEastAsia" w:hAnsi="Cambria Math"/>
                  </w:rPr>
                  <m:t xml:space="preserve">pro </m:t>
                </m:r>
                <m:r>
                  <w:rPr>
                    <w:rFonts w:ascii="Cambria Math" w:eastAsiaTheme="minorEastAsia" w:hAnsi="Cambria Math"/>
                  </w:rPr>
                  <m:t xml:space="preserve">i </m:t>
                </m:r>
                <m:r>
                  <m:rPr>
                    <m:sty m:val="p"/>
                  </m:rPr>
                  <w:rPr>
                    <w:rFonts w:ascii="Cambria Math" w:eastAsiaTheme="minorEastAsia" w:hAnsi="Cambria Math"/>
                  </w:rPr>
                  <m:t xml:space="preserve">= 1, 2, 3    (scénáře s jedním </m:t>
                </m:r>
                <m:r>
                  <w:rPr>
                    <w:rFonts w:ascii="Cambria Math" w:eastAsiaTheme="minorEastAsia" w:hAnsi="Cambria Math"/>
                  </w:rPr>
                  <m:t>TB</m:t>
                </m:r>
                <m:r>
                  <m:rPr>
                    <m:sty m:val="p"/>
                  </m:rPr>
                  <w:rPr>
                    <w:rFonts w:ascii="Cambria Math" w:eastAsiaTheme="minorEastAsia" w:hAnsi="Cambria Math"/>
                  </w:rPr>
                  <m:t>)</m:t>
                </m:r>
              </m:e>
              <m:e>
                <m:sSub>
                  <m:sSubPr>
                    <m:ctrlPr>
                      <w:rPr>
                        <w:rFonts w:ascii="Cambria Math" w:hAnsi="Cambria Math"/>
                        <w:i/>
                      </w:rPr>
                    </m:ctrlPr>
                  </m:sSubPr>
                  <m:e>
                    <m:r>
                      <w:rPr>
                        <w:rFonts w:ascii="Cambria Math" w:hAnsi="Cambria Math"/>
                      </w:rPr>
                      <m:t>p</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i</m:t>
                        </m:r>
                      </m:sub>
                    </m:sSub>
                  </m:e>
                </m:d>
                <m:r>
                  <w:rPr>
                    <w:rFonts w:ascii="Cambria Math" w:hAnsi="Cambria Math"/>
                  </w:rPr>
                  <m:t xml:space="preserve">. </m:t>
                </m:r>
                <m:sSup>
                  <m:sSupPr>
                    <m:ctrlPr>
                      <w:rPr>
                        <w:rFonts w:ascii="Cambria Math" w:eastAsiaTheme="minorEastAsia" w:hAnsi="Cambria Math" w:cs="Times New Roman"/>
                        <w:i/>
                        <w:lang w:val="en-US"/>
                      </w:rPr>
                    </m:ctrlPr>
                  </m:sSupPr>
                  <m:e>
                    <m:r>
                      <w:rPr>
                        <w:rFonts w:ascii="Cambria Math" w:eastAsiaTheme="minorEastAsia" w:hAnsi="Cambria Math" w:cs="Times New Roman"/>
                      </w:rPr>
                      <m:t>κ</m:t>
                    </m:r>
                  </m:e>
                  <m:sup>
                    <m:r>
                      <w:rPr>
                        <w:rFonts w:ascii="Cambria Math" w:eastAsiaTheme="minorEastAsia" w:hAnsi="Cambria Math" w:cs="Times New Roman"/>
                      </w:rPr>
                      <m:t>[2]</m:t>
                    </m:r>
                  </m:sup>
                </m:sSup>
                <m:sSubSup>
                  <m:sSubSupPr>
                    <m:ctrlPr>
                      <w:rPr>
                        <w:rFonts w:ascii="Cambria Math" w:eastAsiaTheme="minorEastAsia" w:hAnsi="Cambria Math" w:cs="Times New Roman"/>
                        <w:i/>
                        <w:lang w:val="en-US"/>
                      </w:rPr>
                    </m:ctrlPr>
                  </m:sSubSupPr>
                  <m:e>
                    <m:r>
                      <w:rPr>
                        <w:rFonts w:ascii="Cambria Math" w:eastAsiaTheme="minorEastAsia" w:hAnsi="Cambria Math" w:cs="Times New Roman"/>
                      </w:rPr>
                      <m:t>P</m:t>
                    </m:r>
                  </m:e>
                  <m:sub>
                    <m:r>
                      <m:rPr>
                        <m:sty m:val="p"/>
                      </m:rPr>
                      <w:rPr>
                        <w:rFonts w:ascii="Cambria Math" w:eastAsiaTheme="minorEastAsia" w:hAnsi="Cambria Math" w:cs="Times New Roman"/>
                      </w:rPr>
                      <m:t>f</m:t>
                    </m:r>
                  </m:sub>
                  <m:sup>
                    <m:r>
                      <w:rPr>
                        <w:rFonts w:ascii="Cambria Math" w:eastAsiaTheme="minorEastAsia" w:hAnsi="Cambria Math" w:cs="Times New Roman"/>
                      </w:rPr>
                      <m:t>[2]</m:t>
                    </m:r>
                  </m:sup>
                </m:sSubSup>
                <m:r>
                  <m:rPr>
                    <m:sty m:val="p"/>
                  </m:rPr>
                  <w:rPr>
                    <w:rFonts w:ascii="Cambria Math" w:eastAsiaTheme="minorEastAsia" w:hAnsi="Cambria Math"/>
                    <w:lang w:val="en-US"/>
                  </w:rPr>
                  <m:t xml:space="preserve">   pro </m:t>
                </m:r>
                <m:r>
                  <w:rPr>
                    <w:rFonts w:ascii="Cambria Math" w:eastAsiaTheme="minorEastAsia" w:hAnsi="Cambria Math"/>
                    <w:lang w:val="en-US"/>
                  </w:rPr>
                  <m:t xml:space="preserve">i </m:t>
                </m:r>
                <m:r>
                  <m:rPr>
                    <m:sty m:val="p"/>
                  </m:rPr>
                  <w:rPr>
                    <w:rFonts w:ascii="Cambria Math" w:eastAsiaTheme="minorEastAsia" w:hAnsi="Cambria Math"/>
                    <w:lang w:val="en-US"/>
                  </w:rPr>
                  <m:t>= 4, …, 9 (</m:t>
                </m:r>
                <m:r>
                  <m:rPr>
                    <m:sty m:val="p"/>
                  </m:rPr>
                  <w:rPr>
                    <w:rFonts w:ascii="Cambria Math" w:eastAsiaTheme="minorEastAsia" w:hAnsi="Cambria Math"/>
                  </w:rPr>
                  <m:t>scénáře se dvěma</m:t>
                </m:r>
                <m:r>
                  <m:rPr>
                    <m:sty m:val="p"/>
                  </m:rPr>
                  <w:rPr>
                    <w:rFonts w:ascii="Cambria Math" w:eastAsiaTheme="minorEastAsia" w:hAnsi="Cambria Math"/>
                    <w:lang w:val="en-US"/>
                  </w:rPr>
                  <m:t xml:space="preserve"> </m:t>
                </m:r>
                <m:r>
                  <w:rPr>
                    <w:rFonts w:ascii="Cambria Math" w:eastAsiaTheme="minorEastAsia" w:hAnsi="Cambria Math"/>
                    <w:lang w:val="en-US"/>
                  </w:rPr>
                  <m:t>TB</m:t>
                </m:r>
                <m:r>
                  <m:rPr>
                    <m:sty m:val="p"/>
                  </m:rPr>
                  <w:rPr>
                    <w:rFonts w:ascii="Cambria Math" w:eastAsiaTheme="minorEastAsia" w:hAnsi="Cambria Math"/>
                    <w:lang w:val="en-US"/>
                  </w:rPr>
                  <m:t>)</m:t>
                </m:r>
              </m:e>
            </m:eqArr>
          </m:e>
        </m:d>
        <m:r>
          <w:rPr>
            <w:rFonts w:ascii="Cambria Math" w:hAnsi="Cambria Math"/>
          </w:rPr>
          <m:t xml:space="preserve"> </m:t>
        </m:r>
      </m:oMath>
      <w:r w:rsidRPr="00C066D6">
        <w:rPr>
          <w:rFonts w:eastAsiaTheme="minorEastAsia"/>
        </w:rPr>
        <w:t xml:space="preserve"> </w:t>
      </w:r>
      <w:r w:rsidRPr="00C066D6">
        <w:rPr>
          <w:rFonts w:eastAsiaTheme="minorEastAsia"/>
          <w:lang w:val="en-US"/>
        </w:rPr>
        <w:t>.</w:t>
      </w:r>
    </w:p>
    <w:p w:rsidR="00163B46" w:rsidRPr="00C066D6" w:rsidRDefault="00163B46" w:rsidP="00636F8B">
      <w:pPr>
        <w:rPr>
          <w:rFonts w:eastAsiaTheme="minorEastAsia"/>
        </w:rPr>
      </w:pPr>
      <w:r w:rsidRPr="00C066D6">
        <w:t xml:space="preserve">Pravděpodobnost realizace scénáře </w:t>
      </w:r>
      <m:oMath>
        <m:r>
          <w:rPr>
            <w:rFonts w:ascii="Cambria Math" w:hAnsi="Cambria Math"/>
          </w:rPr>
          <m:t>Sc=i</m:t>
        </m:r>
      </m:oMath>
      <w:r w:rsidRPr="00C066D6">
        <w:t xml:space="preserve"> se zjišťuje stromovými diagramy </w:t>
      </w:r>
      <w:r w:rsidRPr="00C066D6">
        <w:rPr>
          <w:i/>
        </w:rPr>
        <w:t>ETA</w:t>
      </w:r>
      <w:r w:rsidRPr="00C066D6">
        <w:t xml:space="preserve">, z nichž byly získány pravděpodobnosti požárních výkonů </w:t>
      </w:r>
      <w:r w:rsidRPr="00C066D6">
        <w:rPr>
          <w:i/>
        </w:rPr>
        <w:t xml:space="preserve">i </w:t>
      </w:r>
      <w:r w:rsidRPr="00C066D6">
        <w:t>= 1, …, 9 na Obr. 6a,b, viz [1</w:t>
      </w:r>
      <w:r w:rsidR="002767FF" w:rsidRPr="00C066D6">
        <w:t>2</w:t>
      </w:r>
      <w:r w:rsidRPr="00C066D6">
        <w:t>]. Význam rozdělovacích součinitelů</w:t>
      </w:r>
      <m:oMath>
        <m:r>
          <w:rPr>
            <w:rFonts w:ascii="Cambria Math" w:hAnsi="Cambria Math"/>
          </w:rPr>
          <m:t xml:space="preserve"> </m:t>
        </m:r>
        <m:sSup>
          <m:sSupPr>
            <m:ctrlPr>
              <w:rPr>
                <w:rFonts w:ascii="Cambria Math" w:eastAsiaTheme="minorEastAsia" w:hAnsi="Cambria Math" w:cs="Times New Roman"/>
                <w:i/>
                <w:lang w:val="en-US"/>
              </w:rPr>
            </m:ctrlPr>
          </m:sSupPr>
          <m:e>
            <m:r>
              <w:rPr>
                <w:rFonts w:ascii="Cambria Math" w:eastAsiaTheme="minorEastAsia" w:hAnsi="Cambria Math" w:cs="Times New Roman"/>
              </w:rPr>
              <m:t>κ</m:t>
            </m:r>
          </m:e>
          <m:sup>
            <m:r>
              <w:rPr>
                <w:rFonts w:ascii="Cambria Math" w:eastAsiaTheme="minorEastAsia" w:hAnsi="Cambria Math" w:cs="Times New Roman"/>
                <w:lang w:val="en-US"/>
              </w:rPr>
              <m:t>[</m:t>
            </m:r>
            <m:r>
              <w:rPr>
                <w:rFonts w:ascii="Cambria Math" w:eastAsiaTheme="minorEastAsia" w:hAnsi="Cambria Math" w:cs="Times New Roman"/>
              </w:rPr>
              <m:t>j]</m:t>
            </m:r>
          </m:sup>
        </m:sSup>
      </m:oMath>
      <w:r w:rsidRPr="00C066D6">
        <w:rPr>
          <w:rFonts w:eastAsiaTheme="minorEastAsia"/>
        </w:rPr>
        <w:t xml:space="preserve"> a pravděpodobností </w:t>
      </w:r>
      <m:oMath>
        <m:sSubSup>
          <m:sSubSupPr>
            <m:ctrlPr>
              <w:rPr>
                <w:rFonts w:ascii="Cambria Math" w:eastAsiaTheme="minorEastAsia" w:hAnsi="Cambria Math" w:cs="Times New Roman"/>
                <w:i/>
                <w:lang w:val="en-US"/>
              </w:rPr>
            </m:ctrlPr>
          </m:sSubSupPr>
          <m:e>
            <m:r>
              <w:rPr>
                <w:rFonts w:ascii="Cambria Math" w:eastAsiaTheme="minorEastAsia" w:hAnsi="Cambria Math" w:cs="Times New Roman"/>
              </w:rPr>
              <m:t>P</m:t>
            </m:r>
          </m:e>
          <m:sub>
            <m:r>
              <m:rPr>
                <m:sty m:val="p"/>
              </m:rPr>
              <w:rPr>
                <w:rFonts w:ascii="Cambria Math" w:eastAsiaTheme="minorEastAsia" w:hAnsi="Cambria Math" w:cs="Times New Roman"/>
              </w:rPr>
              <m:t>f</m:t>
            </m:r>
          </m:sub>
          <m:sup>
            <m:r>
              <w:rPr>
                <w:rFonts w:ascii="Cambria Math" w:eastAsiaTheme="minorEastAsia" w:hAnsi="Cambria Math" w:cs="Times New Roman"/>
              </w:rPr>
              <m:t>[j]</m:t>
            </m:r>
          </m:sup>
        </m:sSubSup>
        <m:r>
          <w:rPr>
            <w:rFonts w:ascii="Cambria Math" w:eastAsiaTheme="minorEastAsia" w:hAnsi="Cambria Math" w:cs="Times New Roman"/>
          </w:rPr>
          <m:t xml:space="preserve"> </m:t>
        </m:r>
      </m:oMath>
      <w:r w:rsidRPr="00C066D6">
        <w:rPr>
          <w:rFonts w:eastAsiaTheme="minorEastAsia"/>
        </w:rPr>
        <w:t xml:space="preserve">uplatnění scénáře s jedním, resp. dvěma </w:t>
      </w:r>
      <w:r w:rsidRPr="00C066D6">
        <w:rPr>
          <w:rFonts w:eastAsiaTheme="minorEastAsia"/>
          <w:i/>
        </w:rPr>
        <w:t>TB</w:t>
      </w:r>
      <w:r w:rsidR="009F586E" w:rsidRPr="00C066D6">
        <w:rPr>
          <w:rFonts w:eastAsiaTheme="minorEastAsia"/>
        </w:rPr>
        <w:t xml:space="preserve"> je patrný z rovnice (5</w:t>
      </w:r>
      <w:r w:rsidRPr="00C066D6">
        <w:rPr>
          <w:rFonts w:eastAsiaTheme="minorEastAsia"/>
        </w:rPr>
        <w:t>).</w:t>
      </w:r>
    </w:p>
    <w:p w:rsidR="00163B46" w:rsidRPr="00C066D6" w:rsidRDefault="00163B46" w:rsidP="00636F8B">
      <w:pPr>
        <w:rPr>
          <w:rFonts w:eastAsiaTheme="minorEastAsia"/>
        </w:rPr>
      </w:pPr>
      <w:r w:rsidRPr="00C066D6">
        <w:rPr>
          <w:rFonts w:eastAsiaTheme="minorEastAsia"/>
        </w:rPr>
        <w:lastRenderedPageBreak/>
        <w:t>Pro přehlednost přepíšeme předchozí vztahy do výsledného tvaru</w:t>
      </w:r>
      <w:r w:rsidRPr="00C066D6">
        <w:rPr>
          <w:rStyle w:val="Znakapoznpodarou"/>
          <w:rFonts w:eastAsia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14"/>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7"/>
        <w:gridCol w:w="605"/>
      </w:tblGrid>
      <w:tr w:rsidR="00B9278C" w:rsidRPr="00C066D6" w:rsidTr="00A75D5E">
        <w:tc>
          <w:tcPr>
            <w:tcW w:w="8500" w:type="dxa"/>
          </w:tcPr>
          <w:p w:rsidR="00B9278C" w:rsidRPr="00C066D6" w:rsidRDefault="008B3A2E" w:rsidP="00636F8B">
            <w:pPr>
              <w:rPr>
                <w:rFonts w:ascii="Times New Roman" w:hAnsi="Times New Roman"/>
              </w:rPr>
            </w:pPr>
            <m:oMathPara>
              <m:oMath>
                <m:sSub>
                  <m:sSubPr>
                    <m:ctrlPr>
                      <w:rPr>
                        <w:rFonts w:ascii="Cambria Math" w:hAnsi="Cambria Math"/>
                      </w:rPr>
                    </m:ctrlPr>
                  </m:sSubPr>
                  <m:e>
                    <m:r>
                      <w:rPr>
                        <w:rFonts w:ascii="Cambria Math" w:hAnsi="Cambria Math"/>
                      </w:rPr>
                      <m:t>f</m:t>
                    </m:r>
                  </m:e>
                  <m:sub>
                    <m:r>
                      <w:rPr>
                        <w:rFonts w:ascii="Cambria Math" w:hAnsi="Cambria Math"/>
                      </w:rPr>
                      <m:t>Y</m:t>
                    </m:r>
                  </m:sub>
                </m:sSub>
                <m:d>
                  <m:dPr>
                    <m:ctrlPr>
                      <w:rPr>
                        <w:rFonts w:ascii="Cambria Math" w:hAnsi="Cambria Math"/>
                      </w:rPr>
                    </m:ctrlPr>
                  </m:dPr>
                  <m:e>
                    <m:r>
                      <w:rPr>
                        <w:rFonts w:ascii="Cambria Math" w:hAnsi="Cambria Math"/>
                      </w:rPr>
                      <m:t>y</m:t>
                    </m:r>
                  </m:e>
                </m:d>
                <m:r>
                  <m:rPr>
                    <m:sty m:val="p"/>
                  </m:rPr>
                  <w:rPr>
                    <w:rFonts w:ascii="Cambria Math" w:hAnsi="Cambria Math"/>
                  </w:rPr>
                  <m:t>=</m:t>
                </m:r>
                <m:nary>
                  <m:naryPr>
                    <m:chr m:val="∑"/>
                    <m:limLoc m:val="undOvr"/>
                    <m:supHide m:val="1"/>
                    <m:ctrlPr>
                      <w:rPr>
                        <w:rFonts w:ascii="Cambria Math" w:hAnsi="Cambria Math"/>
                      </w:rPr>
                    </m:ctrlPr>
                  </m:naryPr>
                  <m:sub>
                    <m:r>
                      <m:rPr>
                        <m:sty m:val="p"/>
                      </m:rPr>
                      <w:rPr>
                        <w:rFonts w:ascii="Cambria Math" w:hAnsi="Cambria Math"/>
                      </w:rPr>
                      <m:t>(</m:t>
                    </m:r>
                    <m:r>
                      <w:rPr>
                        <w:rFonts w:ascii="Cambria Math" w:hAnsi="Cambria Math"/>
                      </w:rPr>
                      <m:t>i</m:t>
                    </m:r>
                    <m:r>
                      <m:rPr>
                        <m:sty m:val="p"/>
                      </m:rPr>
                      <w:rPr>
                        <w:rFonts w:ascii="Cambria Math" w:hAnsi="Cambria Math"/>
                      </w:rPr>
                      <m:t>)</m:t>
                    </m:r>
                  </m:sub>
                  <m:sup/>
                  <m:e>
                    <m:sSub>
                      <m:sSubPr>
                        <m:ctrlPr>
                          <w:rPr>
                            <w:rFonts w:ascii="Cambria Math" w:hAnsi="Cambria Math"/>
                          </w:rPr>
                        </m:ctrlPr>
                      </m:sSubPr>
                      <m:e>
                        <m:r>
                          <w:rPr>
                            <w:rFonts w:ascii="Cambria Math" w:hAnsi="Cambria Math"/>
                          </w:rPr>
                          <m:t>f</m:t>
                        </m:r>
                      </m:e>
                      <m:sub>
                        <m:r>
                          <w:rPr>
                            <w:rFonts w:ascii="Cambria Math" w:hAnsi="Cambria Math"/>
                          </w:rPr>
                          <m:t>Y</m:t>
                        </m:r>
                      </m:sub>
                    </m:sSub>
                    <m:d>
                      <m:dPr>
                        <m:ctrlPr>
                          <w:rPr>
                            <w:rFonts w:ascii="Cambria Math" w:hAnsi="Cambria Math"/>
                          </w:rPr>
                        </m:ctrlPr>
                      </m:dPr>
                      <m:e>
                        <m:r>
                          <w:rPr>
                            <w:rFonts w:ascii="Cambria Math" w:hAnsi="Cambria Math"/>
                          </w:rPr>
                          <m:t>y</m:t>
                        </m:r>
                        <m:r>
                          <m:rPr>
                            <m:sty m:val="p"/>
                          </m:rPr>
                          <w:rPr>
                            <w:rFonts w:ascii="Cambria Math" w:hAnsi="Cambria Math"/>
                          </w:rPr>
                          <m:t xml:space="preserve"> ⎸ </m:t>
                        </m:r>
                        <m:r>
                          <w:rPr>
                            <w:rFonts w:ascii="Cambria Math" w:hAnsi="Cambria Math"/>
                          </w:rPr>
                          <m:t>Sc</m:t>
                        </m:r>
                        <m:r>
                          <m:rPr>
                            <m:sty m:val="p"/>
                          </m:rPr>
                          <w:rPr>
                            <w:rFonts w:ascii="Cambria Math" w:hAnsi="Cambria Math"/>
                          </w:rPr>
                          <m:t>=</m:t>
                        </m:r>
                        <m:r>
                          <w:rPr>
                            <w:rFonts w:ascii="Cambria Math" w:hAnsi="Cambria Math"/>
                          </w:rPr>
                          <m:t>i</m:t>
                        </m:r>
                        <m:r>
                          <m:rPr>
                            <m:sty m:val="p"/>
                          </m:rPr>
                          <w:rPr>
                            <w:rFonts w:ascii="Cambria Math" w:hAnsi="Cambria Math"/>
                          </w:rPr>
                          <m:t>)</m:t>
                        </m:r>
                      </m:e>
                    </m:d>
                    <m:r>
                      <m:rPr>
                        <m:sty m:val="p"/>
                      </m:rPr>
                      <w:rPr>
                        <w:rFonts w:ascii="Cambria Math" w:hAnsi="Cambria Math"/>
                      </w:rPr>
                      <m:t xml:space="preserve">. </m:t>
                    </m:r>
                    <m:sSub>
                      <m:sSubPr>
                        <m:ctrlPr>
                          <w:rPr>
                            <w:rFonts w:ascii="Cambria Math" w:hAnsi="Cambria Math"/>
                          </w:rPr>
                        </m:ctrlPr>
                      </m:sSubPr>
                      <m:e>
                        <m:r>
                          <w:rPr>
                            <w:rFonts w:ascii="Cambria Math" w:hAnsi="Cambria Math"/>
                          </w:rPr>
                          <m:t>p</m:t>
                        </m:r>
                      </m:e>
                      <m:sub>
                        <m:r>
                          <w:rPr>
                            <w:rFonts w:ascii="Cambria Math" w:hAnsi="Cambria Math"/>
                          </w:rPr>
                          <m:t>i</m:t>
                        </m:r>
                      </m:sub>
                    </m:sSub>
                  </m:e>
                </m:nary>
                <m:r>
                  <m:rPr>
                    <m:sty m:val="p"/>
                  </m:rPr>
                  <w:rPr>
                    <w:rFonts w:ascii="Cambria Math" w:hAnsi="Cambria Math"/>
                  </w:rPr>
                  <m:t>,</m:t>
                </m:r>
              </m:oMath>
            </m:oMathPara>
          </w:p>
        </w:tc>
        <w:tc>
          <w:tcPr>
            <w:tcW w:w="562" w:type="dxa"/>
            <w:vAlign w:val="center"/>
          </w:tcPr>
          <w:p w:rsidR="00B9278C" w:rsidRPr="00C066D6" w:rsidRDefault="009F586E" w:rsidP="00A75D5E">
            <w:r w:rsidRPr="00C066D6">
              <w:rPr>
                <w:lang w:val="en-US"/>
              </w:rPr>
              <w:t>(10</w:t>
            </w:r>
            <w:r w:rsidR="00B9278C" w:rsidRPr="00C066D6">
              <w:rPr>
                <w:lang w:val="en-US"/>
              </w:rPr>
              <w:t>)</w:t>
            </w:r>
          </w:p>
        </w:tc>
      </w:tr>
    </w:tbl>
    <w:p w:rsidR="00163B46" w:rsidRPr="00C066D6" w:rsidRDefault="002767FF" w:rsidP="00636F8B">
      <w:r w:rsidRPr="00C066D6">
        <w:t>k</w:t>
      </w:r>
      <w:r w:rsidR="00163B46" w:rsidRPr="00C066D6">
        <w:t>de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7"/>
        <w:gridCol w:w="605"/>
      </w:tblGrid>
      <w:tr w:rsidR="00B9278C" w:rsidRPr="00C066D6" w:rsidTr="00A75D5E">
        <w:tc>
          <w:tcPr>
            <w:tcW w:w="8500" w:type="dxa"/>
          </w:tcPr>
          <w:p w:rsidR="00B9278C" w:rsidRPr="00C066D6" w:rsidRDefault="008B3A2E" w:rsidP="00636F8B">
            <w:pPr>
              <w:rPr>
                <w:rFonts w:ascii="Times New Roman" w:hAnsi="Times New Roman"/>
              </w:rPr>
            </w:pPr>
            <m:oMathPara>
              <m:oMath>
                <m:sSub>
                  <m:sSubPr>
                    <m:ctrlPr>
                      <w:rPr>
                        <w:rFonts w:ascii="Cambria Math" w:hAnsi="Cambria Math" w:cstheme="majorBidi"/>
                      </w:rPr>
                    </m:ctrlPr>
                  </m:sSubPr>
                  <m:e>
                    <m:r>
                      <w:rPr>
                        <w:rFonts w:ascii="Cambria Math" w:hAnsi="Cambria Math"/>
                      </w:rPr>
                      <m:t>p</m:t>
                    </m:r>
                  </m:e>
                  <m:sub>
                    <m:r>
                      <w:rPr>
                        <w:rFonts w:ascii="Cambria Math" w:hAnsi="Cambria Math"/>
                      </w:rPr>
                      <m:t>i</m:t>
                    </m:r>
                  </m:sub>
                </m:sSub>
                <m:r>
                  <m:rPr>
                    <m:sty m:val="p"/>
                  </m:rPr>
                  <w:rPr>
                    <w:rFonts w:ascii="Cambria Math" w:hAnsi="Cambria Math"/>
                  </w:rPr>
                  <m:t>=</m:t>
                </m:r>
                <m:r>
                  <w:rPr>
                    <w:rFonts w:ascii="Cambria Math" w:hAnsi="Cambria Math"/>
                  </w:rPr>
                  <m:t>P</m:t>
                </m:r>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f</m:t>
                        </m:r>
                      </m:sub>
                    </m:sSub>
                    <m:r>
                      <m:rPr>
                        <m:sty m:val="p"/>
                      </m:rPr>
                      <w:rPr>
                        <w:rFonts w:ascii="Cambria Math" w:hAnsi="Cambria Math"/>
                      </w:rPr>
                      <m:t>=1</m:t>
                    </m:r>
                  </m:e>
                </m:d>
                <m:r>
                  <m:rPr>
                    <m:sty m:val="p"/>
                  </m:rPr>
                  <w:rPr>
                    <w:rFonts w:ascii="Cambria Math" w:hAnsi="Cambria Math"/>
                  </w:rPr>
                  <m:t xml:space="preserve">. </m:t>
                </m:r>
                <m:r>
                  <w:rPr>
                    <w:rFonts w:ascii="Cambria Math" w:hAnsi="Cambria Math"/>
                  </w:rPr>
                  <m:t>P</m:t>
                </m:r>
                <m:d>
                  <m:dPr>
                    <m:ctrlPr>
                      <w:rPr>
                        <w:rFonts w:ascii="Cambria Math" w:hAnsi="Cambria Math"/>
                      </w:rPr>
                    </m:ctrlPr>
                  </m:dPr>
                  <m:e>
                    <m:r>
                      <w:rPr>
                        <w:rFonts w:ascii="Cambria Math" w:hAnsi="Cambria Math"/>
                      </w:rPr>
                      <m:t>Sc</m:t>
                    </m:r>
                    <m:r>
                      <m:rPr>
                        <m:sty m:val="p"/>
                      </m:rPr>
                      <w:rPr>
                        <w:rFonts w:ascii="Cambria Math" w:hAnsi="Cambria Math"/>
                      </w:rPr>
                      <m:t>=</m:t>
                    </m:r>
                    <m:r>
                      <w:rPr>
                        <w:rFonts w:ascii="Cambria Math" w:hAnsi="Cambria Math"/>
                      </w:rPr>
                      <m:t>i</m:t>
                    </m:r>
                  </m:e>
                </m:d>
                <m:r>
                  <m:rPr>
                    <m:sty m:val="p"/>
                  </m:rPr>
                  <w:rPr>
                    <w:rFonts w:ascii="Cambria Math" w:hAnsi="Cambria Math"/>
                  </w:rPr>
                  <m:t>.</m:t>
                </m:r>
              </m:oMath>
            </m:oMathPara>
          </w:p>
        </w:tc>
        <w:tc>
          <w:tcPr>
            <w:tcW w:w="562" w:type="dxa"/>
            <w:vAlign w:val="center"/>
          </w:tcPr>
          <w:p w:rsidR="00B9278C" w:rsidRPr="00C066D6" w:rsidRDefault="009F586E" w:rsidP="00A75D5E">
            <w:r w:rsidRPr="00C066D6">
              <w:rPr>
                <w:lang w:val="en-US"/>
              </w:rPr>
              <w:t>(11</w:t>
            </w:r>
            <w:r w:rsidR="00B9278C" w:rsidRPr="00C066D6">
              <w:rPr>
                <w:lang w:val="en-US"/>
              </w:rPr>
              <w:t>)</w:t>
            </w:r>
          </w:p>
        </w:tc>
      </w:tr>
    </w:tbl>
    <w:p w:rsidR="00B9278C" w:rsidRPr="00C066D6" w:rsidRDefault="00B9278C" w:rsidP="00163B4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63B46" w:rsidRPr="00C066D6" w:rsidRDefault="00163B46" w:rsidP="00636F8B">
      <w:r w:rsidRPr="00C066D6">
        <w:t>Redukovaná hodnota majetku související s rizikem požárů zahrnuje:</w:t>
      </w:r>
    </w:p>
    <w:p w:rsidR="00163B46" w:rsidRPr="00C066D6" w:rsidRDefault="00163B46" w:rsidP="00636F8B">
      <w:pPr>
        <w:pStyle w:val="Odstavecseseznamem"/>
        <w:numPr>
          <w:ilvl w:val="0"/>
          <w:numId w:val="18"/>
        </w:numPr>
      </w:pPr>
      <w:r w:rsidRPr="00C066D6">
        <w:t>Přímé finanční ztráty na majetku (ostění</w:t>
      </w:r>
      <w:r w:rsidR="009E08EF" w:rsidRPr="00C066D6">
        <w:t xml:space="preserve"> </w:t>
      </w:r>
      <w:r w:rsidR="00C21ACE" w:rsidRPr="00C066D6">
        <w:t xml:space="preserve">a </w:t>
      </w:r>
      <w:r w:rsidR="009E08EF" w:rsidRPr="00C066D6">
        <w:t>technologické vybavení tunelu</w:t>
      </w:r>
      <w:r w:rsidRPr="00C066D6">
        <w:t xml:space="preserve">) </w:t>
      </w:r>
      <m:oMath>
        <m:r>
          <w:rPr>
            <w:rFonts w:ascii="Cambria Math" w:eastAsiaTheme="minorEastAsia" w:hAnsi="Cambria Math"/>
          </w:rPr>
          <m:t>X ⎸Sc=i,</m:t>
        </m:r>
      </m:oMath>
      <w:r w:rsidRPr="00C066D6">
        <w:rPr>
          <w:rFonts w:eastAsiaTheme="minorEastAsia"/>
        </w:rPr>
        <w:t xml:space="preserve"> podmíněné realizací scénáře </w:t>
      </w:r>
      <w:r w:rsidRPr="00C066D6">
        <w:rPr>
          <w:rFonts w:eastAsiaTheme="minorEastAsia"/>
          <w:i/>
        </w:rPr>
        <w:t xml:space="preserve">i </w:t>
      </w:r>
    </w:p>
    <w:p w:rsidR="00163B46" w:rsidRPr="00C066D6" w:rsidRDefault="00163B46" w:rsidP="00636F8B">
      <w:pPr>
        <w:pStyle w:val="Odstavecseseznamem"/>
        <w:numPr>
          <w:ilvl w:val="0"/>
          <w:numId w:val="18"/>
        </w:numPr>
      </w:pPr>
      <w:r w:rsidRPr="00C066D6">
        <w:t xml:space="preserve">Náklady </w:t>
      </w:r>
      <w:r w:rsidRPr="00C066D6">
        <w:rPr>
          <w:i/>
        </w:rPr>
        <w:t xml:space="preserve">C </w:t>
      </w:r>
      <w:r w:rsidRPr="00C066D6">
        <w:t xml:space="preserve">spojené s opatřeními ke zmírnění škody, vč. pojištění </w:t>
      </w:r>
    </w:p>
    <w:p w:rsidR="00163B46" w:rsidRPr="00C066D6" w:rsidRDefault="00163B46" w:rsidP="00636F8B">
      <w:pPr>
        <w:pStyle w:val="Odstavecseseznamem"/>
        <w:numPr>
          <w:ilvl w:val="0"/>
          <w:numId w:val="18"/>
        </w:numPr>
        <w:rPr>
          <w:rFonts w:eastAsiaTheme="minorEastAsia"/>
        </w:rPr>
      </w:pPr>
      <w:r w:rsidRPr="00C066D6">
        <w:t xml:space="preserve">Nepřímé škody </w:t>
      </w:r>
      <m:oMath>
        <m:r>
          <w:rPr>
            <w:rFonts w:ascii="Cambria Math" w:eastAsiaTheme="minorEastAsia" w:hAnsi="Cambria Math"/>
          </w:rPr>
          <m:t>Y ⎸Sc=i,</m:t>
        </m:r>
      </m:oMath>
      <w:r w:rsidRPr="00C066D6">
        <w:rPr>
          <w:rFonts w:eastAsiaTheme="minorEastAsia"/>
        </w:rPr>
        <w:t xml:space="preserve"> podmíněné realizací scénáře </w:t>
      </w:r>
      <w:r w:rsidRPr="00C066D6">
        <w:rPr>
          <w:rFonts w:eastAsiaTheme="minorEastAsia"/>
          <w:i/>
        </w:rPr>
        <w:t>i</w:t>
      </w:r>
      <w:r w:rsidRPr="00C066D6">
        <w:rPr>
          <w:rFonts w:eastAsiaTheme="minorEastAsia"/>
        </w:rPr>
        <w:t xml:space="preserve"> a související s dobou přerušení provozu. </w:t>
      </w:r>
    </w:p>
    <w:p w:rsidR="00163B46" w:rsidRPr="00C066D6" w:rsidRDefault="00163B46" w:rsidP="00636F8B">
      <w:r w:rsidRPr="00C066D6">
        <w:rPr>
          <w:i/>
        </w:rPr>
        <w:t xml:space="preserve">Střední redukovanou hodnotu majetku </w:t>
      </w:r>
      <w:r w:rsidRPr="00C066D6">
        <w:t>vyjádříme takto, srov. s</w:t>
      </w:r>
      <w:r w:rsidR="009F586E" w:rsidRPr="00C066D6">
        <w:t>e vztahem (8</w:t>
      </w:r>
      <w:r w:rsidRPr="00C066D6">
        <w:t>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7"/>
        <w:gridCol w:w="605"/>
      </w:tblGrid>
      <w:tr w:rsidR="00636F8B" w:rsidRPr="00C066D6" w:rsidTr="00A75D5E">
        <w:tc>
          <w:tcPr>
            <w:tcW w:w="8500" w:type="dxa"/>
          </w:tcPr>
          <w:p w:rsidR="00B9278C" w:rsidRPr="00C066D6" w:rsidRDefault="008B3A2E" w:rsidP="00636F8B">
            <w:pPr>
              <w:rPr>
                <w:rFonts w:ascii="Times New Roman" w:hAnsi="Times New Roman"/>
                <w:i/>
              </w:rPr>
            </w:pPr>
            <m:oMathPara>
              <m:oMath>
                <m:sSup>
                  <m:sSupPr>
                    <m:ctrlPr>
                      <w:rPr>
                        <w:rFonts w:ascii="Cambria Math" w:hAnsi="Cambria Math"/>
                        <w:i/>
                      </w:rPr>
                    </m:ctrlPr>
                  </m:sSupPr>
                  <m:e>
                    <m:r>
                      <w:rPr>
                        <w:rFonts w:ascii="Cambria Math" w:hAnsi="Cambria Math"/>
                      </w:rPr>
                      <m:t xml:space="preserve">E[Z] </m:t>
                    </m:r>
                  </m:e>
                  <m:sup>
                    <m:r>
                      <w:rPr>
                        <w:rFonts w:ascii="Cambria Math" w:hAnsi="Cambria Math"/>
                      </w:rPr>
                      <m:t xml:space="preserve"> </m:t>
                    </m:r>
                  </m:sup>
                </m:sSup>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n</m:t>
                    </m:r>
                  </m:sup>
                  <m:e>
                    <m:r>
                      <w:rPr>
                        <w:rFonts w:ascii="Cambria Math" w:hAnsi="Cambria Math"/>
                      </w:rPr>
                      <m:t>[</m:t>
                    </m:r>
                  </m:e>
                </m:nary>
                <m:r>
                  <w:rPr>
                    <w:rFonts w:ascii="Cambria Math" w:hAnsi="Cambria Math"/>
                  </w:rPr>
                  <m:t>W-C-</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 W-C-</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m:t>
                    </m:r>
                  </m:e>
                </m:nary>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 xml:space="preserve"> ,</m:t>
                </m:r>
              </m:oMath>
            </m:oMathPara>
          </w:p>
        </w:tc>
        <w:tc>
          <w:tcPr>
            <w:tcW w:w="562" w:type="dxa"/>
            <w:vAlign w:val="center"/>
          </w:tcPr>
          <w:p w:rsidR="00B9278C" w:rsidRPr="00C066D6" w:rsidRDefault="009F586E" w:rsidP="00636F8B">
            <w:r w:rsidRPr="00C066D6">
              <w:rPr>
                <w:lang w:val="en-US"/>
              </w:rPr>
              <w:t>(12</w:t>
            </w:r>
            <w:r w:rsidR="00B9278C" w:rsidRPr="00C066D6">
              <w:rPr>
                <w:lang w:val="en-US"/>
              </w:rPr>
              <w:t>)</w:t>
            </w:r>
          </w:p>
        </w:tc>
      </w:tr>
    </w:tbl>
    <w:p w:rsidR="00364908" w:rsidRPr="00C066D6" w:rsidRDefault="00364908" w:rsidP="00636F8B"/>
    <w:p w:rsidR="00163B46" w:rsidRPr="00C066D6" w:rsidRDefault="00163B46" w:rsidP="00636F8B">
      <w:r w:rsidRPr="00C066D6">
        <w:t xml:space="preserve">kde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7"/>
        <w:gridCol w:w="605"/>
      </w:tblGrid>
      <w:tr w:rsidR="00636F8B" w:rsidRPr="00C066D6" w:rsidTr="00A75D5E">
        <w:tc>
          <w:tcPr>
            <w:tcW w:w="8500" w:type="dxa"/>
          </w:tcPr>
          <w:p w:rsidR="00B9278C" w:rsidRPr="00C066D6" w:rsidRDefault="008B3A2E" w:rsidP="00636F8B">
            <w:pPr>
              <w:rPr>
                <w:rFonts w:ascii="Times New Roman" w:hAnsi="Times New Roman"/>
                <w:i/>
              </w:rPr>
            </w:pPr>
            <m:oMathPara>
              <m:oMath>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 xml:space="preserve">=1-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p</m:t>
                        </m:r>
                      </m:e>
                      <m:sub>
                        <m:r>
                          <w:rPr>
                            <w:rFonts w:ascii="Cambria Math" w:hAnsi="Cambria Math"/>
                          </w:rPr>
                          <m:t>i</m:t>
                        </m:r>
                      </m:sub>
                    </m:sSub>
                  </m:e>
                </m:nary>
              </m:oMath>
            </m:oMathPara>
          </w:p>
        </w:tc>
        <w:tc>
          <w:tcPr>
            <w:tcW w:w="562" w:type="dxa"/>
            <w:vAlign w:val="center"/>
          </w:tcPr>
          <w:p w:rsidR="00B9278C" w:rsidRPr="00C066D6" w:rsidRDefault="00B9278C" w:rsidP="009F586E">
            <w:r w:rsidRPr="00C066D6">
              <w:rPr>
                <w:lang w:val="en-US"/>
              </w:rPr>
              <w:t>(</w:t>
            </w:r>
            <w:r w:rsidR="0061634B" w:rsidRPr="00C066D6">
              <w:rPr>
                <w:lang w:val="en-US"/>
              </w:rPr>
              <w:t>1</w:t>
            </w:r>
            <w:r w:rsidR="009F586E" w:rsidRPr="00C066D6">
              <w:rPr>
                <w:lang w:val="en-US"/>
              </w:rPr>
              <w:t>3</w:t>
            </w:r>
            <w:r w:rsidRPr="00C066D6">
              <w:rPr>
                <w:lang w:val="en-US"/>
              </w:rPr>
              <w:t>)</w:t>
            </w:r>
          </w:p>
        </w:tc>
      </w:tr>
    </w:tbl>
    <w:p w:rsidR="00B9278C" w:rsidRPr="00C066D6" w:rsidRDefault="00B9278C" w:rsidP="00163B46">
      <w:pPr>
        <w:rPr>
          <w:rFonts w:eastAsia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63B46" w:rsidRPr="00C066D6" w:rsidRDefault="00163B46" w:rsidP="00636F8B">
      <w:r w:rsidRPr="00C066D6">
        <w:t xml:space="preserve">je pravděpodobnost, že  </w:t>
      </w:r>
      <m:oMath>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=0</m:t>
        </m:r>
      </m:oMath>
      <w:r w:rsidR="0061634B" w:rsidRPr="00C066D6">
        <w:t xml:space="preserve">, </w:t>
      </w:r>
      <m:oMath>
        <m:r>
          <w:rPr>
            <w:rFonts w:ascii="Cambria Math" w:hAnsi="Cambria Math"/>
          </w:rPr>
          <m:t xml:space="preserve"> </m:t>
        </m:r>
      </m:oMath>
      <w:r w:rsidRPr="00C066D6">
        <w:t>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7"/>
        <w:gridCol w:w="605"/>
      </w:tblGrid>
      <w:tr w:rsidR="00636F8B" w:rsidRPr="00C066D6" w:rsidTr="00A75D5E">
        <w:tc>
          <w:tcPr>
            <w:tcW w:w="8500" w:type="dxa"/>
          </w:tcPr>
          <w:p w:rsidR="0061634B" w:rsidRPr="00C066D6" w:rsidRDefault="008B3A2E" w:rsidP="00636F8B">
            <w:pPr>
              <w:rPr>
                <w:rFonts w:ascii="Times New Roman" w:hAnsi="Times New Roman"/>
                <w:i/>
              </w:rPr>
            </w:pPr>
            <m:oMathPara>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m:t>
                </m:r>
                <m:nary>
                  <m:naryPr>
                    <m:limLoc m:val="undOvr"/>
                    <m:subHide m:val="1"/>
                    <m:supHide m:val="1"/>
                    <m:ctrlPr>
                      <w:rPr>
                        <w:rFonts w:ascii="Cambria Math" w:hAnsi="Cambria Math"/>
                        <w:i/>
                      </w:rPr>
                    </m:ctrlPr>
                  </m:naryPr>
                  <m:sub/>
                  <m:sup/>
                  <m:e>
                    <m:r>
                      <w:rPr>
                        <w:rFonts w:ascii="Cambria Math" w:hAnsi="Cambria Math"/>
                      </w:rPr>
                      <m:t>y</m:t>
                    </m:r>
                    <m:sSub>
                      <m:sSubPr>
                        <m:ctrlPr>
                          <w:rPr>
                            <w:rFonts w:ascii="Cambria Math" w:hAnsi="Cambria Math"/>
                            <w:i/>
                          </w:rPr>
                        </m:ctrlPr>
                      </m:sSubPr>
                      <m:e>
                        <m:r>
                          <w:rPr>
                            <w:rFonts w:ascii="Cambria Math" w:hAnsi="Cambria Math"/>
                          </w:rPr>
                          <m:t>f</m:t>
                        </m:r>
                      </m:e>
                      <m:sub>
                        <m:r>
                          <w:rPr>
                            <w:rFonts w:ascii="Cambria Math" w:hAnsi="Cambria Math"/>
                          </w:rPr>
                          <m:t>Y</m:t>
                        </m:r>
                      </m:sub>
                    </m:sSub>
                    <m:d>
                      <m:dPr>
                        <m:ctrlPr>
                          <w:rPr>
                            <w:rFonts w:ascii="Cambria Math" w:hAnsi="Cambria Math"/>
                            <w:i/>
                          </w:rPr>
                        </m:ctrlPr>
                      </m:dPr>
                      <m:e>
                        <m:r>
                          <w:rPr>
                            <w:rFonts w:ascii="Cambria Math" w:hAnsi="Cambria Math"/>
                          </w:rPr>
                          <m:t>y ⎸Sc=i)</m:t>
                        </m:r>
                      </m:e>
                    </m:d>
                  </m:e>
                </m:nary>
                <m:r>
                  <w:rPr>
                    <w:rFonts w:ascii="Cambria Math" w:hAnsi="Cambria Math"/>
                  </w:rPr>
                  <m:t>. dy</m:t>
                </m:r>
              </m:oMath>
            </m:oMathPara>
          </w:p>
        </w:tc>
        <w:tc>
          <w:tcPr>
            <w:tcW w:w="562" w:type="dxa"/>
            <w:vAlign w:val="center"/>
          </w:tcPr>
          <w:p w:rsidR="0061634B" w:rsidRPr="00C066D6" w:rsidRDefault="009F586E" w:rsidP="00636F8B">
            <w:r w:rsidRPr="00C066D6">
              <w:rPr>
                <w:lang w:val="en-US"/>
              </w:rPr>
              <w:t>(14</w:t>
            </w:r>
            <w:r w:rsidR="0061634B" w:rsidRPr="00C066D6">
              <w:rPr>
                <w:lang w:val="en-US"/>
              </w:rPr>
              <w:t>)</w:t>
            </w:r>
          </w:p>
        </w:tc>
      </w:tr>
    </w:tbl>
    <w:p w:rsidR="0061634B" w:rsidRPr="00C066D6" w:rsidRDefault="0061634B" w:rsidP="00163B46">
      <w:pPr>
        <w:rPr>
          <w:rFonts w:eastAsia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63B46" w:rsidRPr="00C066D6" w:rsidRDefault="00163B46" w:rsidP="00636F8B">
      <w:r w:rsidRPr="00C066D6">
        <w:t xml:space="preserve">je střední hodnota nepřímé finanční ztráty způsobené uzavřením tunelu v důsledku realizace scénáře </w:t>
      </w:r>
      <w:r w:rsidRPr="00C066D6">
        <w:rPr>
          <w:i/>
        </w:rPr>
        <w:t xml:space="preserve">i. </w:t>
      </w:r>
      <w:r w:rsidRPr="00C066D6">
        <w:t xml:space="preserve">Vezmeme-li v úvahu náhodné materiálové vlastnosti ostění, lze i na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C066D6">
        <w:t xml:space="preserve"> pohlížet jako na střední hodnotu přímé finanční ztráty na majetku v důsledku realizace scénáře </w:t>
      </w:r>
      <w:r w:rsidRPr="00C066D6">
        <w:rPr>
          <w:i/>
        </w:rPr>
        <w:t>i</w:t>
      </w:r>
      <w:r w:rsidRPr="00C066D6">
        <w:t>.</w:t>
      </w:r>
    </w:p>
    <w:p w:rsidR="00163B46" w:rsidRPr="00C066D6" w:rsidRDefault="00163B46" w:rsidP="00636F8B">
      <w:r w:rsidRPr="00C066D6">
        <w:rPr>
          <w:i/>
        </w:rPr>
        <w:t>Střední užitek</w:t>
      </w:r>
      <w:r w:rsidRPr="00C066D6">
        <w:t xml:space="preserve"> </w:t>
      </w:r>
      <w:r w:rsidRPr="00C066D6">
        <w:rPr>
          <w:i/>
        </w:rPr>
        <w:t xml:space="preserve">vztažený k redukované hodnotě majetku </w:t>
      </w:r>
      <w:r w:rsidRPr="00C066D6">
        <w:t>pokrývá též stav, při němž</w:t>
      </w:r>
      <w:r w:rsidR="009F586E" w:rsidRPr="00C066D6">
        <w:t xml:space="preserve"> požár nenastane, viz vzorec (13</w:t>
      </w:r>
      <w:r w:rsidRPr="00C066D6">
        <w:t>). Při využití f</w:t>
      </w:r>
      <w:r w:rsidR="009F586E" w:rsidRPr="00C066D6">
        <w:t>unkce užitku ve tvaru (9</w:t>
      </w:r>
      <w:r w:rsidRPr="00C066D6">
        <w:t xml:space="preserve">) bude </w:t>
      </w:r>
      <w:r w:rsidRPr="00C066D6">
        <w:rPr>
          <w:i/>
        </w:rPr>
        <w:t xml:space="preserve">očekávaný (střední) užitek </w:t>
      </w:r>
      <w:r w:rsidRPr="00C066D6">
        <w:t>vyjádřen takto:</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7"/>
        <w:gridCol w:w="605"/>
      </w:tblGrid>
      <w:tr w:rsidR="00636F8B" w:rsidRPr="00C066D6" w:rsidTr="00A75D5E">
        <w:tc>
          <w:tcPr>
            <w:tcW w:w="8500" w:type="dxa"/>
          </w:tcPr>
          <w:p w:rsidR="0061634B" w:rsidRPr="00C066D6" w:rsidRDefault="0061634B" w:rsidP="00636F8B">
            <w:pPr>
              <w:rPr>
                <w:rFonts w:ascii="Times New Roman" w:hAnsi="Times New Roman"/>
                <w:i/>
              </w:rPr>
            </w:pPr>
            <m:oMathPara>
              <m:oMath>
                <m:r>
                  <w:rPr>
                    <w:rFonts w:ascii="Cambria Math" w:hAnsi="Cambria Math"/>
                  </w:rPr>
                  <w:lastRenderedPageBreak/>
                  <m:t xml:space="preserve">E </m:t>
                </m:r>
                <m:d>
                  <m:dPr>
                    <m:begChr m:val="["/>
                    <m:endChr m:val="]"/>
                    <m:ctrlPr>
                      <w:rPr>
                        <w:rFonts w:ascii="Cambria Math" w:hAnsi="Cambria Math"/>
                        <w:i/>
                      </w:rPr>
                    </m:ctrlPr>
                  </m:dPr>
                  <m:e>
                    <m:r>
                      <w:rPr>
                        <w:rFonts w:ascii="Cambria Math" w:hAnsi="Cambria Math"/>
                      </w:rPr>
                      <m:t>U</m:t>
                    </m:r>
                  </m:e>
                </m:d>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 θ</m:t>
                    </m:r>
                    <m:d>
                      <m:dPr>
                        <m:ctrlPr>
                          <w:rPr>
                            <w:rFonts w:ascii="Cambria Math" w:hAnsi="Cambria Math"/>
                            <w:i/>
                          </w:rPr>
                        </m:ctrlPr>
                      </m:dPr>
                      <m:e>
                        <m:r>
                          <w:rPr>
                            <w:rFonts w:ascii="Cambria Math" w:hAnsi="Cambria Math"/>
                          </w:rPr>
                          <m:t>W-C</m:t>
                        </m:r>
                      </m:e>
                    </m:d>
                  </m:sup>
                </m:sSup>
                <m:d>
                  <m:dPr>
                    <m:begChr m:val="["/>
                    <m:endChr m:val="]"/>
                    <m:ctrlPr>
                      <w:rPr>
                        <w:rFonts w:ascii="Cambria Math" w:hAnsi="Cambria Math"/>
                        <w:i/>
                        <w:lang w:val="en-US"/>
                      </w:rPr>
                    </m:ctrlPr>
                  </m:dPr>
                  <m:e>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lang w:val="en-US"/>
                      </w:rPr>
                      <m:t xml:space="preserve"> + </m:t>
                    </m:r>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m:t>
                            </m:r>
                          </m:sub>
                        </m:sSub>
                      </m:e>
                    </m:nary>
                  </m:e>
                </m:d>
                <m:r>
                  <w:rPr>
                    <w:rFonts w:ascii="Cambria Math" w:hAnsi="Cambria Math"/>
                    <w:lang w:val="en-US"/>
                  </w:rPr>
                  <m:t>,</m:t>
                </m:r>
              </m:oMath>
            </m:oMathPara>
          </w:p>
        </w:tc>
        <w:tc>
          <w:tcPr>
            <w:tcW w:w="562" w:type="dxa"/>
            <w:vAlign w:val="center"/>
          </w:tcPr>
          <w:p w:rsidR="0061634B" w:rsidRPr="00C066D6" w:rsidRDefault="009F586E" w:rsidP="00636F8B">
            <w:r w:rsidRPr="00C066D6">
              <w:rPr>
                <w:lang w:val="en-US"/>
              </w:rPr>
              <w:t>(15</w:t>
            </w:r>
            <w:r w:rsidR="0061634B" w:rsidRPr="00C066D6">
              <w:rPr>
                <w:lang w:val="en-US"/>
              </w:rPr>
              <w:t>)</w:t>
            </w:r>
          </w:p>
        </w:tc>
      </w:tr>
    </w:tbl>
    <w:p w:rsidR="00163B46" w:rsidRPr="00C066D6" w:rsidRDefault="00163B46" w:rsidP="00636F8B">
      <w:pPr>
        <w:rPr>
          <w:lang w:val="en-US"/>
        </w:rPr>
      </w:pPr>
    </w:p>
    <w:p w:rsidR="00163B46" w:rsidRPr="00C066D6" w:rsidRDefault="00163B46" w:rsidP="00636F8B">
      <w:r w:rsidRPr="00C066D6">
        <w:t>Při aplikaci modelu popsaného v metodice je n = 9.</w:t>
      </w:r>
    </w:p>
    <w:p w:rsidR="00163B46" w:rsidRPr="00C066D6" w:rsidRDefault="00163B46" w:rsidP="00636F8B">
      <w:r w:rsidRPr="00C066D6">
        <w:t>Při možnosti výběru z širší palety variantních řešení se pak vybírá varianta s maximálním středním užitkem (řečeno doslova, vybírá se nejméně neužitečné řešení (min disutility)).</w:t>
      </w:r>
    </w:p>
    <w:p w:rsidR="00371129" w:rsidRPr="00C066D6" w:rsidRDefault="00371129" w:rsidP="00636F8B">
      <w:pPr>
        <w:rPr>
          <w:b/>
        </w:rPr>
      </w:pPr>
    </w:p>
    <w:p w:rsidR="00580B05" w:rsidRPr="00C066D6" w:rsidRDefault="00580B05" w:rsidP="00636F8B">
      <w:pPr>
        <w:pStyle w:val="Nadpis1"/>
      </w:pPr>
      <w:r w:rsidRPr="00C066D6">
        <w:t>4 Popis „novosti“ stanovené metodiky</w:t>
      </w:r>
    </w:p>
    <w:p w:rsidR="00580B05" w:rsidRPr="00C066D6" w:rsidRDefault="00580B05" w:rsidP="00636F8B">
      <w:r w:rsidRPr="00C066D6">
        <w:t>Teoretické základy a principy</w:t>
      </w:r>
      <w:r w:rsidR="00304AD0" w:rsidRPr="00C066D6">
        <w:t xml:space="preserve"> metodiky byly publikovány v  </w:t>
      </w:r>
      <w:r w:rsidR="003B6A1C" w:rsidRPr="00C066D6">
        <w:t>[12]</w:t>
      </w:r>
      <w:r w:rsidR="00304AD0" w:rsidRPr="00C066D6">
        <w:t xml:space="preserve">, </w:t>
      </w:r>
      <w:r w:rsidR="003B6A1C" w:rsidRPr="00C066D6">
        <w:t>[13]</w:t>
      </w:r>
      <w:r w:rsidR="00304AD0" w:rsidRPr="00C066D6">
        <w:t xml:space="preserve"> a </w:t>
      </w:r>
      <w:r w:rsidR="003B6A1C" w:rsidRPr="00C066D6">
        <w:t>[14]</w:t>
      </w:r>
      <w:r w:rsidRPr="00C066D6">
        <w:t xml:space="preserve"> a metodika navazuje na předchozí pozna</w:t>
      </w:r>
      <w:r w:rsidR="00304AD0" w:rsidRPr="00C066D6">
        <w:t xml:space="preserve">tky zveřejněné dříve v </w:t>
      </w:r>
      <w:r w:rsidR="003B6A1C" w:rsidRPr="00C066D6">
        <w:t>[15]</w:t>
      </w:r>
      <w:r w:rsidRPr="00C066D6">
        <w:t xml:space="preserve">. Metodika sleduje obecný rámec rizikové analýzy ilustrovaný na Obr. 1, z něhož vychází i uznávaný model QRAM, </w:t>
      </w:r>
      <w:r w:rsidR="00304AD0" w:rsidRPr="00C066D6">
        <w:t>viz [1]</w:t>
      </w:r>
      <w:r w:rsidR="00123F7F">
        <w:t>.</w:t>
      </w:r>
      <w:r w:rsidRPr="00C066D6">
        <w:t xml:space="preserve"> Mezi předloženou metodikou</w:t>
      </w:r>
      <w:r w:rsidR="00583BAF" w:rsidRPr="00C066D6">
        <w:t xml:space="preserve"> (Čl. 3.2)</w:t>
      </w:r>
      <w:r w:rsidRPr="00C066D6">
        <w:t xml:space="preserve"> a QRAM</w:t>
      </w:r>
      <w:r w:rsidR="00583BAF" w:rsidRPr="00C066D6">
        <w:t xml:space="preserve"> (Čl. 3.1)</w:t>
      </w:r>
      <w:r w:rsidRPr="00C066D6">
        <w:t xml:space="preserve"> jsou zřetelné odlišnosti, a to jak v </w:t>
      </w:r>
      <w:r w:rsidRPr="00C066D6">
        <w:rPr>
          <w:i/>
        </w:rPr>
        <w:t>zaměření,</w:t>
      </w:r>
      <w:r w:rsidRPr="00C066D6">
        <w:t xml:space="preserve"> tak v </w:t>
      </w:r>
      <w:r w:rsidRPr="00C066D6">
        <w:rPr>
          <w:i/>
        </w:rPr>
        <w:t>pravděpodobnostním přístupu</w:t>
      </w:r>
      <w:r w:rsidRPr="00C066D6">
        <w:t>:</w:t>
      </w:r>
    </w:p>
    <w:p w:rsidR="00580B05" w:rsidRPr="00C066D6" w:rsidRDefault="00583BAF" w:rsidP="00636F8B">
      <w:pPr>
        <w:pStyle w:val="Odstavecseseznamem"/>
        <w:numPr>
          <w:ilvl w:val="0"/>
          <w:numId w:val="19"/>
        </w:numPr>
      </w:pPr>
      <w:r w:rsidRPr="00C066D6">
        <w:t>Nově navržená m</w:t>
      </w:r>
      <w:r w:rsidR="00580B05" w:rsidRPr="00C066D6">
        <w:t>etodika předvídá (pravděpodobné) finanční ztráty na majetku, jakož i nepřímé škody v důsledku zastavení provozu. Dopady vysokých teplot a radiace na tunelové ostění jsou uplatněny v pravděpodobnostním modelu a slouží k odhadu objemu betonu poškozeného požárem a předurčeného k opravě.</w:t>
      </w:r>
      <w:r w:rsidR="00580B05" w:rsidRPr="00C066D6">
        <w:rPr>
          <w:i/>
        </w:rPr>
        <w:t xml:space="preserve"> </w:t>
      </w:r>
      <w:r w:rsidR="00580B05" w:rsidRPr="00C066D6">
        <w:t>Ke komplexnímu hodnocení finančních ztrát – přímých i nepřímých (v důsledku zastavení provozu v tunelu) – j</w:t>
      </w:r>
      <w:r w:rsidR="004D4080" w:rsidRPr="00C066D6">
        <w:t>e využita teorie užitku (viz Čl. 3.3</w:t>
      </w:r>
      <w:r w:rsidR="00580B05" w:rsidRPr="00C066D6">
        <w:t xml:space="preserve"> – </w:t>
      </w:r>
      <w:r w:rsidRPr="00C066D6">
        <w:t>Hodnocení ekonomických dopadů požáru</w:t>
      </w:r>
      <w:r w:rsidR="00580B05" w:rsidRPr="00C066D6">
        <w:t xml:space="preserve">). </w:t>
      </w:r>
    </w:p>
    <w:p w:rsidR="00580B05" w:rsidRPr="00C066D6" w:rsidRDefault="00580B05" w:rsidP="00636F8B">
      <w:pPr>
        <w:pStyle w:val="Odstavecseseznamem"/>
      </w:pPr>
      <w:r w:rsidRPr="00C066D6">
        <w:t xml:space="preserve">Naproti tomu stávající model QRAM predikuje indikátory sociálního rizika, zejména náhodné ztráty na lidských životech a vyjadřuje je pomocí křivky </w:t>
      </w:r>
      <w:r w:rsidRPr="00C066D6">
        <w:rPr>
          <w:i/>
        </w:rPr>
        <w:t xml:space="preserve">F-N. </w:t>
      </w:r>
      <w:r w:rsidRPr="00C066D6">
        <w:t xml:space="preserve">Důležitou charakteristikou je závislost procentuální úmrtnosti na vzdálenosti od epicentra požáru (Obr. 4). </w:t>
      </w:r>
    </w:p>
    <w:p w:rsidR="00580B05" w:rsidRPr="00C066D6" w:rsidRDefault="00580B05" w:rsidP="00636F8B">
      <w:pPr>
        <w:pStyle w:val="Odstavecseseznamem"/>
        <w:numPr>
          <w:ilvl w:val="0"/>
          <w:numId w:val="19"/>
        </w:numPr>
      </w:pPr>
      <w:r w:rsidRPr="00C066D6">
        <w:t xml:space="preserve">V metodice je provoz v tunelu analyzován jako Markovův řetězec. Scénáře tepelných výkonů jsou považovány za realizace náhodné proměnné </w:t>
      </w:r>
      <w:r w:rsidRPr="00C066D6">
        <w:rPr>
          <w:i/>
        </w:rPr>
        <w:t xml:space="preserve">Q </w:t>
      </w:r>
      <w:r w:rsidRPr="00C066D6">
        <w:t>[MW], odpovídající účasti 1</w:t>
      </w:r>
      <w:r w:rsidRPr="00C066D6">
        <w:rPr>
          <w:i/>
        </w:rPr>
        <w:t>TB</w:t>
      </w:r>
      <w:r w:rsidRPr="00C066D6">
        <w:t>, popř.  2</w:t>
      </w:r>
      <w:r w:rsidRPr="00C066D6">
        <w:rPr>
          <w:i/>
        </w:rPr>
        <w:t xml:space="preserve">TB </w:t>
      </w:r>
      <w:r w:rsidRPr="00C066D6">
        <w:t xml:space="preserve"> zasažených zčásti nebo zcela požárem. Rozdělení pravděpodobnosti realizace scénářů bylo získáno pro 1</w:t>
      </w:r>
      <w:r w:rsidRPr="00C066D6">
        <w:rPr>
          <w:i/>
        </w:rPr>
        <w:t xml:space="preserve"> TB </w:t>
      </w:r>
      <w:r w:rsidRPr="00C066D6">
        <w:t>z analýzy ETA popsané ve zprávě [</w:t>
      </w:r>
      <w:r w:rsidR="004D4080" w:rsidRPr="00C066D6">
        <w:t>5</w:t>
      </w:r>
      <w:r w:rsidRPr="00C066D6">
        <w:t>] a rozvedené pro případ se 2</w:t>
      </w:r>
      <w:r w:rsidRPr="00C066D6">
        <w:rPr>
          <w:i/>
        </w:rPr>
        <w:t xml:space="preserve">TB </w:t>
      </w:r>
      <w:r w:rsidRPr="00C066D6">
        <w:t>(sloučení dvou náhodných</w:t>
      </w:r>
      <w:r w:rsidRPr="00C066D6">
        <w:rPr>
          <w:i/>
        </w:rPr>
        <w:t xml:space="preserve"> </w:t>
      </w:r>
      <w:r w:rsidRPr="00C066D6">
        <w:t xml:space="preserve">výkonů </w:t>
      </w:r>
      <w:r w:rsidRPr="00C066D6">
        <w:rPr>
          <w:i/>
        </w:rPr>
        <w:t xml:space="preserve">Q </w:t>
      </w:r>
      <w:r w:rsidRPr="00C066D6">
        <w:t>formou konvoluce). Uvažuje se 9 scénářů. Jejich počet ovšem lze libovolně rozšířit v závislosti na dostupných datech.</w:t>
      </w:r>
    </w:p>
    <w:p w:rsidR="00580B05" w:rsidRPr="00C066D6" w:rsidRDefault="00580B05" w:rsidP="00636F8B">
      <w:pPr>
        <w:pStyle w:val="Odstavecseseznamem"/>
      </w:pPr>
      <w:r w:rsidRPr="00C066D6">
        <w:t>Stávající model QRAM uvažuje 13 scénářů podle typu nebezpečného zboží. Pro popis fyzikálního jevu jsou uvažovány zjednodušené modely a výsledky uspořádány do kontingenčních tabulek. Uživatel může kombinovat vlastní data s (defaultními) daty, jež si vybere z tabulek. Důsledky zmírňujících opatření nelze modelem QRAM jednoduše vystihnout.</w:t>
      </w:r>
    </w:p>
    <w:p w:rsidR="00580B05" w:rsidRPr="00C066D6" w:rsidRDefault="00580B05" w:rsidP="00636F8B">
      <w:r w:rsidRPr="00C066D6">
        <w:t>K vystižení účinnosti zmírňujících opatření na fyzikální jev je vhodné oba přístupy propojit se simulacemi proudění pomocí CFD. Oba př</w:t>
      </w:r>
      <w:r w:rsidR="004D4080" w:rsidRPr="00C066D6">
        <w:t>ístupy, jak stávající QRAM (Čl</w:t>
      </w:r>
      <w:r w:rsidRPr="00C066D6">
        <w:t xml:space="preserve">. 3.1), tak nově </w:t>
      </w:r>
      <w:r w:rsidR="004D4080" w:rsidRPr="00C066D6">
        <w:t>předkládaný (Čl</w:t>
      </w:r>
      <w:r w:rsidRPr="00C066D6">
        <w:t>. 3.2),</w:t>
      </w:r>
      <w:r w:rsidR="004D4080" w:rsidRPr="00C066D6">
        <w:t xml:space="preserve"> byly v návrhu metodiky popsány</w:t>
      </w:r>
      <w:r w:rsidRPr="00C066D6">
        <w:t xml:space="preserve"> jednak kvůli jejich rozdílné využitelnosti, jednak pro možnost porovnání. </w:t>
      </w:r>
    </w:p>
    <w:p w:rsidR="00C67A86" w:rsidRPr="00C066D6" w:rsidRDefault="00C67A86" w:rsidP="00636F8B"/>
    <w:p w:rsidR="00387262" w:rsidRPr="00C066D6" w:rsidRDefault="00387262" w:rsidP="00636F8B">
      <w:pPr>
        <w:pStyle w:val="Nadpis1"/>
      </w:pPr>
      <w:r w:rsidRPr="00C066D6">
        <w:t>5 Popis uplatnění certifikované metodiky</w:t>
      </w:r>
    </w:p>
    <w:p w:rsidR="00387262" w:rsidRPr="00C066D6" w:rsidRDefault="00387262" w:rsidP="00387262">
      <w:r w:rsidRPr="00C066D6">
        <w:t>Metodika je určena expertům v oboru rizikové analýzy a rizikového managementu, projektantům tunelových staveb, odborníkům zaměřeným na požární odolnost staveb, ale může být využita i jako podklad ve výuce studentů na vysokých školách.</w:t>
      </w:r>
      <w:r w:rsidR="009E08EF" w:rsidRPr="00C066D6">
        <w:t xml:space="preserve"> Metodika umožní správci tunelu rozhodnout o nákladných opatřeních a objektivně porovnat finanční náklady s mírou př</w:t>
      </w:r>
      <w:r w:rsidR="00F10D35" w:rsidRPr="00C066D6">
        <w:t>ijatelného rizika (pravděpodobnou škodou</w:t>
      </w:r>
      <w:r w:rsidR="009E08EF" w:rsidRPr="00C066D6">
        <w:t>).</w:t>
      </w:r>
      <w:r w:rsidRPr="00C066D6">
        <w:t xml:space="preserve"> V současnosti zhruba 10% studentů na stavebních fakultách v Praze Brně a Ostravě je vzděláváno v oblasti teorie spolehlivosti a rizikového inženýrství a pravděpodobnostní přístupy se dostávají do povědomí široké technické veřejnosti.</w:t>
      </w:r>
    </w:p>
    <w:p w:rsidR="00044CEC" w:rsidRPr="00C066D6" w:rsidRDefault="00387262" w:rsidP="00387262">
      <w:r w:rsidRPr="00C066D6">
        <w:t>Pro širší uplatnění metodiky se počítá s její diseminací formou specializovaných školení. O metodiku byl projeven zájem i v zahraničí</w:t>
      </w:r>
      <w:r w:rsidR="004C7E5F" w:rsidRPr="00C066D6">
        <w:t xml:space="preserve">, jak dokazuje např. stanovisko časopisu </w:t>
      </w:r>
      <w:r w:rsidR="004C7E5F" w:rsidRPr="00C066D6">
        <w:rPr>
          <w:b/>
          <w:lang w:val="en-US"/>
        </w:rPr>
        <w:t>Advances  in Materials</w:t>
      </w:r>
      <w:r w:rsidR="004C7E5F" w:rsidRPr="00C066D6">
        <w:rPr>
          <w:lang w:val="en-US"/>
        </w:rPr>
        <w:t>: „</w:t>
      </w:r>
      <w:r w:rsidR="004C7E5F" w:rsidRPr="00C066D6">
        <w:rPr>
          <w:i/>
          <w:lang w:val="en-US"/>
        </w:rPr>
        <w:t xml:space="preserve">Your article published in FIRE SAFETY JOURNAL has left a deep impression on us. The paper has </w:t>
      </w:r>
      <w:r w:rsidR="00044CEC" w:rsidRPr="00C066D6">
        <w:rPr>
          <w:i/>
          <w:lang w:val="en-US"/>
        </w:rPr>
        <w:t>attracted</w:t>
      </w:r>
      <w:r w:rsidR="004C7E5F" w:rsidRPr="00C066D6">
        <w:rPr>
          <w:i/>
          <w:lang w:val="en-US"/>
        </w:rPr>
        <w:t xml:space="preserve"> </w:t>
      </w:r>
      <w:r w:rsidR="00044CEC" w:rsidRPr="00C066D6">
        <w:rPr>
          <w:i/>
          <w:lang w:val="en-US"/>
        </w:rPr>
        <w:t>widespread attention and interest from researchers and scholars in the field of Risk</w:t>
      </w:r>
      <w:r w:rsidR="00044CEC" w:rsidRPr="00C066D6">
        <w:rPr>
          <w:lang w:val="en-US"/>
        </w:rPr>
        <w:t xml:space="preserve">.” </w:t>
      </w:r>
      <w:r w:rsidR="00044CEC" w:rsidRPr="00C066D6">
        <w:t xml:space="preserve"> </w:t>
      </w:r>
    </w:p>
    <w:p w:rsidR="00387262" w:rsidRPr="00C066D6" w:rsidRDefault="00044CEC" w:rsidP="00387262">
      <w:pPr>
        <w:rPr>
          <w:i/>
          <w:lang w:val="en-US"/>
        </w:rPr>
      </w:pPr>
      <w:r w:rsidRPr="00C066D6">
        <w:t xml:space="preserve">Zájem o navazující příspěvek projevily několika desítkami žádostí redakční rady časopisů s IF </w:t>
      </w:r>
      <w:r w:rsidR="003E4C73" w:rsidRPr="00C066D6">
        <w:t>jako</w:t>
      </w:r>
      <w:r w:rsidR="00535702" w:rsidRPr="00C066D6">
        <w:rPr>
          <w:b/>
        </w:rPr>
        <w:t>:</w:t>
      </w:r>
      <w:r w:rsidR="003E4C73" w:rsidRPr="00C066D6">
        <w:rPr>
          <w:b/>
        </w:rPr>
        <w:t xml:space="preserve"> </w:t>
      </w:r>
      <w:r w:rsidR="003E4C73" w:rsidRPr="00C066D6">
        <w:rPr>
          <w:b/>
          <w:lang w:val="en-US"/>
        </w:rPr>
        <w:t>Journal of Materials Sciences and Applications, Journal of Materials, Journal of Advances in</w:t>
      </w:r>
      <w:r w:rsidR="00535702" w:rsidRPr="00C066D6">
        <w:rPr>
          <w:b/>
          <w:lang w:val="en-US"/>
        </w:rPr>
        <w:t xml:space="preserve"> Applied Mathematics, </w:t>
      </w:r>
      <w:r w:rsidR="00535702" w:rsidRPr="00C066D6">
        <w:rPr>
          <w:b/>
          <w:i/>
          <w:lang w:val="en-US"/>
        </w:rPr>
        <w:t>Journal of Traffic and Transportation Engineering</w:t>
      </w:r>
      <w:r w:rsidR="003E4C73" w:rsidRPr="00C066D6">
        <w:rPr>
          <w:b/>
          <w:i/>
          <w:lang w:val="en-US"/>
        </w:rPr>
        <w:t xml:space="preserve"> (USA)</w:t>
      </w:r>
      <w:r w:rsidR="003E4C73" w:rsidRPr="00C066D6">
        <w:rPr>
          <w:b/>
          <w:lang w:val="en-US"/>
        </w:rPr>
        <w:t>, Advances in Civil Engineering</w:t>
      </w:r>
      <w:r w:rsidR="00535702" w:rsidRPr="00C066D6">
        <w:rPr>
          <w:lang w:val="en-US"/>
        </w:rPr>
        <w:t xml:space="preserve">. </w:t>
      </w:r>
      <w:r w:rsidR="00535702" w:rsidRPr="00C066D6">
        <w:t xml:space="preserve">Autoři byli vyzváni k účasti v Redakčních panelech, či k působení jako </w:t>
      </w:r>
      <w:r w:rsidR="00535702" w:rsidRPr="00C066D6">
        <w:rPr>
          <w:lang w:val="en-US"/>
        </w:rPr>
        <w:t>„Guest Editor</w:t>
      </w:r>
      <w:r w:rsidR="00535702" w:rsidRPr="00C066D6">
        <w:t xml:space="preserve">” v několika speciálních číslech „Issues“ časopisů s touto tématikou, ale i k prezentaci na prestižním </w:t>
      </w:r>
      <w:r w:rsidR="00535702" w:rsidRPr="00C066D6">
        <w:rPr>
          <w:b/>
        </w:rPr>
        <w:t xml:space="preserve">1st International Symposium </w:t>
      </w:r>
      <w:r w:rsidR="00535702" w:rsidRPr="00C066D6">
        <w:rPr>
          <w:b/>
          <w:lang w:val="en-US"/>
        </w:rPr>
        <w:t>on Mechanics , Aberdeen</w:t>
      </w:r>
      <w:r w:rsidR="00AD0F10" w:rsidRPr="00C066D6">
        <w:rPr>
          <w:b/>
          <w:lang w:val="en-US"/>
        </w:rPr>
        <w:t>,</w:t>
      </w:r>
      <w:r w:rsidR="00535702" w:rsidRPr="00C066D6">
        <w:rPr>
          <w:b/>
        </w:rPr>
        <w:t xml:space="preserve"> Scotla</w:t>
      </w:r>
      <w:r w:rsidR="00F473D8" w:rsidRPr="00C066D6">
        <w:rPr>
          <w:b/>
        </w:rPr>
        <w:t>n</w:t>
      </w:r>
      <w:r w:rsidR="00535702" w:rsidRPr="00C066D6">
        <w:rPr>
          <w:b/>
        </w:rPr>
        <w:t>d</w:t>
      </w:r>
      <w:r w:rsidR="00F473D8" w:rsidRPr="00C066D6">
        <w:rPr>
          <w:b/>
        </w:rPr>
        <w:t>,</w:t>
      </w:r>
      <w:r w:rsidR="00AD0F10" w:rsidRPr="00C066D6">
        <w:rPr>
          <w:b/>
        </w:rPr>
        <w:t xml:space="preserve"> UK,</w:t>
      </w:r>
      <w:r w:rsidR="00F473D8" w:rsidRPr="00C066D6">
        <w:rPr>
          <w:b/>
        </w:rPr>
        <w:t xml:space="preserve"> 12. 7. 2018</w:t>
      </w:r>
      <w:r w:rsidR="00535702" w:rsidRPr="00C066D6">
        <w:rPr>
          <w:b/>
        </w:rPr>
        <w:t>.</w:t>
      </w:r>
      <w:r w:rsidR="00535702" w:rsidRPr="00C066D6">
        <w:t xml:space="preserve"> </w:t>
      </w:r>
      <w:r w:rsidR="003E4C73" w:rsidRPr="00C066D6">
        <w:t xml:space="preserve"> </w:t>
      </w:r>
      <w:r w:rsidR="00387262" w:rsidRPr="00C066D6">
        <w:t xml:space="preserve">Dle e-mailové korespondence řešitelů, byl navržený </w:t>
      </w:r>
      <w:r w:rsidR="004D4080" w:rsidRPr="00C066D6">
        <w:t>postup (Čl</w:t>
      </w:r>
      <w:r w:rsidR="00387262" w:rsidRPr="00C066D6">
        <w:t>. 3.2) úspěšně aplikován při rizikové analýze t</w:t>
      </w:r>
      <w:r w:rsidR="00535702" w:rsidRPr="00C066D6">
        <w:t>unelů</w:t>
      </w:r>
      <w:r w:rsidR="00387262" w:rsidRPr="00C066D6">
        <w:t xml:space="preserve"> v Číně.</w:t>
      </w:r>
      <w:r w:rsidR="00535702" w:rsidRPr="00C066D6">
        <w:t xml:space="preserve"> O aplikaci modelu [12], který je</w:t>
      </w:r>
      <w:r w:rsidR="00F473D8" w:rsidRPr="00C066D6">
        <w:rPr>
          <w:lang w:val="en-US"/>
        </w:rPr>
        <w:t xml:space="preserve"> základem metodiky</w:t>
      </w:r>
      <w:r w:rsidR="00F10D35" w:rsidRPr="00C066D6">
        <w:rPr>
          <w:lang w:val="en-US"/>
        </w:rPr>
        <w:t>,</w:t>
      </w:r>
      <w:r w:rsidR="00F473D8" w:rsidRPr="00C066D6">
        <w:rPr>
          <w:lang w:val="en-US"/>
        </w:rPr>
        <w:t xml:space="preserve"> projevili zájem </w:t>
      </w:r>
      <w:r w:rsidR="00CB4B35" w:rsidRPr="00C066D6">
        <w:rPr>
          <w:lang w:val="en-US"/>
        </w:rPr>
        <w:t xml:space="preserve">a </w:t>
      </w:r>
      <w:r w:rsidR="00F10D35" w:rsidRPr="00C066D6">
        <w:rPr>
          <w:lang w:val="en-US"/>
        </w:rPr>
        <w:t>doporučili ji</w:t>
      </w:r>
      <w:r w:rsidR="00CB4B35" w:rsidRPr="00C066D6">
        <w:rPr>
          <w:lang w:val="en-US"/>
        </w:rPr>
        <w:t xml:space="preserve"> prof</w:t>
      </w:r>
      <w:r w:rsidR="00F10D35" w:rsidRPr="00C066D6">
        <w:rPr>
          <w:lang w:val="en-US"/>
        </w:rPr>
        <w:t>.</w:t>
      </w:r>
      <w:r w:rsidR="00CB4B35" w:rsidRPr="00C066D6">
        <w:rPr>
          <w:lang w:val="en-US"/>
        </w:rPr>
        <w:t xml:space="preserve"> Yiming Zhang, Habei University of Technology, Yunteng Wang, Chongging University, Hui Wang, TU Wien (viz např. zpráva</w:t>
      </w:r>
      <w:r w:rsidR="0012547F" w:rsidRPr="00C066D6">
        <w:rPr>
          <w:lang w:val="en-US"/>
        </w:rPr>
        <w:t xml:space="preserve"> Research</w:t>
      </w:r>
      <w:r w:rsidR="00CB4B35" w:rsidRPr="00C066D6">
        <w:rPr>
          <w:lang w:val="en-US"/>
        </w:rPr>
        <w:t xml:space="preserve">Gate z </w:t>
      </w:r>
      <w:r w:rsidR="006B7334" w:rsidRPr="00C066D6">
        <w:rPr>
          <w:lang w:val="en-US"/>
        </w:rPr>
        <w:t>20. 11</w:t>
      </w:r>
      <w:r w:rsidR="00CB4B35" w:rsidRPr="00C066D6">
        <w:rPr>
          <w:lang w:val="en-US"/>
        </w:rPr>
        <w:t>. 2018, kde lze nalézt další odkazy z Japonska, Velké Británíe ap.)</w:t>
      </w:r>
    </w:p>
    <w:p w:rsidR="00387262" w:rsidRPr="00C066D6" w:rsidRDefault="00387262" w:rsidP="00387262"/>
    <w:p w:rsidR="00387262" w:rsidRPr="00C066D6" w:rsidRDefault="00387262" w:rsidP="004D4080">
      <w:pPr>
        <w:rPr>
          <w:lang w:eastAsia="cs-CZ"/>
        </w:rPr>
      </w:pPr>
      <w:r w:rsidRPr="00C066D6">
        <w:t>Součástí metodiky je i soubor programů [</w:t>
      </w:r>
      <w:r w:rsidR="004D4080" w:rsidRPr="00C066D6">
        <w:t>PRETRAFE, CHArMED a FERRATE</w:t>
      </w:r>
      <w:r w:rsidRPr="00C066D6">
        <w:t xml:space="preserve">] pro zjištění </w:t>
      </w:r>
      <w:r w:rsidR="00CA32B6" w:rsidRPr="00C066D6">
        <w:t>pravděpodobnostních</w:t>
      </w:r>
      <w:r w:rsidRPr="00C066D6">
        <w:t xml:space="preserve"> charakteristik dopravního proudu, jakož i programů pro transport tepla a vlhkosti ostěním za velmi vysokých teplot, vystihující poškození betonu vysokými teplotami i odpryskem. Metodika je tak využitelná jak při návrhu (výběr variantních</w:t>
      </w:r>
      <w:r w:rsidRPr="00C066D6">
        <w:rPr>
          <w:lang w:eastAsia="cs-CZ"/>
        </w:rPr>
        <w:t xml:space="preserve"> řešení), tak</w:t>
      </w:r>
      <w:r w:rsidR="00583BAF" w:rsidRPr="00C066D6">
        <w:rPr>
          <w:lang w:eastAsia="cs-CZ"/>
        </w:rPr>
        <w:t xml:space="preserve"> při reakci na rizikové situace (návrh preventivních či ochranných opatření, viz Obr. 1).</w:t>
      </w:r>
    </w:p>
    <w:p w:rsidR="00387262" w:rsidRPr="00C066D6" w:rsidRDefault="00387262" w:rsidP="00387262"/>
    <w:p w:rsidR="00387262" w:rsidRPr="00C066D6" w:rsidRDefault="00387262" w:rsidP="00387262">
      <w:pPr>
        <w:pStyle w:val="Nadpis1"/>
        <w:rPr>
          <w:rFonts w:eastAsia="Times New Roman"/>
          <w:lang w:eastAsia="cs-CZ"/>
        </w:rPr>
      </w:pPr>
      <w:r w:rsidRPr="00C066D6">
        <w:rPr>
          <w:rFonts w:eastAsia="Times New Roman"/>
          <w:lang w:eastAsia="cs-CZ"/>
        </w:rPr>
        <w:t>6 Ekonomické aspekty</w:t>
      </w:r>
    </w:p>
    <w:p w:rsidR="00387262" w:rsidRPr="00C066D6" w:rsidRDefault="00387262" w:rsidP="00387262">
      <w:pPr>
        <w:rPr>
          <w:lang w:eastAsia="cs-CZ"/>
        </w:rPr>
      </w:pPr>
      <w:r w:rsidRPr="00C066D6">
        <w:rPr>
          <w:lang w:eastAsia="cs-CZ"/>
        </w:rPr>
        <w:t xml:space="preserve">Hodnocení ekonomických dopadů požáru, jež vedou k přímým (materiálním) i nepřímým </w:t>
      </w:r>
      <w:r w:rsidRPr="00C066D6">
        <w:t>finančním ztrátám (v důsledku přerušení provozu)</w:t>
      </w:r>
      <w:r w:rsidR="004D4080" w:rsidRPr="00C066D6">
        <w:t>, je podrobně analyzováno v Čl</w:t>
      </w:r>
      <w:r w:rsidRPr="00C066D6">
        <w:t>. 3.3, zaměřeném na</w:t>
      </w:r>
      <w:r w:rsidRPr="00C066D6">
        <w:rPr>
          <w:lang w:eastAsia="cs-CZ"/>
        </w:rPr>
        <w:t xml:space="preserve"> uplatnění teorie užitku.</w:t>
      </w:r>
    </w:p>
    <w:p w:rsidR="00387262" w:rsidRPr="00C066D6" w:rsidRDefault="00387262" w:rsidP="00387262">
      <w:pPr>
        <w:rPr>
          <w:lang w:eastAsia="cs-CZ"/>
        </w:rPr>
      </w:pPr>
      <w:r w:rsidRPr="00C066D6">
        <w:rPr>
          <w:lang w:eastAsia="cs-CZ"/>
        </w:rPr>
        <w:t xml:space="preserve">Vzhledem k nejistotám spojeným s rizikem škody způsobené požárem v tunelech rozdílných velikostí, jakož i s přihlédnutím k rozdílným  přístupům dvou základních subjektů  - investora a </w:t>
      </w:r>
      <w:r w:rsidRPr="00C066D6">
        <w:rPr>
          <w:lang w:eastAsia="cs-CZ"/>
        </w:rPr>
        <w:lastRenderedPageBreak/>
        <w:t>dodavatele – k riziku (např. averze vůči  možné ztrátě), budou se ekonomické přínosy metodik</w:t>
      </w:r>
      <w:r w:rsidR="009F586E" w:rsidRPr="00C066D6">
        <w:rPr>
          <w:lang w:eastAsia="cs-CZ"/>
        </w:rPr>
        <w:t>y</w:t>
      </w:r>
      <w:r w:rsidR="00614E15" w:rsidRPr="00C066D6">
        <w:rPr>
          <w:lang w:eastAsia="cs-CZ"/>
        </w:rPr>
        <w:t xml:space="preserve"> </w:t>
      </w:r>
      <w:r w:rsidRPr="00C066D6">
        <w:rPr>
          <w:lang w:eastAsia="cs-CZ"/>
        </w:rPr>
        <w:t>případ od případu lišit. Je při tom důležité položit důraz na komplexnost takových odhadů.</w:t>
      </w:r>
    </w:p>
    <w:p w:rsidR="009F586E" w:rsidRPr="00C066D6" w:rsidRDefault="009F586E" w:rsidP="00387262">
      <w:pPr>
        <w:rPr>
          <w:lang w:eastAsia="cs-CZ"/>
        </w:rPr>
      </w:pPr>
      <w:r w:rsidRPr="00C066D6">
        <w:rPr>
          <w:lang w:eastAsia="cs-CZ"/>
        </w:rPr>
        <w:t>Z uvedeného je zřejmé, že jakýkoliv číselný odhad ekonomického přínosu metodiky může být jen orientační. Uvážíme-li, že cena v</w:t>
      </w:r>
      <w:r w:rsidR="009E08EF" w:rsidRPr="00C066D6">
        <w:rPr>
          <w:lang w:eastAsia="cs-CZ"/>
        </w:rPr>
        <w:t>elkého objektu, např. tunelového komplexu</w:t>
      </w:r>
      <w:r w:rsidRPr="00C066D6">
        <w:rPr>
          <w:lang w:eastAsia="cs-CZ"/>
        </w:rPr>
        <w:t xml:space="preserve"> Blanka v Praze, se pohybuje v řádu desítek miliard Kč, pak střízlivý odhad, že by správná aplikace přinesla objektivně podloženou úsporu jednoho procenta ceny stavby, vede k částce v řádu stovek milionů Kč</w:t>
      </w:r>
      <w:r w:rsidR="00583BAF" w:rsidRPr="00C066D6">
        <w:rPr>
          <w:lang w:eastAsia="cs-CZ"/>
        </w:rPr>
        <w:t xml:space="preserve"> v závislosti na referenční době T</w:t>
      </w:r>
      <w:r w:rsidRPr="00C066D6">
        <w:rPr>
          <w:lang w:eastAsia="cs-CZ"/>
        </w:rPr>
        <w:t xml:space="preserve">. Při těchto </w:t>
      </w:r>
      <w:r w:rsidR="00DB3804" w:rsidRPr="00C066D6">
        <w:rPr>
          <w:lang w:eastAsia="cs-CZ"/>
        </w:rPr>
        <w:t>kalkulacích bereme v úvahu jen náklady nezbytné na opravu poškozeného tunelu či náklady na realizaci zmírňujících opatření</w:t>
      </w:r>
      <w:r w:rsidRPr="00C066D6">
        <w:rPr>
          <w:lang w:eastAsia="cs-CZ"/>
        </w:rPr>
        <w:t xml:space="preserve"> </w:t>
      </w:r>
      <w:r w:rsidR="00DB3804" w:rsidRPr="00C066D6">
        <w:rPr>
          <w:lang w:eastAsia="cs-CZ"/>
        </w:rPr>
        <w:t>vůči důsledkům požáru. Necháváme na hodnotiteli představu o výši pravděpodobných ztrát vlivem doby uzavření tunelu.</w:t>
      </w:r>
    </w:p>
    <w:p w:rsidR="00DB3804" w:rsidRPr="00C066D6" w:rsidRDefault="00DB3804" w:rsidP="00387262">
      <w:pPr>
        <w:rPr>
          <w:lang w:eastAsia="cs-CZ"/>
        </w:rPr>
      </w:pPr>
      <w:r w:rsidRPr="00C066D6">
        <w:rPr>
          <w:lang w:eastAsia="cs-CZ"/>
        </w:rPr>
        <w:t>Údaje k nákladům na uvedení metodiky:</w:t>
      </w:r>
    </w:p>
    <w:p w:rsidR="005F41A1" w:rsidRPr="00C066D6" w:rsidRDefault="00DB3804" w:rsidP="00387262">
      <w:pPr>
        <w:rPr>
          <w:lang w:eastAsia="cs-CZ"/>
        </w:rPr>
      </w:pPr>
      <w:r w:rsidRPr="00C066D6">
        <w:rPr>
          <w:lang w:eastAsia="cs-CZ"/>
        </w:rPr>
        <w:t xml:space="preserve">Existující SW QRAM lze získat za 1500 EUR. SW produkty </w:t>
      </w:r>
      <w:r w:rsidR="00583BAF" w:rsidRPr="00C066D6">
        <w:rPr>
          <w:lang w:eastAsia="cs-CZ"/>
        </w:rPr>
        <w:t>nově navržené</w:t>
      </w:r>
      <w:r w:rsidRPr="00C066D6">
        <w:rPr>
          <w:lang w:eastAsia="cs-CZ"/>
        </w:rPr>
        <w:t xml:space="preserve"> metodiky jsou volně přístupné.</w:t>
      </w:r>
    </w:p>
    <w:p w:rsidR="00962811" w:rsidRPr="00C066D6" w:rsidRDefault="00962811" w:rsidP="00387262">
      <w:pPr>
        <w:rPr>
          <w:lang w:eastAsia="cs-CZ"/>
        </w:rPr>
      </w:pPr>
    </w:p>
    <w:p w:rsidR="00614E15" w:rsidRPr="00C066D6" w:rsidRDefault="00614E15" w:rsidP="00614E15">
      <w:pPr>
        <w:pStyle w:val="Nadpis1"/>
        <w:rPr>
          <w:rFonts w:eastAsia="Times New Roman"/>
          <w:lang w:eastAsia="cs-CZ"/>
        </w:rPr>
      </w:pPr>
      <w:r w:rsidRPr="00C066D6">
        <w:rPr>
          <w:rFonts w:eastAsia="Times New Roman"/>
          <w:lang w:eastAsia="cs-CZ"/>
        </w:rPr>
        <w:t>7 Seznam použité literatury</w:t>
      </w:r>
    </w:p>
    <w:p w:rsidR="00054A7E" w:rsidRPr="00C066D6" w:rsidRDefault="00D5787D" w:rsidP="00EB1FA8">
      <w:pPr>
        <w:rPr>
          <w:lang w:val="en-US"/>
        </w:rPr>
      </w:pPr>
      <w:r w:rsidRPr="00C066D6">
        <w:rPr>
          <w:lang w:val="en-US"/>
        </w:rPr>
        <w:t>[1]</w:t>
      </w:r>
      <w:r w:rsidR="00C86D37" w:rsidRPr="00C066D6">
        <w:rPr>
          <w:lang w:val="en-US"/>
        </w:rPr>
        <w:t xml:space="preserve"> K. Ghoumas, C. Di Santo, F. Bontempi, Risk analysis for severe traffic accidents in long road tunnel, Int. J. Forensic Engineering, Vol. 3, Nos. 1/2 (2016)</w:t>
      </w:r>
      <w:r w:rsidR="00EF727E" w:rsidRPr="00C066D6">
        <w:rPr>
          <w:lang w:val="en-US"/>
        </w:rPr>
        <w:t>.</w:t>
      </w:r>
    </w:p>
    <w:p w:rsidR="00D5787D" w:rsidRPr="00C066D6" w:rsidRDefault="00D5787D" w:rsidP="00EB1FA8">
      <w:pPr>
        <w:rPr>
          <w:lang w:val="en-US"/>
        </w:rPr>
      </w:pPr>
      <w:r w:rsidRPr="00C066D6">
        <w:rPr>
          <w:lang w:val="en-US"/>
        </w:rPr>
        <w:t>[2]</w:t>
      </w:r>
      <w:r w:rsidR="00C86D37" w:rsidRPr="00C066D6">
        <w:rPr>
          <w:lang w:val="en-US"/>
        </w:rPr>
        <w:t xml:space="preserve"> H. J. Hurley (ed.), SFPE Handbook of Fire Protection Engineering, 5</w:t>
      </w:r>
      <w:r w:rsidR="00C86D37" w:rsidRPr="00C066D6">
        <w:rPr>
          <w:vertAlign w:val="superscript"/>
          <w:lang w:val="en-US"/>
        </w:rPr>
        <w:t>th</w:t>
      </w:r>
      <w:r w:rsidR="00C86D37" w:rsidRPr="00C066D6">
        <w:rPr>
          <w:lang w:val="en-US"/>
        </w:rPr>
        <w:t xml:space="preserve"> edition, Springer (2015)</w:t>
      </w:r>
      <w:r w:rsidR="00EF727E" w:rsidRPr="00C066D6">
        <w:rPr>
          <w:lang w:val="en-US"/>
        </w:rPr>
        <w:t>.</w:t>
      </w:r>
    </w:p>
    <w:p w:rsidR="00D5787D" w:rsidRPr="00C066D6" w:rsidRDefault="00D5787D" w:rsidP="00EB1FA8">
      <w:pPr>
        <w:rPr>
          <w:lang w:val="en-US"/>
        </w:rPr>
      </w:pPr>
      <w:r w:rsidRPr="00C066D6">
        <w:rPr>
          <w:lang w:val="en-US"/>
        </w:rPr>
        <w:t>[3]</w:t>
      </w:r>
      <w:r w:rsidR="00C86D37" w:rsidRPr="00C066D6">
        <w:rPr>
          <w:lang w:val="en-US"/>
        </w:rPr>
        <w:t xml:space="preserve"> M. Tichý, Ovládání rizika, Analýza a management, C. H. Beck (2006)</w:t>
      </w:r>
      <w:r w:rsidR="00EF727E" w:rsidRPr="00C066D6">
        <w:rPr>
          <w:lang w:val="en-US"/>
        </w:rPr>
        <w:t>.</w:t>
      </w:r>
    </w:p>
    <w:p w:rsidR="00D5787D" w:rsidRPr="00C066D6" w:rsidRDefault="00D5787D" w:rsidP="00EB1FA8">
      <w:pPr>
        <w:rPr>
          <w:lang w:val="de-DE"/>
        </w:rPr>
      </w:pPr>
      <w:r w:rsidRPr="00C066D6">
        <w:rPr>
          <w:lang w:val="en-US"/>
        </w:rPr>
        <w:t>[4]</w:t>
      </w:r>
      <w:r w:rsidR="00C86D37" w:rsidRPr="00C066D6">
        <w:rPr>
          <w:lang w:val="en-US"/>
        </w:rPr>
        <w:t xml:space="preserve"> T. Baroncelli et al., Computational fluid dynamics simulations for the assessment of a road tunnel f</w:t>
      </w:r>
      <w:r w:rsidR="00236537" w:rsidRPr="00C066D6">
        <w:rPr>
          <w:lang w:val="en-US"/>
        </w:rPr>
        <w:t>ire safety, in Augenti</w:t>
      </w:r>
      <w:r w:rsidR="00A75D5E" w:rsidRPr="00C066D6">
        <w:rPr>
          <w:lang w:val="en-US"/>
        </w:rPr>
        <w:t>,</w:t>
      </w:r>
      <w:r w:rsidR="00236537" w:rsidRPr="00C066D6">
        <w:rPr>
          <w:lang w:val="en-US"/>
        </w:rPr>
        <w:t xml:space="preserve"> U. and Bontempi</w:t>
      </w:r>
      <w:r w:rsidR="00A75D5E" w:rsidRPr="00C066D6">
        <w:rPr>
          <w:lang w:val="en-US"/>
        </w:rPr>
        <w:t>,</w:t>
      </w:r>
      <w:r w:rsidR="00236537" w:rsidRPr="00C066D6">
        <w:rPr>
          <w:lang w:val="en-US"/>
        </w:rPr>
        <w:t xml:space="preserve"> F. </w:t>
      </w:r>
      <w:r w:rsidR="00A75D5E" w:rsidRPr="00C066D6">
        <w:rPr>
          <w:lang w:val="en-US"/>
        </w:rPr>
        <w:t>(eds.), Ingegneria Forense, Crolli, Affidabilit</w:t>
      </w:r>
      <w:r w:rsidR="00A75D5E" w:rsidRPr="00C066D6">
        <w:rPr>
          <w:rFonts w:cstheme="minorHAnsi"/>
          <w:lang w:val="en-US"/>
        </w:rPr>
        <w:t>à</w:t>
      </w:r>
      <w:r w:rsidR="00236537" w:rsidRPr="00C066D6">
        <w:rPr>
          <w:lang w:val="en-US"/>
        </w:rPr>
        <w:t xml:space="preserve"> Str</w:t>
      </w:r>
      <w:r w:rsidR="00A75D5E" w:rsidRPr="00C066D6">
        <w:rPr>
          <w:lang w:val="en-US"/>
        </w:rPr>
        <w:t>u</w:t>
      </w:r>
      <w:r w:rsidR="00236537" w:rsidRPr="00C066D6">
        <w:rPr>
          <w:lang w:val="en-US"/>
        </w:rPr>
        <w:t>tt</w:t>
      </w:r>
      <w:r w:rsidR="00583BAF" w:rsidRPr="00C066D6">
        <w:rPr>
          <w:lang w:val="en-US"/>
        </w:rPr>
        <w:t>u</w:t>
      </w:r>
      <w:r w:rsidR="00236537" w:rsidRPr="00C066D6">
        <w:rPr>
          <w:lang w:val="en-US"/>
        </w:rPr>
        <w:t xml:space="preserve">ralle e Consolidamento. </w:t>
      </w:r>
      <w:r w:rsidR="00236537" w:rsidRPr="00C066D6">
        <w:rPr>
          <w:lang w:val="de-DE"/>
        </w:rPr>
        <w:t>Atti del Convegno IF CRASC’15 - 14/16 maggio</w:t>
      </w:r>
      <w:r w:rsidR="00D2205C" w:rsidRPr="00C066D6">
        <w:rPr>
          <w:lang w:val="de-DE"/>
        </w:rPr>
        <w:t>, Roma</w:t>
      </w:r>
      <w:r w:rsidR="00236537" w:rsidRPr="00C066D6">
        <w:rPr>
          <w:lang w:val="de-DE"/>
        </w:rPr>
        <w:t>, (2015)</w:t>
      </w:r>
      <w:r w:rsidR="00D2205C" w:rsidRPr="00C066D6">
        <w:rPr>
          <w:lang w:val="de-DE"/>
        </w:rPr>
        <w:t xml:space="preserve"> 947-958</w:t>
      </w:r>
      <w:r w:rsidR="00EF727E" w:rsidRPr="00C066D6">
        <w:rPr>
          <w:lang w:val="de-DE"/>
        </w:rPr>
        <w:t>.</w:t>
      </w:r>
    </w:p>
    <w:p w:rsidR="00D5787D" w:rsidRPr="00C066D6" w:rsidRDefault="00D5787D" w:rsidP="00932D71">
      <w:pPr>
        <w:rPr>
          <w:lang w:val="de-DE"/>
        </w:rPr>
      </w:pPr>
      <w:r w:rsidRPr="00C066D6">
        <w:rPr>
          <w:lang w:val="de-DE"/>
        </w:rPr>
        <w:t>[5]</w:t>
      </w:r>
      <w:r w:rsidR="00932D71" w:rsidRPr="00C066D6">
        <w:rPr>
          <w:lang w:val="de-DE"/>
        </w:rPr>
        <w:t xml:space="preserve"> ASFiNAG, Wien, Auswertung der ASFINAG-Tunnelbrandstatistik 2006-2012 (2013).</w:t>
      </w:r>
    </w:p>
    <w:p w:rsidR="00D5787D" w:rsidRPr="00C066D6" w:rsidRDefault="00D5787D" w:rsidP="00932D71">
      <w:pPr>
        <w:rPr>
          <w:lang w:val="en-US"/>
        </w:rPr>
      </w:pPr>
      <w:r w:rsidRPr="00C066D6">
        <w:rPr>
          <w:lang w:val="en-US"/>
        </w:rPr>
        <w:t>[6]</w:t>
      </w:r>
      <w:r w:rsidR="00932D71" w:rsidRPr="00C066D6">
        <w:rPr>
          <w:lang w:val="en-US"/>
        </w:rPr>
        <w:t xml:space="preserve"> C. Caliendo, M. L. D. Guglielmo, Evaluation of traffic and fire accidents in road tunnels, and a cost-benefit analysis, International Journal of Civil Engineering Research 3 (3) (2012) 201–222.</w:t>
      </w:r>
    </w:p>
    <w:p w:rsidR="00D5787D" w:rsidRPr="00C066D6" w:rsidRDefault="00D5787D" w:rsidP="00932D71">
      <w:pPr>
        <w:rPr>
          <w:lang w:val="en-US"/>
        </w:rPr>
      </w:pPr>
      <w:r w:rsidRPr="00C066D6">
        <w:rPr>
          <w:lang w:val="en-US"/>
        </w:rPr>
        <w:t>[7]</w:t>
      </w:r>
      <w:r w:rsidR="00932D71" w:rsidRPr="00C066D6">
        <w:rPr>
          <w:lang w:val="en-US"/>
        </w:rPr>
        <w:t xml:space="preserve"> C. Caliendo, M. L. D. Guglielmo, M. Guida, A crash-prediction model for road tunnels, Accident Analysis &amp; Prevention 55 (2013) 107–115.</w:t>
      </w:r>
    </w:p>
    <w:p w:rsidR="00932D71" w:rsidRPr="00C066D6" w:rsidRDefault="00D5787D" w:rsidP="00932D71">
      <w:pPr>
        <w:rPr>
          <w:lang w:val="en-US"/>
        </w:rPr>
      </w:pPr>
      <w:r w:rsidRPr="00C066D6">
        <w:rPr>
          <w:lang w:val="en-US"/>
        </w:rPr>
        <w:t>[8]</w:t>
      </w:r>
      <w:r w:rsidR="00932D71" w:rsidRPr="00C066D6">
        <w:rPr>
          <w:lang w:val="en-US"/>
        </w:rPr>
        <w:t xml:space="preserve"> H. M. Künzel, K. Kiessl, Calculation of heat and moisture transfer in exposed building components, International Journal of Heat and Mass Transfer 40 (1) (1996) 159–167.</w:t>
      </w:r>
    </w:p>
    <w:p w:rsidR="00D5787D" w:rsidRPr="00C066D6" w:rsidRDefault="00D5787D" w:rsidP="00932D71">
      <w:pPr>
        <w:rPr>
          <w:lang w:val="en-US"/>
        </w:rPr>
      </w:pPr>
      <w:r w:rsidRPr="00C066D6">
        <w:rPr>
          <w:lang w:val="en-US"/>
        </w:rPr>
        <w:t>[9]</w:t>
      </w:r>
      <w:r w:rsidR="00932D71" w:rsidRPr="00C066D6">
        <w:rPr>
          <w:lang w:val="en-US"/>
        </w:rPr>
        <w:t xml:space="preserve"> Z. P. Bažant, W. Thonguthai, Pore pressure in heated concrete walls: theoretical prediction, Magazine of Concrete Research 31 (107) (1979) 67–76.</w:t>
      </w:r>
    </w:p>
    <w:p w:rsidR="00D5787D" w:rsidRPr="00C066D6" w:rsidRDefault="00D5787D" w:rsidP="00D2205C">
      <w:pPr>
        <w:rPr>
          <w:lang w:val="en-US"/>
        </w:rPr>
      </w:pPr>
      <w:r w:rsidRPr="00C066D6">
        <w:rPr>
          <w:lang w:val="en-US"/>
        </w:rPr>
        <w:lastRenderedPageBreak/>
        <w:t xml:space="preserve">[10] </w:t>
      </w:r>
      <w:r w:rsidR="00D2205C" w:rsidRPr="00C066D6">
        <w:rPr>
          <w:lang w:val="en-US"/>
        </w:rPr>
        <w:t>M. B. Dwaikat, V. K. R. Kodur, Hydrothermal model for predicting fire-induced spalling in concrete structural systems, Fire Safety Journal 44 (2009) 425-434</w:t>
      </w:r>
      <w:r w:rsidR="00EF727E" w:rsidRPr="00C066D6">
        <w:rPr>
          <w:lang w:val="en-US"/>
        </w:rPr>
        <w:t>.</w:t>
      </w:r>
    </w:p>
    <w:p w:rsidR="003B6A1C" w:rsidRPr="00C066D6" w:rsidRDefault="003B6A1C" w:rsidP="00D2205C">
      <w:r w:rsidRPr="00C066D6">
        <w:rPr>
          <w:lang w:val="en-US"/>
        </w:rPr>
        <w:t>[11] H. Ingason, A. Lnnemark, Y. Z. Li, Runehamar tunnel fire tests, Tech. rep., SP Technical Research Institute of Sweden (2011</w:t>
      </w:r>
      <w:r w:rsidRPr="00C066D6">
        <w:t>)</w:t>
      </w:r>
    </w:p>
    <w:p w:rsidR="00D5787D" w:rsidRPr="00C066D6" w:rsidRDefault="00D5787D" w:rsidP="00EB1FA8">
      <w:pPr>
        <w:rPr>
          <w:lang w:val="en-US"/>
        </w:rPr>
      </w:pPr>
    </w:p>
    <w:p w:rsidR="00D2205C" w:rsidRPr="00C066D6" w:rsidRDefault="00D2205C" w:rsidP="00D2205C">
      <w:pPr>
        <w:pStyle w:val="Nadpis1"/>
        <w:rPr>
          <w:rFonts w:eastAsia="Times New Roman"/>
          <w:lang w:eastAsia="cs-CZ"/>
        </w:rPr>
      </w:pPr>
      <w:r w:rsidRPr="00C066D6">
        <w:rPr>
          <w:rFonts w:eastAsia="Times New Roman"/>
          <w:lang w:eastAsia="cs-CZ"/>
        </w:rPr>
        <w:t>8 Seznam publikací, které předcházely metodice</w:t>
      </w:r>
    </w:p>
    <w:p w:rsidR="00D16E65" w:rsidRPr="00C066D6" w:rsidRDefault="003B6A1C" w:rsidP="00473287">
      <w:pPr>
        <w:rPr>
          <w:rFonts w:cstheme="minorHAnsi"/>
          <w:lang w:val="en-US"/>
        </w:rPr>
      </w:pPr>
      <w:r w:rsidRPr="00C066D6">
        <w:rPr>
          <w:lang w:val="en-US"/>
        </w:rPr>
        <w:t>[12]</w:t>
      </w:r>
      <w:r w:rsidR="00473287" w:rsidRPr="00C066D6">
        <w:rPr>
          <w:rFonts w:cstheme="minorHAnsi"/>
          <w:lang w:val="en-US"/>
        </w:rPr>
        <w:t xml:space="preserve"> </w:t>
      </w:r>
      <w:r w:rsidR="00752C4A" w:rsidRPr="00C066D6">
        <w:rPr>
          <w:rFonts w:cstheme="minorHAnsi"/>
          <w:lang w:val="en-US"/>
        </w:rPr>
        <w:t>J. Sýkora, D. Jarušková, M. Šejnoha, J. Šejnoha,</w:t>
      </w:r>
      <w:r w:rsidR="00473287" w:rsidRPr="00C066D6">
        <w:rPr>
          <w:rFonts w:cstheme="minorHAnsi"/>
          <w:lang w:val="en-US"/>
        </w:rPr>
        <w:t xml:space="preserve"> Fire risk analysis focused on damage of the tunnel lining. Fire Safety Journal</w:t>
      </w:r>
      <w:r w:rsidR="00EF727E" w:rsidRPr="00C066D6">
        <w:rPr>
          <w:rFonts w:cstheme="minorHAnsi"/>
          <w:lang w:val="en-US"/>
        </w:rPr>
        <w:t>,</w:t>
      </w:r>
      <w:r w:rsidR="00473287" w:rsidRPr="00C066D6">
        <w:rPr>
          <w:rFonts w:cstheme="minorHAnsi"/>
          <w:lang w:val="en-US"/>
        </w:rPr>
        <w:t xml:space="preserve">vol. 95, </w:t>
      </w:r>
      <w:r w:rsidR="00EF727E" w:rsidRPr="00C066D6">
        <w:rPr>
          <w:rFonts w:cstheme="minorHAnsi"/>
        </w:rPr>
        <w:t>(</w:t>
      </w:r>
      <w:r w:rsidR="00EF727E" w:rsidRPr="00C066D6">
        <w:rPr>
          <w:rFonts w:cstheme="minorHAnsi"/>
          <w:lang w:val="en-US"/>
        </w:rPr>
        <w:t>2018)</w:t>
      </w:r>
      <w:r w:rsidR="00473287" w:rsidRPr="00C066D6">
        <w:rPr>
          <w:rFonts w:cstheme="minorHAnsi"/>
          <w:lang w:val="en-US"/>
        </w:rPr>
        <w:t xml:space="preserve"> 51–65.</w:t>
      </w:r>
    </w:p>
    <w:p w:rsidR="00D2205C" w:rsidRPr="00C066D6" w:rsidRDefault="003B6A1C" w:rsidP="00473287">
      <w:pPr>
        <w:rPr>
          <w:rFonts w:cstheme="minorHAnsi"/>
          <w:lang w:val="en-US"/>
        </w:rPr>
      </w:pPr>
      <w:r w:rsidRPr="00C066D6">
        <w:rPr>
          <w:rFonts w:cstheme="minorHAnsi"/>
          <w:lang w:val="en-US"/>
        </w:rPr>
        <w:t>[13]</w:t>
      </w:r>
      <w:r w:rsidR="00752C4A" w:rsidRPr="00C066D6">
        <w:rPr>
          <w:rFonts w:cstheme="minorHAnsi"/>
        </w:rPr>
        <w:t xml:space="preserve"> </w:t>
      </w:r>
      <w:r w:rsidR="00EF727E" w:rsidRPr="00C066D6">
        <w:rPr>
          <w:rFonts w:cstheme="minorHAnsi"/>
          <w:lang w:val="en-US"/>
        </w:rPr>
        <w:t>J. Šejnoha, J. Sýkora,</w:t>
      </w:r>
      <w:r w:rsidR="00752C4A" w:rsidRPr="00C066D6">
        <w:rPr>
          <w:rFonts w:cstheme="minorHAnsi"/>
        </w:rPr>
        <w:t xml:space="preserve"> </w:t>
      </w:r>
      <w:r w:rsidR="00EF727E" w:rsidRPr="00C066D6">
        <w:rPr>
          <w:rFonts w:cstheme="minorHAnsi"/>
        </w:rPr>
        <w:t>E. Novotná, M. Šejnoha,</w:t>
      </w:r>
      <w:r w:rsidR="00752C4A" w:rsidRPr="00C066D6">
        <w:rPr>
          <w:rFonts w:cstheme="minorHAnsi"/>
        </w:rPr>
        <w:t xml:space="preserve"> </w:t>
      </w:r>
      <w:r w:rsidR="00473287" w:rsidRPr="00C066D6">
        <w:rPr>
          <w:rFonts w:cstheme="minorHAnsi"/>
          <w:lang w:val="en-US"/>
        </w:rPr>
        <w:t xml:space="preserve">Probabilistic Approach to Damage of Tunnel Lining Due to Fire. In </w:t>
      </w:r>
      <w:r w:rsidR="00473287" w:rsidRPr="00C066D6">
        <w:rPr>
          <w:rFonts w:cstheme="minorHAnsi"/>
          <w:i/>
          <w:iCs/>
          <w:lang w:val="en-US"/>
        </w:rPr>
        <w:t xml:space="preserve">Building up Efficient and Sustainable Transport Infrastructure: </w:t>
      </w:r>
      <w:r w:rsidR="00473287" w:rsidRPr="00C066D6">
        <w:rPr>
          <w:rFonts w:cstheme="minorHAnsi"/>
          <w:i/>
          <w:iCs/>
        </w:rPr>
        <w:t>BESTInfra2017</w:t>
      </w:r>
      <w:r w:rsidR="00EF727E" w:rsidRPr="00C066D6">
        <w:rPr>
          <w:rFonts w:cstheme="minorHAnsi"/>
        </w:rPr>
        <w:t>.</w:t>
      </w:r>
      <w:r w:rsidR="00473287" w:rsidRPr="00C066D6">
        <w:rPr>
          <w:rFonts w:cstheme="minorHAnsi"/>
        </w:rPr>
        <w:t xml:space="preserve"> ISSN 1757-899X.</w:t>
      </w:r>
      <w:r w:rsidR="00EF727E" w:rsidRPr="00C066D6">
        <w:rPr>
          <w:rFonts w:cstheme="minorHAnsi"/>
        </w:rPr>
        <w:t>(2017)</w:t>
      </w:r>
    </w:p>
    <w:p w:rsidR="00045B46" w:rsidRPr="00C066D6" w:rsidRDefault="003B6A1C" w:rsidP="00473287">
      <w:pPr>
        <w:rPr>
          <w:rFonts w:cstheme="minorHAnsi"/>
        </w:rPr>
      </w:pPr>
      <w:r w:rsidRPr="00C066D6">
        <w:rPr>
          <w:rFonts w:cstheme="minorHAnsi"/>
          <w:lang w:val="en-US"/>
        </w:rPr>
        <w:t>[14]</w:t>
      </w:r>
      <w:r w:rsidR="00752C4A" w:rsidRPr="00C066D6">
        <w:rPr>
          <w:rFonts w:cstheme="minorHAnsi"/>
        </w:rPr>
        <w:t xml:space="preserve"> </w:t>
      </w:r>
      <w:r w:rsidR="00EF727E" w:rsidRPr="00C066D6">
        <w:rPr>
          <w:rFonts w:cstheme="minorHAnsi"/>
        </w:rPr>
        <w:t xml:space="preserve">J. </w:t>
      </w:r>
      <w:r w:rsidR="00752C4A" w:rsidRPr="00C066D6">
        <w:rPr>
          <w:rFonts w:cstheme="minorHAnsi"/>
        </w:rPr>
        <w:t>Šejnoha,</w:t>
      </w:r>
      <w:r w:rsidR="00EF727E" w:rsidRPr="00C066D6">
        <w:rPr>
          <w:rFonts w:cstheme="minorHAnsi"/>
        </w:rPr>
        <w:t xml:space="preserve"> J.</w:t>
      </w:r>
      <w:r w:rsidR="00752C4A" w:rsidRPr="00C066D6">
        <w:rPr>
          <w:rFonts w:cstheme="minorHAnsi"/>
        </w:rPr>
        <w:t xml:space="preserve"> Sýkora,</w:t>
      </w:r>
      <w:r w:rsidR="00EF727E" w:rsidRPr="00C066D6">
        <w:rPr>
          <w:rFonts w:cstheme="minorHAnsi"/>
        </w:rPr>
        <w:t xml:space="preserve"> D.</w:t>
      </w:r>
      <w:r w:rsidR="00752C4A" w:rsidRPr="00C066D6">
        <w:rPr>
          <w:rFonts w:cstheme="minorHAnsi"/>
        </w:rPr>
        <w:t xml:space="preserve"> Jarušková,</w:t>
      </w:r>
      <w:r w:rsidR="00EF727E" w:rsidRPr="00C066D6">
        <w:rPr>
          <w:rFonts w:cstheme="minorHAnsi"/>
        </w:rPr>
        <w:t xml:space="preserve"> E. Novotná, M. Šejnoha,</w:t>
      </w:r>
      <w:r w:rsidR="00473287" w:rsidRPr="00C066D6">
        <w:rPr>
          <w:rFonts w:cstheme="minorHAnsi"/>
        </w:rPr>
        <w:t xml:space="preserve"> Analýza rizik</w:t>
      </w:r>
      <w:r w:rsidR="00605AFA" w:rsidRPr="00C066D6">
        <w:rPr>
          <w:rFonts w:cstheme="minorHAnsi"/>
        </w:rPr>
        <w:t>a požáru v silničních tunelech.</w:t>
      </w:r>
      <w:r w:rsidR="00473287" w:rsidRPr="00C066D6">
        <w:rPr>
          <w:rFonts w:cstheme="minorHAnsi"/>
        </w:rPr>
        <w:t xml:space="preserve"> BETON-technologie, konstrukce, sanace</w:t>
      </w:r>
      <w:r w:rsidR="00EF727E" w:rsidRPr="00C066D6">
        <w:rPr>
          <w:rFonts w:cstheme="minorHAnsi"/>
        </w:rPr>
        <w:t>, vol. 6, (2015) 68–72.</w:t>
      </w:r>
    </w:p>
    <w:p w:rsidR="00871B72" w:rsidRPr="00C066D6" w:rsidRDefault="003B6A1C" w:rsidP="00473287">
      <w:pPr>
        <w:rPr>
          <w:rFonts w:cstheme="minorHAnsi"/>
        </w:rPr>
      </w:pPr>
      <w:r w:rsidRPr="00C066D6">
        <w:rPr>
          <w:rFonts w:cstheme="minorHAnsi"/>
        </w:rPr>
        <w:t>[15]</w:t>
      </w:r>
      <w:r w:rsidR="00473287" w:rsidRPr="00C066D6">
        <w:rPr>
          <w:rFonts w:cstheme="minorHAnsi"/>
        </w:rPr>
        <w:t xml:space="preserve"> </w:t>
      </w:r>
      <w:r w:rsidR="00EF727E" w:rsidRPr="00C066D6">
        <w:rPr>
          <w:rFonts w:cstheme="minorHAnsi"/>
        </w:rPr>
        <w:t>O. Špačková, E Novotná, M. Šejnoha, J.</w:t>
      </w:r>
      <w:r w:rsidR="00473287" w:rsidRPr="00C066D6">
        <w:rPr>
          <w:rFonts w:cstheme="minorHAnsi"/>
        </w:rPr>
        <w:t xml:space="preserve"> Šejnoha</w:t>
      </w:r>
      <w:r w:rsidR="00EF727E" w:rsidRPr="00C066D6">
        <w:rPr>
          <w:rFonts w:cstheme="minorHAnsi"/>
        </w:rPr>
        <w:t>,</w:t>
      </w:r>
      <w:r w:rsidR="00473287" w:rsidRPr="00C066D6">
        <w:rPr>
          <w:rFonts w:cstheme="minorHAnsi"/>
        </w:rPr>
        <w:t xml:space="preserve"> Probabilistic models for tunnel construction risk assessment. Advances in Engineering Software</w:t>
      </w:r>
      <w:r w:rsidR="00EF727E" w:rsidRPr="00C066D6">
        <w:rPr>
          <w:rFonts w:cstheme="minorHAnsi"/>
        </w:rPr>
        <w:t>,</w:t>
      </w:r>
      <w:r w:rsidR="00473287" w:rsidRPr="00C066D6">
        <w:rPr>
          <w:rFonts w:cstheme="minorHAnsi"/>
        </w:rPr>
        <w:t xml:space="preserve"> vol. 62-63,</w:t>
      </w:r>
      <w:r w:rsidR="00EF727E" w:rsidRPr="00C066D6">
        <w:rPr>
          <w:rFonts w:cstheme="minorHAnsi"/>
        </w:rPr>
        <w:t xml:space="preserve"> (2013) </w:t>
      </w:r>
      <w:r w:rsidR="00473287" w:rsidRPr="00C066D6">
        <w:rPr>
          <w:rFonts w:cstheme="minorHAnsi"/>
        </w:rPr>
        <w:t>72-84. ISSN 0965-9978.</w:t>
      </w:r>
    </w:p>
    <w:p w:rsidR="00134895" w:rsidRPr="00C066D6" w:rsidRDefault="00134895" w:rsidP="00EB1FA8"/>
    <w:p w:rsidR="005F41A1" w:rsidRPr="00C066D6" w:rsidRDefault="005F41A1" w:rsidP="005F41A1">
      <w:pPr>
        <w:pStyle w:val="Nadpis1"/>
      </w:pPr>
      <w:r w:rsidRPr="00C066D6">
        <w:t>Dedikace</w:t>
      </w:r>
    </w:p>
    <w:p w:rsidR="005F41A1" w:rsidRDefault="005F41A1" w:rsidP="005F41A1">
      <w:r w:rsidRPr="00C066D6">
        <w:t>Předkládaná metodika byla vytvořena s finanční podporou programu Centra kompetence TA ČR, projekt č.TE01020168.</w:t>
      </w:r>
    </w:p>
    <w:p w:rsidR="00DC47AC" w:rsidRDefault="00DC47AC" w:rsidP="005F41A1"/>
    <w:p w:rsidR="00DC47AC" w:rsidRDefault="00DC47AC" w:rsidP="00DC47AC">
      <w:pPr>
        <w:pStyle w:val="Nadpis1"/>
      </w:pPr>
      <w:r>
        <w:t xml:space="preserve">Jména oponentů </w:t>
      </w:r>
    </w:p>
    <w:p w:rsidR="00B15746" w:rsidRPr="003F6CB2" w:rsidRDefault="00B15746" w:rsidP="00B15746">
      <w:pPr>
        <w:jc w:val="left"/>
      </w:pPr>
      <w:r>
        <w:t xml:space="preserve">prof. Ing. Břetislav Teplý, CSc., FEng. – VUT v Brně, Veveří 95, 602 00 Brno (e-mail: </w:t>
      </w:r>
      <w:hyperlink r:id="rId31" w:history="1">
        <w:r w:rsidRPr="003F6CB2">
          <w:rPr>
            <w:rStyle w:val="Hypertextovodkaz"/>
          </w:rPr>
          <w:t>brteply@gmail.com</w:t>
        </w:r>
      </w:hyperlink>
      <w:r>
        <w:t>),</w:t>
      </w:r>
    </w:p>
    <w:p w:rsidR="00B15746" w:rsidRPr="00B15746" w:rsidRDefault="00B15746" w:rsidP="00B15746">
      <w:pPr>
        <w:jc w:val="left"/>
      </w:pPr>
    </w:p>
    <w:p w:rsidR="00DC47AC" w:rsidRDefault="00B15746" w:rsidP="00B15746">
      <w:pPr>
        <w:jc w:val="left"/>
      </w:pPr>
      <w:r>
        <w:t>prof</w:t>
      </w:r>
      <w:r w:rsidR="00DC47AC">
        <w:t xml:space="preserve">. Ing. Martin Krejsa, Ph.D. – VŠB – Technická univerzita Ostrava, Ludvíka Podéště 1875/17, 708 33 Ostrava – Poruba (e-mail: </w:t>
      </w:r>
      <w:hyperlink r:id="rId32" w:history="1">
        <w:r w:rsidR="00DC47AC" w:rsidRPr="00C234DA">
          <w:rPr>
            <w:rStyle w:val="Hypertextovodkaz"/>
          </w:rPr>
          <w:t>martin.krejsa@vsb.cz</w:t>
        </w:r>
      </w:hyperlink>
      <w:r w:rsidR="00DC47AC">
        <w:t>)</w:t>
      </w:r>
    </w:p>
    <w:p w:rsidR="00DC47AC" w:rsidRDefault="00DC47AC" w:rsidP="00B15746">
      <w:pPr>
        <w:jc w:val="left"/>
      </w:pPr>
    </w:p>
    <w:p w:rsidR="00DC47AC" w:rsidRDefault="00DC47AC" w:rsidP="00B15746">
      <w:pPr>
        <w:jc w:val="left"/>
      </w:pPr>
      <w:r>
        <w:t>Mgr. František Rainer</w:t>
      </w:r>
      <w:r w:rsidR="00B15746">
        <w:t xml:space="preserve"> –</w:t>
      </w:r>
      <w:r>
        <w:t xml:space="preserve"> Ředitelství</w:t>
      </w:r>
      <w:r w:rsidR="00B15746">
        <w:t xml:space="preserve"> </w:t>
      </w:r>
      <w:r>
        <w:t xml:space="preserve"> silnic a dálnic ČR, Čerčanská 12, 140 00 Praha (e-mail: </w:t>
      </w:r>
      <w:hyperlink r:id="rId33" w:history="1">
        <w:r w:rsidRPr="00C234DA">
          <w:rPr>
            <w:rStyle w:val="Hypertextovodkaz"/>
          </w:rPr>
          <w:t>frantisek.rainer</w:t>
        </w:r>
        <w:r w:rsidRPr="00C234DA">
          <w:rPr>
            <w:rStyle w:val="Hypertextovodkaz"/>
            <w:lang w:val="en-US"/>
          </w:rPr>
          <w:t>@</w:t>
        </w:r>
        <w:r w:rsidRPr="00C234DA">
          <w:rPr>
            <w:rStyle w:val="Hypertextovodkaz"/>
          </w:rPr>
          <w:t>rsd.cz</w:t>
        </w:r>
      </w:hyperlink>
      <w:r>
        <w:t>)</w:t>
      </w:r>
    </w:p>
    <w:p w:rsidR="00DC47AC" w:rsidRDefault="00DC47AC" w:rsidP="00DC47AC"/>
    <w:p w:rsidR="00DC47AC" w:rsidRPr="00DC47AC" w:rsidRDefault="00DC47AC" w:rsidP="00DC47AC"/>
    <w:p w:rsidR="00DC47AC" w:rsidRDefault="00DC47AC" w:rsidP="005F41A1"/>
    <w:p w:rsidR="005F41A1" w:rsidRPr="005F41A1" w:rsidRDefault="005F41A1" w:rsidP="005F41A1"/>
    <w:sectPr w:rsidR="005F41A1" w:rsidRPr="005F41A1" w:rsidSect="003816D0">
      <w:footerReference w:type="default" r:id="rId3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5ED" w:rsidRDefault="001E75ED" w:rsidP="00EB1FA8">
      <w:r>
        <w:separator/>
      </w:r>
    </w:p>
  </w:endnote>
  <w:endnote w:type="continuationSeparator" w:id="0">
    <w:p w:rsidR="001E75ED" w:rsidRDefault="001E75ED" w:rsidP="00EB1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041750"/>
      <w:docPartObj>
        <w:docPartGallery w:val="Page Numbers (Bottom of Page)"/>
        <w:docPartUnique/>
      </w:docPartObj>
    </w:sdtPr>
    <w:sdtEndPr/>
    <w:sdtContent>
      <w:p w:rsidR="00DC47AC" w:rsidRDefault="00DC47AC">
        <w:pPr>
          <w:pStyle w:val="Zpat"/>
          <w:jc w:val="center"/>
        </w:pPr>
        <w:r>
          <w:fldChar w:fldCharType="begin"/>
        </w:r>
        <w:r>
          <w:instrText>PAGE   \* MERGEFORMAT</w:instrText>
        </w:r>
        <w:r>
          <w:fldChar w:fldCharType="separate"/>
        </w:r>
        <w:r w:rsidR="008B3A2E">
          <w:rPr>
            <w:noProof/>
          </w:rPr>
          <w:t>1</w:t>
        </w:r>
        <w:r>
          <w:fldChar w:fldCharType="end"/>
        </w:r>
      </w:p>
    </w:sdtContent>
  </w:sdt>
  <w:p w:rsidR="00DC47AC" w:rsidRDefault="00DC47A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5ED" w:rsidRDefault="001E75ED" w:rsidP="00EB1FA8">
      <w:r>
        <w:separator/>
      </w:r>
    </w:p>
  </w:footnote>
  <w:footnote w:type="continuationSeparator" w:id="0">
    <w:p w:rsidR="001E75ED" w:rsidRDefault="001E75ED" w:rsidP="00EB1FA8">
      <w:r>
        <w:continuationSeparator/>
      </w:r>
    </w:p>
  </w:footnote>
  <w:footnote w:id="1">
    <w:p w:rsidR="00DC47AC" w:rsidRDefault="00DC47AC" w:rsidP="00EB1FA8">
      <w:pPr>
        <w:pStyle w:val="Textpoznpodarou"/>
      </w:pPr>
      <w:r>
        <w:rPr>
          <w:rStyle w:val="Znakapoznpodarou"/>
        </w:rPr>
        <w:footnoteRef/>
      </w:r>
      <w:r>
        <w:t xml:space="preserve"> Hazop je akronym pro „Hazard And Operability“ analysis</w:t>
      </w:r>
    </w:p>
  </w:footnote>
  <w:footnote w:id="2">
    <w:p w:rsidR="00DC47AC" w:rsidRDefault="00DC47AC" w:rsidP="00EB1FA8">
      <w:pPr>
        <w:pStyle w:val="Textpoznpodarou"/>
      </w:pPr>
      <w:r>
        <w:rPr>
          <w:rStyle w:val="Znakapoznpodarou"/>
        </w:rPr>
        <w:footnoteRef/>
      </w:r>
      <w:r>
        <w:t xml:space="preserve"> FMA, resp. FMEA jsou akronymy pro „Failure Mode Analysis“, resp. „Failure Mode and Effect Analysis“ </w:t>
      </w:r>
    </w:p>
  </w:footnote>
  <w:footnote w:id="3">
    <w:p w:rsidR="00DC47AC" w:rsidRDefault="00DC47AC" w:rsidP="00EB1FA8">
      <w:pPr>
        <w:pStyle w:val="Textpoznpodarou"/>
      </w:pPr>
      <w:r>
        <w:rPr>
          <w:rStyle w:val="Znakapoznpodarou"/>
        </w:rPr>
        <w:footnoteRef/>
      </w:r>
      <w:r>
        <w:t xml:space="preserve"> LOPA je akronym pro „Layers Of Protection Analysis“</w:t>
      </w:r>
    </w:p>
  </w:footnote>
  <w:footnote w:id="4">
    <w:p w:rsidR="00DC47AC" w:rsidRDefault="00DC47AC" w:rsidP="00EB1FA8">
      <w:pPr>
        <w:pStyle w:val="Textpoznpodarou"/>
      </w:pPr>
      <w:r>
        <w:rPr>
          <w:rStyle w:val="Znakapoznpodarou"/>
        </w:rPr>
        <w:footnoteRef/>
      </w:r>
      <w:r>
        <w:t xml:space="preserve"> Na rozdíl od sociálního rizika je individuální riziko vyjádřeno pravděpodobností, že osoba v určité vzdálenosti od místa události zemře. </w:t>
      </w:r>
    </w:p>
  </w:footnote>
  <w:footnote w:id="5">
    <w:p w:rsidR="00DC47AC" w:rsidRDefault="00DC47AC" w:rsidP="00EB1FA8">
      <w:pPr>
        <w:pStyle w:val="Textpoznpodarou"/>
      </w:pPr>
      <w:r>
        <w:rPr>
          <w:rStyle w:val="Znakapoznpodarou"/>
        </w:rPr>
        <w:footnoteRef/>
      </w:r>
      <w:r>
        <w:t xml:space="preserve"> Contingency = událost, ke které může, ale nemusí dojít (náhodná událost)</w:t>
      </w:r>
    </w:p>
  </w:footnote>
  <w:footnote w:id="6">
    <w:p w:rsidR="00DC47AC" w:rsidRPr="00830B01" w:rsidRDefault="00DC47AC" w:rsidP="00EB1FA8">
      <w:pPr>
        <w:pStyle w:val="Textpoznpodarou"/>
      </w:pPr>
      <w:r w:rsidRPr="00830B01">
        <w:rPr>
          <w:rStyle w:val="Znakapoznpodarou"/>
          <w:rFonts w:ascii="Calibri" w:hAnsi="Calibri" w:cs="Calibri"/>
        </w:rPr>
        <w:footnoteRef/>
      </w:r>
      <w:r w:rsidRPr="00830B01">
        <w:t xml:space="preserve"> BLEVE = Boiling Liquid Expanding Vapor Explosion, neboli exploze stlačené kapaliny nad bodem varu při úniku z porušené přepravní nádoby.</w:t>
      </w:r>
    </w:p>
  </w:footnote>
  <w:footnote w:id="7">
    <w:p w:rsidR="00DC47AC" w:rsidRPr="009341B8" w:rsidRDefault="00DC47AC" w:rsidP="00EB1FA8">
      <w:pPr>
        <w:pStyle w:val="Textpoznpodarou"/>
        <w:rPr>
          <w:i/>
        </w:rPr>
      </w:pPr>
      <w:r>
        <w:rPr>
          <w:rStyle w:val="Znakapoznpodarou"/>
        </w:rPr>
        <w:footnoteRef/>
      </w:r>
      <w:r>
        <w:t xml:space="preserve"> Lze ukázat, že střední hodnota obětí se rovná obsahu plochy pod křivkou </w:t>
      </w:r>
      <w:r>
        <w:rPr>
          <w:i/>
        </w:rPr>
        <w:t>F-N.</w:t>
      </w:r>
    </w:p>
  </w:footnote>
  <w:footnote w:id="8">
    <w:p w:rsidR="00DC47AC" w:rsidRDefault="00DC47AC" w:rsidP="00EB1FA8">
      <w:pPr>
        <w:pStyle w:val="Textpoznpodarou"/>
      </w:pPr>
      <w:r>
        <w:rPr>
          <w:rStyle w:val="Znakapoznpodarou"/>
        </w:rPr>
        <w:footnoteRef/>
      </w:r>
      <w:r>
        <w:t xml:space="preserve">Mezi proměnnou </w:t>
      </w:r>
      <w:r w:rsidRPr="00294163">
        <w:rPr>
          <w:i/>
        </w:rPr>
        <w:t>probi</w:t>
      </w:r>
      <w:r>
        <w:t>t a logaritmem dávky platí přímá úměrnost.</w:t>
      </w:r>
    </w:p>
  </w:footnote>
  <w:footnote w:id="9">
    <w:p w:rsidR="00DC47AC" w:rsidRDefault="00DC47AC" w:rsidP="00EB1FA8">
      <w:pPr>
        <w:pStyle w:val="Textpoznpodarou"/>
      </w:pPr>
      <w:r>
        <w:rPr>
          <w:rStyle w:val="Znakapoznpodarou"/>
        </w:rPr>
        <w:footnoteRef/>
      </w:r>
      <w:r>
        <w:t xml:space="preserve"> </w:t>
      </w:r>
      <w:r w:rsidRPr="00EC57BC">
        <w:t xml:space="preserve">Po samovznícení v 80% případů </w:t>
      </w:r>
      <w:r>
        <w:t xml:space="preserve">nastává postupný vývoj požáru, v </w:t>
      </w:r>
      <w:r w:rsidRPr="00EC57BC">
        <w:t>20% případ</w:t>
      </w:r>
      <w:r>
        <w:t>ů</w:t>
      </w:r>
      <w:r w:rsidRPr="00EC57BC">
        <w:t xml:space="preserve"> dojde k explozi.</w:t>
      </w:r>
    </w:p>
  </w:footnote>
  <w:footnote w:id="10">
    <w:p w:rsidR="00DC47AC" w:rsidRPr="00077BCE" w:rsidRDefault="00DC47AC" w:rsidP="00EB1FA8">
      <w:pPr>
        <w:pStyle w:val="Textpoznpodarou"/>
      </w:pPr>
      <w:r>
        <w:rPr>
          <w:rStyle w:val="Znakapoznpodarou"/>
        </w:rPr>
        <w:footnoteRef/>
      </w:r>
      <w:r>
        <w:t xml:space="preserve"> K predikci pravděpodobností (i) se vychází z představy o dopravním proudu jakožto nehomogenní (nestacionárním) Markovově řetězci. Připouští se přejíždění vozidel mezi pruhy, tj. změna struktury proudu. Podrobnosti jsou uvedeny v [12]</w:t>
      </w:r>
      <w:r w:rsidRPr="00077BCE">
        <w:t>. Numerické testy ukázaly</w:t>
      </w:r>
      <w:r>
        <w:t>, že ve vzdálenosti 300 až 400m od výchozí pozice (např. semaforu) lze dopravní proud považovat za homogenní. Potom lze pravděpodobnost výskytu příslušného sdruženého stavu ((V, V), (V, PC), atd.) vypočítat jako součin pravděpodobností jednotlivých stavů (V, PC, TB) v sousedních pruzích.</w:t>
      </w:r>
    </w:p>
  </w:footnote>
  <w:footnote w:id="11">
    <w:p w:rsidR="00DC47AC" w:rsidRPr="007F09D5" w:rsidRDefault="00DC47AC" w:rsidP="00EB1FA8">
      <w:r>
        <w:rPr>
          <w:rStyle w:val="Znakapoznpodarou"/>
        </w:rPr>
        <w:footnoteRef/>
      </w:r>
      <w:r>
        <w:t xml:space="preserve"> </w:t>
      </w:r>
      <w:r w:rsidRPr="007F09D5">
        <w:t xml:space="preserve">Materiálové parametry jsou vyjádřeny symboly: </w:t>
      </w:r>
      <m:oMath>
        <m:r>
          <w:rPr>
            <w:rFonts w:ascii="Cambria Math" w:hAnsi="Cambria Math"/>
          </w:rPr>
          <m:t>w</m:t>
        </m:r>
      </m:oMath>
      <w:r w:rsidRPr="007F09D5">
        <w:t xml:space="preserve"> [kgm</w:t>
      </w:r>
      <w:r w:rsidRPr="007F09D5">
        <w:rPr>
          <w:vertAlign w:val="superscript"/>
        </w:rPr>
        <w:t>-3</w:t>
      </w:r>
      <w:r w:rsidRPr="007F09D5">
        <w:t xml:space="preserve">] – obsah vody, </w:t>
      </w:r>
      <m:oMath>
        <m:r>
          <w:rPr>
            <w:rFonts w:ascii="Cambria Math" w:hAnsi="Cambria Math"/>
          </w:rPr>
          <m:t>κ</m:t>
        </m:r>
      </m:oMath>
      <w:r w:rsidRPr="007F09D5">
        <w:t xml:space="preserve"> [ms</w:t>
      </w:r>
      <w:r w:rsidRPr="007F09D5">
        <w:rPr>
          <w:vertAlign w:val="superscript"/>
        </w:rPr>
        <w:t>-1</w:t>
      </w:r>
      <w:r w:rsidRPr="007F09D5">
        <w:t xml:space="preserve">] – permeabilita vodní páry, </w:t>
      </w:r>
      <m:oMath>
        <m:r>
          <w:rPr>
            <w:rFonts w:ascii="Cambria Math" w:hAnsi="Cambria Math"/>
          </w:rPr>
          <m:t>g</m:t>
        </m:r>
      </m:oMath>
      <w:r w:rsidRPr="007F09D5">
        <w:t xml:space="preserve"> [ms</w:t>
      </w:r>
      <w:r w:rsidRPr="007F09D5">
        <w:rPr>
          <w:vertAlign w:val="superscript"/>
        </w:rPr>
        <w:t>-2</w:t>
      </w:r>
      <w:r w:rsidRPr="007F09D5">
        <w:t xml:space="preserve">] – gravitační zrychlení, </w:t>
      </w:r>
      <m:oMath>
        <m:sSub>
          <m:sSubPr>
            <m:ctrlPr>
              <w:rPr>
                <w:rFonts w:ascii="Cambria Math" w:hAnsi="Cambria Math"/>
                <w:i/>
                <w:lang w:val="en-US"/>
              </w:rPr>
            </m:ctrlPr>
          </m:sSubPr>
          <m:e>
            <m:r>
              <w:rPr>
                <w:rFonts w:ascii="Cambria Math" w:hAnsi="Cambria Math"/>
              </w:rPr>
              <m:t>w</m:t>
            </m:r>
          </m:e>
          <m:sub>
            <m:r>
              <m:rPr>
                <m:sty m:val="p"/>
              </m:rPr>
              <w:rPr>
                <w:rFonts w:ascii="Cambria Math" w:hAnsi="Cambria Math"/>
              </w:rPr>
              <m:t>d</m:t>
            </m:r>
          </m:sub>
        </m:sSub>
      </m:oMath>
      <w:r w:rsidRPr="007F09D5">
        <w:t xml:space="preserve"> [kgm</w:t>
      </w:r>
      <w:r w:rsidRPr="007F09D5">
        <w:rPr>
          <w:vertAlign w:val="superscript"/>
        </w:rPr>
        <w:t>-3</w:t>
      </w:r>
      <w:r w:rsidRPr="007F09D5">
        <w:t xml:space="preserve">] – obsah dehydratované vody, </w:t>
      </w:r>
      <m:oMath>
        <m:r>
          <w:rPr>
            <w:rFonts w:ascii="Cambria Math" w:hAnsi="Cambria Math"/>
          </w:rPr>
          <m:t>ρc</m:t>
        </m:r>
      </m:oMath>
      <w:r w:rsidRPr="007F09D5">
        <w:t xml:space="preserve"> [Jm</w:t>
      </w:r>
      <w:r w:rsidRPr="007F09D5">
        <w:rPr>
          <w:vertAlign w:val="superscript"/>
        </w:rPr>
        <w:t>-3</w:t>
      </w:r>
      <w:r w:rsidRPr="007F09D5">
        <w:t>K</w:t>
      </w:r>
      <w:r w:rsidRPr="007F09D5">
        <w:rPr>
          <w:vertAlign w:val="superscript"/>
        </w:rPr>
        <w:t>-1</w:t>
      </w:r>
      <w:r w:rsidRPr="007F09D5">
        <w:t xml:space="preserve">] – tepelná kapacita, </w:t>
      </w:r>
      <m:oMath>
        <m:sSub>
          <m:sSubPr>
            <m:ctrlPr>
              <w:rPr>
                <w:rFonts w:ascii="Cambria Math" w:hAnsi="Cambria Math"/>
                <w:i/>
                <w:lang w:val="en-US"/>
              </w:rPr>
            </m:ctrlPr>
          </m:sSubPr>
          <m:e>
            <m:r>
              <w:rPr>
                <w:rFonts w:ascii="Cambria Math" w:hAnsi="Cambria Math"/>
              </w:rPr>
              <m:t>h</m:t>
            </m:r>
            <m:ctrlPr>
              <w:rPr>
                <w:rFonts w:ascii="Cambria Math" w:hAnsi="Cambria Math"/>
                <w:i/>
              </w:rPr>
            </m:ctrlPr>
          </m:e>
          <m:sub>
            <m:r>
              <m:rPr>
                <m:sty m:val="p"/>
              </m:rPr>
              <w:rPr>
                <w:rFonts w:ascii="Cambria Math" w:hAnsi="Cambria Math"/>
              </w:rPr>
              <m:t>v</m:t>
            </m:r>
          </m:sub>
        </m:sSub>
      </m:oMath>
      <w:r w:rsidRPr="007F09D5">
        <w:t xml:space="preserve"> [Jkg</w:t>
      </w:r>
      <w:r w:rsidRPr="007F09D5">
        <w:rPr>
          <w:vertAlign w:val="superscript"/>
        </w:rPr>
        <w:t>-1</w:t>
      </w:r>
      <w:r w:rsidRPr="007F09D5">
        <w:t xml:space="preserve">] – entalpie odpařování, </w:t>
      </w:r>
      <m:oMath>
        <m:sSub>
          <m:sSubPr>
            <m:ctrlPr>
              <w:rPr>
                <w:rFonts w:ascii="Cambria Math" w:hAnsi="Cambria Math"/>
                <w:i/>
                <w:lang w:val="en-US"/>
              </w:rPr>
            </m:ctrlPr>
          </m:sSubPr>
          <m:e>
            <m:r>
              <w:rPr>
                <w:rFonts w:ascii="Cambria Math" w:hAnsi="Cambria Math"/>
              </w:rPr>
              <m:t>h</m:t>
            </m:r>
            <m:ctrlPr>
              <w:rPr>
                <w:rFonts w:ascii="Cambria Math" w:hAnsi="Cambria Math"/>
                <w:i/>
              </w:rPr>
            </m:ctrlPr>
          </m:e>
          <m:sub>
            <m:r>
              <m:rPr>
                <m:sty m:val="p"/>
              </m:rPr>
              <w:rPr>
                <w:rFonts w:ascii="Cambria Math" w:hAnsi="Cambria Math"/>
              </w:rPr>
              <m:t>d</m:t>
            </m:r>
          </m:sub>
        </m:sSub>
      </m:oMath>
      <w:r w:rsidRPr="007F09D5">
        <w:t xml:space="preserve"> [Jkg</w:t>
      </w:r>
      <w:r w:rsidRPr="007F09D5">
        <w:rPr>
          <w:vertAlign w:val="superscript"/>
        </w:rPr>
        <w:t>-1</w:t>
      </w:r>
      <w:r w:rsidRPr="007F09D5">
        <w:t xml:space="preserve">] – entalpie dehydratace, </w:t>
      </w:r>
      <m:oMath>
        <m:sSub>
          <m:sSubPr>
            <m:ctrlPr>
              <w:rPr>
                <w:rFonts w:ascii="Cambria Math" w:hAnsi="Cambria Math"/>
                <w:i/>
                <w:lang w:val="en-US"/>
              </w:rPr>
            </m:ctrlPr>
          </m:sSubPr>
          <m:e>
            <m:r>
              <w:rPr>
                <w:rFonts w:ascii="Cambria Math" w:hAnsi="Cambria Math"/>
              </w:rPr>
              <m:t>c</m:t>
            </m:r>
            <m:ctrlPr>
              <w:rPr>
                <w:rFonts w:ascii="Cambria Math" w:hAnsi="Cambria Math"/>
                <w:i/>
              </w:rPr>
            </m:ctrlPr>
          </m:e>
          <m:sub>
            <m:r>
              <m:rPr>
                <m:sty m:val="p"/>
              </m:rPr>
              <w:rPr>
                <w:rFonts w:ascii="Cambria Math" w:hAnsi="Cambria Math"/>
              </w:rPr>
              <m:t>w</m:t>
            </m:r>
          </m:sub>
        </m:sSub>
      </m:oMath>
      <w:r w:rsidRPr="007F09D5">
        <w:t xml:space="preserve"> [Jkg</w:t>
      </w:r>
      <w:r w:rsidRPr="007F09D5">
        <w:rPr>
          <w:vertAlign w:val="superscript"/>
        </w:rPr>
        <w:t>-1</w:t>
      </w:r>
      <w:r w:rsidRPr="007F09D5">
        <w:t>K</w:t>
      </w:r>
      <w:r w:rsidRPr="007F09D5">
        <w:rPr>
          <w:vertAlign w:val="superscript"/>
        </w:rPr>
        <w:t>-1</w:t>
      </w:r>
      <w:r w:rsidRPr="007F09D5">
        <w:t xml:space="preserve">] – specifická tepelná kapacita vody a </w:t>
      </w:r>
      <m:oMath>
        <m:r>
          <w:rPr>
            <w:rFonts w:ascii="Cambria Math" w:hAnsi="Cambria Math"/>
          </w:rPr>
          <m:t>λ</m:t>
        </m:r>
      </m:oMath>
      <w:r w:rsidRPr="007F09D5">
        <w:t xml:space="preserve"> [Jm</w:t>
      </w:r>
      <w:r w:rsidRPr="007F09D5">
        <w:rPr>
          <w:vertAlign w:val="superscript"/>
        </w:rPr>
        <w:t>-1</w:t>
      </w:r>
      <w:r w:rsidRPr="007F09D5">
        <w:t>K</w:t>
      </w:r>
      <w:r w:rsidRPr="007F09D5">
        <w:rPr>
          <w:vertAlign w:val="superscript"/>
        </w:rPr>
        <w:t>-1</w:t>
      </w:r>
      <w:r>
        <w:t>] je teplotní vodivost.</w:t>
      </w:r>
      <w:r w:rsidRPr="007F09D5">
        <w:t xml:space="preserve"> </w:t>
      </w:r>
    </w:p>
    <w:p w:rsidR="00DC47AC" w:rsidRDefault="00DC47AC" w:rsidP="00EB1FA8">
      <w:pPr>
        <w:pStyle w:val="Textpoznpodarou"/>
      </w:pPr>
    </w:p>
  </w:footnote>
  <w:footnote w:id="12">
    <w:p w:rsidR="00DC47AC" w:rsidRDefault="00DC47AC" w:rsidP="003A547D">
      <w:pPr>
        <w:pStyle w:val="Textpoznpodarou"/>
      </w:pPr>
      <w:r>
        <w:rPr>
          <w:rStyle w:val="Znakapoznpodarou"/>
        </w:rPr>
        <w:footnoteRef/>
      </w:r>
      <w:r>
        <w:t xml:space="preserve"> Tento předklad je teoreticky splněn ve vzdálenosti 300 – 400m od semaforu (tunelového portálu), prakticky lze proud považovat za homogenní (stacionární) ve vzdálenosti 200m od místa zastavení/rozjezdu.</w:t>
      </w:r>
    </w:p>
  </w:footnote>
  <w:footnote w:id="13">
    <w:p w:rsidR="00DC47AC" w:rsidRDefault="00DC47AC" w:rsidP="003A547D">
      <w:pPr>
        <w:pStyle w:val="Textpoznpodarou"/>
      </w:pPr>
      <w:r>
        <w:rPr>
          <w:rStyle w:val="Znakapoznpodarou"/>
        </w:rPr>
        <w:footnoteRef/>
      </w:r>
      <w:r w:rsidRPr="0000342F">
        <w:t>Paralelní skladbu TB v pruhu 1 a sérii dvou TB v pruhu 2 hodnotíme jako stav 2TB s tím, že prvnímu vozidlu ze série TB se podařilo požární nehodě uniknout</w:t>
      </w:r>
      <w:r w:rsidRPr="00255942">
        <w:rPr>
          <w:sz w:val="24"/>
          <w:szCs w:val="24"/>
        </w:rPr>
        <w:t>.</w:t>
      </w:r>
      <w:r>
        <w:t xml:space="preserve"> </w:t>
      </w:r>
    </w:p>
  </w:footnote>
  <w:footnote w:id="14">
    <w:p w:rsidR="00DC47AC" w:rsidRDefault="00DC47AC" w:rsidP="00163B46">
      <w:pPr>
        <w:pStyle w:val="Textpoznpodarou"/>
      </w:pPr>
      <w:r>
        <w:rPr>
          <w:rStyle w:val="Znakapoznpodarou"/>
        </w:rPr>
        <w:footnoteRef/>
      </w:r>
      <w:r>
        <w:t xml:space="preserve">S označením přijatým ve vztahu (11) můžeme vyjádřit riziko škody na ostění (viz vztah (5)) v jednotkách objemu poškozeného betonu přehledně takto: </w:t>
      </w:r>
    </w:p>
    <w:p w:rsidR="00DC47AC" w:rsidRDefault="00DC47AC" w:rsidP="00163B46">
      <w:pPr>
        <w:pStyle w:val="Textpoznpodarou"/>
      </w:pPr>
      <m:oMath>
        <m:r>
          <w:rPr>
            <w:rFonts w:ascii="Cambria Math" w:hAnsi="Cambria Math"/>
          </w:rPr>
          <m:t xml:space="preserve">RISK= </m:t>
        </m:r>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V</m:t>
                </m:r>
              </m:e>
              <m:sub>
                <m:r>
                  <w:rPr>
                    <w:rFonts w:ascii="Cambria Math" w:hAnsi="Cambria Math"/>
                  </w:rPr>
                  <m:t>dam,i</m:t>
                </m:r>
              </m:sub>
            </m:sSub>
          </m:e>
        </m:nary>
        <m:r>
          <w:rPr>
            <w:rFonts w:ascii="Cambria Math" w:hAnsi="Cambria Math"/>
          </w:rPr>
          <m:t xml:space="preserve"> .</m:t>
        </m:r>
        <m:r>
          <w:rPr>
            <w:rFonts w:ascii="Cambria Math" w:eastAsiaTheme="minorEastAsia" w:hAnsi="Cambria Math"/>
            <w:sz w:val="24"/>
            <w:szCs w:val="24"/>
          </w:rPr>
          <m:t xml:space="preserve"> </m:t>
        </m:r>
        <m:sSub>
          <m:sSubPr>
            <m:ctrlPr>
              <w:rPr>
                <w:rFonts w:ascii="Cambria Math" w:eastAsiaTheme="minorEastAsia" w:hAnsi="Cambria Math" w:cstheme="majorBidi"/>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i</m:t>
            </m:r>
          </m:sub>
        </m:sSub>
      </m:oMath>
      <w:r>
        <w:rPr>
          <w:rFonts w:eastAsiaTheme="minorEastAsia"/>
          <w:sz w:val="24"/>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336CC"/>
    <w:multiLevelType w:val="hybridMultilevel"/>
    <w:tmpl w:val="E81624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ED0949"/>
    <w:multiLevelType w:val="hybridMultilevel"/>
    <w:tmpl w:val="B7A279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DAA386A"/>
    <w:multiLevelType w:val="hybridMultilevel"/>
    <w:tmpl w:val="D946DA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4685DAA"/>
    <w:multiLevelType w:val="hybridMultilevel"/>
    <w:tmpl w:val="FABCC7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1414BEE"/>
    <w:multiLevelType w:val="hybridMultilevel"/>
    <w:tmpl w:val="35160E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7394A69"/>
    <w:multiLevelType w:val="hybridMultilevel"/>
    <w:tmpl w:val="B5EA591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3C9F58D7"/>
    <w:multiLevelType w:val="hybridMultilevel"/>
    <w:tmpl w:val="0D1AF8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4757CB2"/>
    <w:multiLevelType w:val="hybridMultilevel"/>
    <w:tmpl w:val="A27614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6270007"/>
    <w:multiLevelType w:val="hybridMultilevel"/>
    <w:tmpl w:val="7074A3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C5C1E20"/>
    <w:multiLevelType w:val="hybridMultilevel"/>
    <w:tmpl w:val="009CA6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C6E5F79"/>
    <w:multiLevelType w:val="hybridMultilevel"/>
    <w:tmpl w:val="C5D639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05B5DA1"/>
    <w:multiLevelType w:val="hybridMultilevel"/>
    <w:tmpl w:val="2182F2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BE91DF1"/>
    <w:multiLevelType w:val="hybridMultilevel"/>
    <w:tmpl w:val="1CA8D0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0DE34AF"/>
    <w:multiLevelType w:val="hybridMultilevel"/>
    <w:tmpl w:val="05B086C8"/>
    <w:lvl w:ilvl="0" w:tplc="6FE4208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0E5422A"/>
    <w:multiLevelType w:val="hybridMultilevel"/>
    <w:tmpl w:val="F51493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3C06096"/>
    <w:multiLevelType w:val="hybridMultilevel"/>
    <w:tmpl w:val="C53E90C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6" w15:restartNumberingAfterBreak="0">
    <w:nsid w:val="7753701D"/>
    <w:multiLevelType w:val="hybridMultilevel"/>
    <w:tmpl w:val="AB22B35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7B4D13EE"/>
    <w:multiLevelType w:val="hybridMultilevel"/>
    <w:tmpl w:val="7F36E18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8" w15:restartNumberingAfterBreak="0">
    <w:nsid w:val="7B984EF5"/>
    <w:multiLevelType w:val="hybridMultilevel"/>
    <w:tmpl w:val="8684EC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6"/>
  </w:num>
  <w:num w:numId="4">
    <w:abstractNumId w:val="1"/>
  </w:num>
  <w:num w:numId="5">
    <w:abstractNumId w:val="18"/>
  </w:num>
  <w:num w:numId="6">
    <w:abstractNumId w:val="6"/>
  </w:num>
  <w:num w:numId="7">
    <w:abstractNumId w:val="14"/>
  </w:num>
  <w:num w:numId="8">
    <w:abstractNumId w:val="17"/>
  </w:num>
  <w:num w:numId="9">
    <w:abstractNumId w:val="4"/>
  </w:num>
  <w:num w:numId="10">
    <w:abstractNumId w:val="13"/>
  </w:num>
  <w:num w:numId="11">
    <w:abstractNumId w:val="8"/>
  </w:num>
  <w:num w:numId="12">
    <w:abstractNumId w:val="15"/>
  </w:num>
  <w:num w:numId="13">
    <w:abstractNumId w:val="5"/>
  </w:num>
  <w:num w:numId="14">
    <w:abstractNumId w:val="2"/>
  </w:num>
  <w:num w:numId="15">
    <w:abstractNumId w:val="11"/>
  </w:num>
  <w:num w:numId="16">
    <w:abstractNumId w:val="12"/>
  </w:num>
  <w:num w:numId="17">
    <w:abstractNumId w:val="9"/>
  </w:num>
  <w:num w:numId="18">
    <w:abstractNumId w:val="1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5A7"/>
    <w:rsid w:val="00002807"/>
    <w:rsid w:val="00044CEC"/>
    <w:rsid w:val="00045B46"/>
    <w:rsid w:val="00054A7E"/>
    <w:rsid w:val="000B7482"/>
    <w:rsid w:val="000C1E80"/>
    <w:rsid w:val="000C2C72"/>
    <w:rsid w:val="000E3EFA"/>
    <w:rsid w:val="000E55F1"/>
    <w:rsid w:val="000F1C28"/>
    <w:rsid w:val="00104364"/>
    <w:rsid w:val="00116820"/>
    <w:rsid w:val="00123F7F"/>
    <w:rsid w:val="00125413"/>
    <w:rsid w:val="0012547F"/>
    <w:rsid w:val="001345C9"/>
    <w:rsid w:val="00134895"/>
    <w:rsid w:val="001351A3"/>
    <w:rsid w:val="00163B46"/>
    <w:rsid w:val="001705A7"/>
    <w:rsid w:val="00172D76"/>
    <w:rsid w:val="001860A1"/>
    <w:rsid w:val="001B1F33"/>
    <w:rsid w:val="001C5CF6"/>
    <w:rsid w:val="001D2473"/>
    <w:rsid w:val="001E75ED"/>
    <w:rsid w:val="0023399A"/>
    <w:rsid w:val="00236537"/>
    <w:rsid w:val="00246DBB"/>
    <w:rsid w:val="00263B35"/>
    <w:rsid w:val="002655A2"/>
    <w:rsid w:val="002767FF"/>
    <w:rsid w:val="00277C19"/>
    <w:rsid w:val="00294163"/>
    <w:rsid w:val="00296218"/>
    <w:rsid w:val="002A3F62"/>
    <w:rsid w:val="002E5B73"/>
    <w:rsid w:val="002F542E"/>
    <w:rsid w:val="00304127"/>
    <w:rsid w:val="00304AD0"/>
    <w:rsid w:val="003062D1"/>
    <w:rsid w:val="003221D9"/>
    <w:rsid w:val="00325300"/>
    <w:rsid w:val="00355865"/>
    <w:rsid w:val="003646B9"/>
    <w:rsid w:val="00364908"/>
    <w:rsid w:val="00371129"/>
    <w:rsid w:val="003800B8"/>
    <w:rsid w:val="003816D0"/>
    <w:rsid w:val="00381874"/>
    <w:rsid w:val="00387262"/>
    <w:rsid w:val="003A547D"/>
    <w:rsid w:val="003B33A9"/>
    <w:rsid w:val="003B6A1C"/>
    <w:rsid w:val="003C2728"/>
    <w:rsid w:val="003E4C73"/>
    <w:rsid w:val="003F7C43"/>
    <w:rsid w:val="0041648F"/>
    <w:rsid w:val="0042369B"/>
    <w:rsid w:val="00425BA5"/>
    <w:rsid w:val="00427FA6"/>
    <w:rsid w:val="004718A9"/>
    <w:rsid w:val="00473287"/>
    <w:rsid w:val="0048656E"/>
    <w:rsid w:val="0049476E"/>
    <w:rsid w:val="004B76F5"/>
    <w:rsid w:val="004C7E5F"/>
    <w:rsid w:val="004D4080"/>
    <w:rsid w:val="004F0EBA"/>
    <w:rsid w:val="004F69A7"/>
    <w:rsid w:val="00510C8D"/>
    <w:rsid w:val="00517CA2"/>
    <w:rsid w:val="00520F3B"/>
    <w:rsid w:val="00521059"/>
    <w:rsid w:val="005217D7"/>
    <w:rsid w:val="00535702"/>
    <w:rsid w:val="0053765B"/>
    <w:rsid w:val="00580B05"/>
    <w:rsid w:val="00583BAF"/>
    <w:rsid w:val="005A2CB2"/>
    <w:rsid w:val="005C0330"/>
    <w:rsid w:val="005C5AD5"/>
    <w:rsid w:val="005E5508"/>
    <w:rsid w:val="005F41A1"/>
    <w:rsid w:val="00605AFA"/>
    <w:rsid w:val="0060739C"/>
    <w:rsid w:val="00614E15"/>
    <w:rsid w:val="0061634B"/>
    <w:rsid w:val="006228F2"/>
    <w:rsid w:val="00636841"/>
    <w:rsid w:val="00636F8B"/>
    <w:rsid w:val="0063788B"/>
    <w:rsid w:val="00640E41"/>
    <w:rsid w:val="00652753"/>
    <w:rsid w:val="00656ACB"/>
    <w:rsid w:val="00664991"/>
    <w:rsid w:val="00665172"/>
    <w:rsid w:val="0067482B"/>
    <w:rsid w:val="006826DE"/>
    <w:rsid w:val="00695DF1"/>
    <w:rsid w:val="006A102F"/>
    <w:rsid w:val="006A60ED"/>
    <w:rsid w:val="006B7334"/>
    <w:rsid w:val="006D001A"/>
    <w:rsid w:val="006E7022"/>
    <w:rsid w:val="00726E26"/>
    <w:rsid w:val="0073634F"/>
    <w:rsid w:val="007378D6"/>
    <w:rsid w:val="00744808"/>
    <w:rsid w:val="00746EA2"/>
    <w:rsid w:val="00752C4A"/>
    <w:rsid w:val="00784189"/>
    <w:rsid w:val="00785A17"/>
    <w:rsid w:val="007907D9"/>
    <w:rsid w:val="00794738"/>
    <w:rsid w:val="007A33F1"/>
    <w:rsid w:val="007A6180"/>
    <w:rsid w:val="007B798E"/>
    <w:rsid w:val="007E7FD6"/>
    <w:rsid w:val="007F0BA0"/>
    <w:rsid w:val="00802EB9"/>
    <w:rsid w:val="00821D84"/>
    <w:rsid w:val="00830B01"/>
    <w:rsid w:val="00833369"/>
    <w:rsid w:val="00837DE7"/>
    <w:rsid w:val="00851D60"/>
    <w:rsid w:val="0085525E"/>
    <w:rsid w:val="00871B72"/>
    <w:rsid w:val="00895A01"/>
    <w:rsid w:val="008A1A5A"/>
    <w:rsid w:val="008A20AE"/>
    <w:rsid w:val="008B3A2E"/>
    <w:rsid w:val="008B613E"/>
    <w:rsid w:val="008C0627"/>
    <w:rsid w:val="008C3304"/>
    <w:rsid w:val="008C4DF7"/>
    <w:rsid w:val="008D1C58"/>
    <w:rsid w:val="008E3494"/>
    <w:rsid w:val="008E5573"/>
    <w:rsid w:val="00902FA1"/>
    <w:rsid w:val="009202CD"/>
    <w:rsid w:val="00932D71"/>
    <w:rsid w:val="009341B8"/>
    <w:rsid w:val="009524C7"/>
    <w:rsid w:val="00962811"/>
    <w:rsid w:val="009748F6"/>
    <w:rsid w:val="009914D1"/>
    <w:rsid w:val="009A2FF6"/>
    <w:rsid w:val="009A58B4"/>
    <w:rsid w:val="009B4D80"/>
    <w:rsid w:val="009C6AD8"/>
    <w:rsid w:val="009D3C02"/>
    <w:rsid w:val="009E08EF"/>
    <w:rsid w:val="009E29B9"/>
    <w:rsid w:val="009F586E"/>
    <w:rsid w:val="00A2272E"/>
    <w:rsid w:val="00A246C9"/>
    <w:rsid w:val="00A2570D"/>
    <w:rsid w:val="00A3578B"/>
    <w:rsid w:val="00A42794"/>
    <w:rsid w:val="00A47DDD"/>
    <w:rsid w:val="00A60793"/>
    <w:rsid w:val="00A65B01"/>
    <w:rsid w:val="00A75D5E"/>
    <w:rsid w:val="00A80AA3"/>
    <w:rsid w:val="00A822A2"/>
    <w:rsid w:val="00A854A2"/>
    <w:rsid w:val="00AB12AE"/>
    <w:rsid w:val="00AB7B57"/>
    <w:rsid w:val="00AD0F10"/>
    <w:rsid w:val="00AE3733"/>
    <w:rsid w:val="00AE3FD8"/>
    <w:rsid w:val="00AF478E"/>
    <w:rsid w:val="00B14223"/>
    <w:rsid w:val="00B15746"/>
    <w:rsid w:val="00B23F2D"/>
    <w:rsid w:val="00B62B9F"/>
    <w:rsid w:val="00B9278C"/>
    <w:rsid w:val="00B9433F"/>
    <w:rsid w:val="00B972C2"/>
    <w:rsid w:val="00C066D6"/>
    <w:rsid w:val="00C20DB9"/>
    <w:rsid w:val="00C21ACE"/>
    <w:rsid w:val="00C23E65"/>
    <w:rsid w:val="00C31B51"/>
    <w:rsid w:val="00C45665"/>
    <w:rsid w:val="00C67A86"/>
    <w:rsid w:val="00C72842"/>
    <w:rsid w:val="00C73388"/>
    <w:rsid w:val="00C80309"/>
    <w:rsid w:val="00C86D37"/>
    <w:rsid w:val="00C877F0"/>
    <w:rsid w:val="00C937BE"/>
    <w:rsid w:val="00CA32B6"/>
    <w:rsid w:val="00CA3CA2"/>
    <w:rsid w:val="00CB4B35"/>
    <w:rsid w:val="00D01A68"/>
    <w:rsid w:val="00D16E65"/>
    <w:rsid w:val="00D2205C"/>
    <w:rsid w:val="00D22089"/>
    <w:rsid w:val="00D24B62"/>
    <w:rsid w:val="00D4722D"/>
    <w:rsid w:val="00D5787D"/>
    <w:rsid w:val="00D604D9"/>
    <w:rsid w:val="00D8204C"/>
    <w:rsid w:val="00D83403"/>
    <w:rsid w:val="00D90ECD"/>
    <w:rsid w:val="00D91C3E"/>
    <w:rsid w:val="00D9766A"/>
    <w:rsid w:val="00DA1450"/>
    <w:rsid w:val="00DA1AA6"/>
    <w:rsid w:val="00DB3804"/>
    <w:rsid w:val="00DB3E1F"/>
    <w:rsid w:val="00DB6414"/>
    <w:rsid w:val="00DB6634"/>
    <w:rsid w:val="00DC47AC"/>
    <w:rsid w:val="00DF2469"/>
    <w:rsid w:val="00E15423"/>
    <w:rsid w:val="00E42552"/>
    <w:rsid w:val="00E42EC9"/>
    <w:rsid w:val="00E54E00"/>
    <w:rsid w:val="00EB1FA8"/>
    <w:rsid w:val="00EB5A7A"/>
    <w:rsid w:val="00EC23FF"/>
    <w:rsid w:val="00EF01CF"/>
    <w:rsid w:val="00EF727E"/>
    <w:rsid w:val="00F01BA8"/>
    <w:rsid w:val="00F01E20"/>
    <w:rsid w:val="00F10D35"/>
    <w:rsid w:val="00F34CB2"/>
    <w:rsid w:val="00F473D8"/>
    <w:rsid w:val="00F5699A"/>
    <w:rsid w:val="00F612BF"/>
    <w:rsid w:val="00F65FA9"/>
    <w:rsid w:val="00F70213"/>
    <w:rsid w:val="00F8451A"/>
    <w:rsid w:val="00FB2EAA"/>
    <w:rsid w:val="00FB4298"/>
    <w:rsid w:val="00FC6385"/>
    <w:rsid w:val="00FE29F5"/>
    <w:rsid w:val="00FF42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EF2F6C8F-9F77-4FBB-BE57-13711D764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B1FA8"/>
    <w:pPr>
      <w:jc w:val="both"/>
    </w:pPr>
    <w:rPr>
      <w:sz w:val="24"/>
      <w:szCs w:val="24"/>
    </w:rPr>
  </w:style>
  <w:style w:type="paragraph" w:styleId="Nadpis1">
    <w:name w:val="heading 1"/>
    <w:basedOn w:val="Normln"/>
    <w:next w:val="Normln"/>
    <w:link w:val="Nadpis1Char"/>
    <w:uiPriority w:val="9"/>
    <w:qFormat/>
    <w:rsid w:val="007E7F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2E5B7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045B46"/>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E7FD6"/>
    <w:rPr>
      <w:rFonts w:asciiTheme="majorHAnsi" w:eastAsiaTheme="majorEastAsia" w:hAnsiTheme="majorHAnsi" w:cstheme="majorBidi"/>
      <w:color w:val="2E74B5" w:themeColor="accent1" w:themeShade="BF"/>
      <w:sz w:val="32"/>
      <w:szCs w:val="32"/>
    </w:rPr>
  </w:style>
  <w:style w:type="paragraph" w:styleId="Textpoznpodarou">
    <w:name w:val="footnote text"/>
    <w:basedOn w:val="Normln"/>
    <w:link w:val="TextpoznpodarouChar"/>
    <w:uiPriority w:val="99"/>
    <w:unhideWhenUsed/>
    <w:rsid w:val="007E7FD6"/>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7E7FD6"/>
    <w:rPr>
      <w:sz w:val="20"/>
      <w:szCs w:val="20"/>
    </w:rPr>
  </w:style>
  <w:style w:type="character" w:styleId="Znakapoznpodarou">
    <w:name w:val="footnote reference"/>
    <w:basedOn w:val="Standardnpsmoodstavce"/>
    <w:uiPriority w:val="99"/>
    <w:semiHidden/>
    <w:unhideWhenUsed/>
    <w:rsid w:val="007E7FD6"/>
    <w:rPr>
      <w:vertAlign w:val="superscript"/>
    </w:rPr>
  </w:style>
  <w:style w:type="character" w:customStyle="1" w:styleId="Nadpis2Char">
    <w:name w:val="Nadpis 2 Char"/>
    <w:basedOn w:val="Standardnpsmoodstavce"/>
    <w:link w:val="Nadpis2"/>
    <w:uiPriority w:val="9"/>
    <w:rsid w:val="002E5B73"/>
    <w:rPr>
      <w:rFonts w:asciiTheme="majorHAnsi" w:eastAsiaTheme="majorEastAsia" w:hAnsiTheme="majorHAnsi" w:cstheme="majorBidi"/>
      <w:color w:val="2E74B5" w:themeColor="accent1" w:themeShade="BF"/>
      <w:sz w:val="26"/>
      <w:szCs w:val="26"/>
    </w:rPr>
  </w:style>
  <w:style w:type="paragraph" w:styleId="Odstavecseseznamem">
    <w:name w:val="List Paragraph"/>
    <w:basedOn w:val="Normln"/>
    <w:uiPriority w:val="34"/>
    <w:qFormat/>
    <w:rsid w:val="001D2473"/>
    <w:pPr>
      <w:ind w:left="720"/>
      <w:contextualSpacing/>
    </w:pPr>
  </w:style>
  <w:style w:type="character" w:styleId="Zstupntext">
    <w:name w:val="Placeholder Text"/>
    <w:basedOn w:val="Standardnpsmoodstavce"/>
    <w:uiPriority w:val="99"/>
    <w:semiHidden/>
    <w:rsid w:val="009D3C02"/>
    <w:rPr>
      <w:color w:val="808080"/>
    </w:rPr>
  </w:style>
  <w:style w:type="character" w:customStyle="1" w:styleId="Nadpis3Char">
    <w:name w:val="Nadpis 3 Char"/>
    <w:basedOn w:val="Standardnpsmoodstavce"/>
    <w:link w:val="Nadpis3"/>
    <w:uiPriority w:val="9"/>
    <w:rsid w:val="00045B46"/>
    <w:rPr>
      <w:rFonts w:asciiTheme="majorHAnsi" w:eastAsiaTheme="majorEastAsia" w:hAnsiTheme="majorHAnsi" w:cstheme="majorBidi"/>
      <w:color w:val="1F4D78" w:themeColor="accent1" w:themeShade="7F"/>
      <w:sz w:val="24"/>
      <w:szCs w:val="24"/>
    </w:rPr>
  </w:style>
  <w:style w:type="table" w:styleId="Mkatabulky">
    <w:name w:val="Table Grid"/>
    <w:basedOn w:val="Normlntabulka"/>
    <w:uiPriority w:val="39"/>
    <w:rsid w:val="00371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371129"/>
    <w:pPr>
      <w:spacing w:after="200" w:line="240" w:lineRule="auto"/>
    </w:pPr>
    <w:rPr>
      <w:i/>
      <w:iCs/>
      <w:color w:val="44546A" w:themeColor="text2"/>
      <w:sz w:val="18"/>
      <w:szCs w:val="18"/>
    </w:rPr>
  </w:style>
  <w:style w:type="paragraph" w:customStyle="1" w:styleId="BodyChar">
    <w:name w:val="Body Char"/>
    <w:link w:val="BodyCharChar"/>
    <w:rsid w:val="00C72842"/>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C72842"/>
    <w:rPr>
      <w:rFonts w:ascii="Times" w:eastAsia="Times New Roman" w:hAnsi="Times" w:cs="Times New Roman"/>
      <w:color w:val="000000"/>
      <w:lang w:val="en-GB"/>
    </w:rPr>
  </w:style>
  <w:style w:type="paragraph" w:customStyle="1" w:styleId="EQN">
    <w:name w:val="EQN"/>
    <w:basedOn w:val="Normln"/>
    <w:autoRedefine/>
    <w:rsid w:val="00C72842"/>
    <w:pPr>
      <w:tabs>
        <w:tab w:val="center" w:pos="4820"/>
        <w:tab w:val="right" w:pos="9072"/>
      </w:tabs>
      <w:spacing w:before="120" w:after="120" w:line="240" w:lineRule="auto"/>
      <w:jc w:val="center"/>
    </w:pPr>
    <w:rPr>
      <w:rFonts w:ascii="Cambria Math" w:hAnsi="Cambria Math"/>
      <w:color w:val="000000"/>
      <w:sz w:val="22"/>
      <w:szCs w:val="22"/>
      <w:lang w:val="en-US"/>
    </w:rPr>
  </w:style>
  <w:style w:type="paragraph" w:styleId="Textbubliny">
    <w:name w:val="Balloon Text"/>
    <w:basedOn w:val="Normln"/>
    <w:link w:val="TextbublinyChar"/>
    <w:uiPriority w:val="99"/>
    <w:semiHidden/>
    <w:unhideWhenUsed/>
    <w:rsid w:val="008C4DF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C4DF7"/>
    <w:rPr>
      <w:rFonts w:ascii="Segoe UI" w:hAnsi="Segoe UI" w:cs="Segoe UI"/>
      <w:sz w:val="18"/>
      <w:szCs w:val="18"/>
    </w:rPr>
  </w:style>
  <w:style w:type="paragraph" w:styleId="Prosttext">
    <w:name w:val="Plain Text"/>
    <w:basedOn w:val="Normln"/>
    <w:link w:val="ProsttextChar"/>
    <w:uiPriority w:val="99"/>
    <w:unhideWhenUsed/>
    <w:rsid w:val="00932D71"/>
    <w:pPr>
      <w:spacing w:after="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rsid w:val="00932D71"/>
    <w:rPr>
      <w:rFonts w:ascii="Consolas" w:hAnsi="Consolas" w:cs="Consolas"/>
      <w:sz w:val="21"/>
      <w:szCs w:val="21"/>
    </w:rPr>
  </w:style>
  <w:style w:type="character" w:styleId="Hypertextovodkaz">
    <w:name w:val="Hyperlink"/>
    <w:rsid w:val="00473287"/>
    <w:rPr>
      <w:color w:val="0000FF"/>
      <w:u w:val="single"/>
    </w:rPr>
  </w:style>
  <w:style w:type="paragraph" w:styleId="Zhlav">
    <w:name w:val="header"/>
    <w:basedOn w:val="Normln"/>
    <w:link w:val="ZhlavChar"/>
    <w:uiPriority w:val="99"/>
    <w:unhideWhenUsed/>
    <w:rsid w:val="00517CA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17CA2"/>
    <w:rPr>
      <w:sz w:val="24"/>
      <w:szCs w:val="24"/>
    </w:rPr>
  </w:style>
  <w:style w:type="paragraph" w:styleId="Zpat">
    <w:name w:val="footer"/>
    <w:basedOn w:val="Normln"/>
    <w:link w:val="ZpatChar"/>
    <w:uiPriority w:val="99"/>
    <w:unhideWhenUsed/>
    <w:rsid w:val="00517CA2"/>
    <w:pPr>
      <w:tabs>
        <w:tab w:val="center" w:pos="4536"/>
        <w:tab w:val="right" w:pos="9072"/>
      </w:tabs>
      <w:spacing w:after="0" w:line="240" w:lineRule="auto"/>
    </w:pPr>
  </w:style>
  <w:style w:type="character" w:customStyle="1" w:styleId="ZpatChar">
    <w:name w:val="Zápatí Char"/>
    <w:basedOn w:val="Standardnpsmoodstavce"/>
    <w:link w:val="Zpat"/>
    <w:uiPriority w:val="99"/>
    <w:rsid w:val="00517CA2"/>
    <w:rPr>
      <w:sz w:val="24"/>
      <w:szCs w:val="24"/>
    </w:rPr>
  </w:style>
  <w:style w:type="paragraph" w:styleId="Bezmezer">
    <w:name w:val="No Spacing"/>
    <w:link w:val="BezmezerChar"/>
    <w:uiPriority w:val="1"/>
    <w:qFormat/>
    <w:rsid w:val="003816D0"/>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3816D0"/>
    <w:rPr>
      <w:rFonts w:eastAsiaTheme="minorEastAsia"/>
      <w:lang w:eastAsia="cs-CZ"/>
    </w:rPr>
  </w:style>
  <w:style w:type="character" w:styleId="Odkaznakoment">
    <w:name w:val="annotation reference"/>
    <w:basedOn w:val="Standardnpsmoodstavce"/>
    <w:uiPriority w:val="99"/>
    <w:semiHidden/>
    <w:unhideWhenUsed/>
    <w:rsid w:val="00837DE7"/>
    <w:rPr>
      <w:sz w:val="16"/>
      <w:szCs w:val="16"/>
    </w:rPr>
  </w:style>
  <w:style w:type="paragraph" w:styleId="Textkomente">
    <w:name w:val="annotation text"/>
    <w:basedOn w:val="Normln"/>
    <w:link w:val="TextkomenteChar"/>
    <w:uiPriority w:val="99"/>
    <w:semiHidden/>
    <w:unhideWhenUsed/>
    <w:rsid w:val="00837DE7"/>
    <w:pPr>
      <w:spacing w:line="240" w:lineRule="auto"/>
    </w:pPr>
    <w:rPr>
      <w:sz w:val="20"/>
      <w:szCs w:val="20"/>
    </w:rPr>
  </w:style>
  <w:style w:type="character" w:customStyle="1" w:styleId="TextkomenteChar">
    <w:name w:val="Text komentáře Char"/>
    <w:basedOn w:val="Standardnpsmoodstavce"/>
    <w:link w:val="Textkomente"/>
    <w:uiPriority w:val="99"/>
    <w:semiHidden/>
    <w:rsid w:val="00837DE7"/>
    <w:rPr>
      <w:sz w:val="20"/>
      <w:szCs w:val="20"/>
    </w:rPr>
  </w:style>
  <w:style w:type="paragraph" w:styleId="Pedmtkomente">
    <w:name w:val="annotation subject"/>
    <w:basedOn w:val="Textkomente"/>
    <w:next w:val="Textkomente"/>
    <w:link w:val="PedmtkomenteChar"/>
    <w:uiPriority w:val="99"/>
    <w:semiHidden/>
    <w:unhideWhenUsed/>
    <w:rsid w:val="00837DE7"/>
    <w:rPr>
      <w:b/>
      <w:bCs/>
    </w:rPr>
  </w:style>
  <w:style w:type="character" w:customStyle="1" w:styleId="PedmtkomenteChar">
    <w:name w:val="Předmět komentáře Char"/>
    <w:basedOn w:val="TextkomenteChar"/>
    <w:link w:val="Pedmtkomente"/>
    <w:uiPriority w:val="99"/>
    <w:semiHidden/>
    <w:rsid w:val="00837DE7"/>
    <w:rPr>
      <w:b/>
      <w:bCs/>
      <w:sz w:val="20"/>
      <w:szCs w:val="20"/>
    </w:rPr>
  </w:style>
  <w:style w:type="paragraph" w:styleId="Revize">
    <w:name w:val="Revision"/>
    <w:hidden/>
    <w:uiPriority w:val="99"/>
    <w:semiHidden/>
    <w:rsid w:val="00837DE7"/>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mailto:frantisek.rainer@rsd.cz"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yperlink" Target="mailto:martin.krejsa@vsb.cz"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oleObject" Target="embeddings/oleObject1.bin"/><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jpeg"/><Relationship Id="rId31" Type="http://schemas.openxmlformats.org/officeDocument/2006/relationships/hyperlink" Target="mailto::brteply@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oleObject" Target="embeddings/oleObject2.bin"/><Relationship Id="rId35"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2C09F-8CD1-4237-997A-B61DEEFD3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6120</Words>
  <Characters>36114</Characters>
  <Application>Microsoft Office Word</Application>
  <DocSecurity>0</DocSecurity>
  <Lines>300</Lines>
  <Paragraphs>84</Paragraphs>
  <ScaleCrop>false</ScaleCrop>
  <HeadingPairs>
    <vt:vector size="2" baseType="variant">
      <vt:variant>
        <vt:lpstr>Název</vt:lpstr>
      </vt:variant>
      <vt:variant>
        <vt:i4>1</vt:i4>
      </vt:variant>
    </vt:vector>
  </HeadingPairs>
  <TitlesOfParts>
    <vt:vector size="1" baseType="lpstr">
      <vt:lpstr>Metodika pro uplatnění pokročilých rizikových metod v predikci rizika požáru v silničních tunelech</vt:lpstr>
    </vt:vector>
  </TitlesOfParts>
  <Company/>
  <LinksUpToDate>false</LinksUpToDate>
  <CharactersWithSpaces>42150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Metodika pro uplatnění pokročilých rizikových metod v predikci rizika požáru v silničních tunelech</dc:title>
  <dc:subject/>
  <dc:creator>sejnoha</dc:creator>
  <cp:keywords/>
  <dc:description/>
  <cp:lastModifiedBy>Healey Dagmar Mgr.</cp:lastModifiedBy>
  <cp:revision>2</cp:revision>
  <cp:lastPrinted>2019-06-27T08:53:00Z</cp:lastPrinted>
  <dcterms:created xsi:type="dcterms:W3CDTF">2019-08-21T08:20:00Z</dcterms:created>
  <dcterms:modified xsi:type="dcterms:W3CDTF">2019-08-21T08:20:00Z</dcterms:modified>
</cp:coreProperties>
</file>