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6D18B6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  <w:r w:rsidRPr="00E45123">
        <w:rPr>
          <w:noProof/>
        </w:rPr>
        <w:drawing>
          <wp:inline distT="0" distB="0" distL="0" distR="0">
            <wp:extent cx="5762625" cy="3248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7754D1" w:rsidRDefault="007754D1" w:rsidP="003945F7">
      <w:pPr>
        <w:rPr>
          <w:rFonts w:ascii="Cy" w:hAnsi="Cy" w:cs="Arial"/>
          <w:b/>
          <w:color w:val="1F497D"/>
          <w:sz w:val="44"/>
          <w:szCs w:val="40"/>
        </w:rPr>
      </w:pPr>
      <w:r>
        <w:rPr>
          <w:rFonts w:ascii="Cy" w:hAnsi="Cy" w:cs="Arial"/>
          <w:b/>
          <w:color w:val="1F497D"/>
          <w:sz w:val="44"/>
          <w:szCs w:val="40"/>
        </w:rPr>
        <w:t xml:space="preserve">Priority Ministerstva dopravy </w:t>
      </w:r>
    </w:p>
    <w:p w:rsidR="007754D1" w:rsidRDefault="007754D1" w:rsidP="003945F7">
      <w:pPr>
        <w:rPr>
          <w:rFonts w:ascii="Cy" w:hAnsi="Cy" w:cs="Arial"/>
          <w:b/>
          <w:color w:val="1F497D"/>
          <w:sz w:val="44"/>
          <w:szCs w:val="40"/>
        </w:rPr>
      </w:pPr>
      <w:r>
        <w:rPr>
          <w:rFonts w:ascii="Cy" w:hAnsi="Cy" w:cs="Arial"/>
          <w:b/>
          <w:color w:val="1F497D"/>
          <w:sz w:val="44"/>
          <w:szCs w:val="40"/>
        </w:rPr>
        <w:t xml:space="preserve">pro předsednictví České republiky </w:t>
      </w:r>
    </w:p>
    <w:p w:rsidR="003945F7" w:rsidRDefault="007754D1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Cy" w:hAnsi="Cy" w:cs="Arial"/>
          <w:b/>
          <w:color w:val="1F497D"/>
          <w:sz w:val="44"/>
          <w:szCs w:val="40"/>
        </w:rPr>
        <w:t>v Radě Evropské unie</w:t>
      </w: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rPr>
          <w:rFonts w:ascii="Open Sans" w:eastAsia="Calibri" w:hAnsi="Open Sans" w:cs="Open Sans"/>
          <w:sz w:val="22"/>
          <w:szCs w:val="22"/>
          <w:lang w:eastAsia="en-US"/>
        </w:rPr>
      </w:pPr>
    </w:p>
    <w:p w:rsidR="003945F7" w:rsidRDefault="003945F7" w:rsidP="003945F7">
      <w:pPr>
        <w:pStyle w:val="Odstavecseseznamem"/>
        <w:spacing w:after="160" w:line="259" w:lineRule="auto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0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lastRenderedPageBreak/>
        <w:t>1. července 2022 se Česká republika ujímá půlročního</w:t>
      </w:r>
      <w:r>
        <w:rPr>
          <w:rFonts w:ascii="Cy" w:hAnsi="Cy" w:cs="Calibri"/>
          <w:sz w:val="24"/>
          <w:szCs w:val="24"/>
        </w:rPr>
        <w:t xml:space="preserve"> předsednictví v Radě Evropské u</w:t>
      </w:r>
      <w:r w:rsidRPr="003945F7">
        <w:rPr>
          <w:rFonts w:ascii="Cy" w:hAnsi="Cy" w:cs="Calibri"/>
          <w:sz w:val="24"/>
          <w:szCs w:val="24"/>
        </w:rPr>
        <w:t>nie</w:t>
      </w:r>
      <w:r>
        <w:rPr>
          <w:rFonts w:ascii="Cy" w:hAnsi="Cy" w:cs="Calibri"/>
          <w:sz w:val="24"/>
          <w:szCs w:val="24"/>
        </w:rPr>
        <w:t>.</w:t>
      </w:r>
    </w:p>
    <w:p w:rsidR="003945F7" w:rsidRPr="003945F7" w:rsidRDefault="003945F7" w:rsidP="003945F7">
      <w:pPr>
        <w:pStyle w:val="Odstavecseseznamem"/>
        <w:numPr>
          <w:ilvl w:val="0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Za oblast dopravy se předsednictví týkají dvě rady</w:t>
      </w:r>
      <w:r>
        <w:rPr>
          <w:rFonts w:ascii="Cy" w:hAnsi="Cy" w:cs="Calibri"/>
          <w:sz w:val="24"/>
          <w:szCs w:val="24"/>
        </w:rPr>
        <w:t>:</w:t>
      </w: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Rada pro Dopravu, energetiku a telekomunikaci (TTE)</w:t>
      </w:r>
      <w:r>
        <w:rPr>
          <w:rFonts w:ascii="Cy" w:hAnsi="Cy" w:cs="Calibri"/>
          <w:sz w:val="24"/>
          <w:szCs w:val="24"/>
        </w:rPr>
        <w:t>.</w:t>
      </w:r>
      <w:r w:rsidRPr="003945F7">
        <w:rPr>
          <w:rFonts w:ascii="Cy" w:hAnsi="Cy" w:cs="Calibri"/>
          <w:sz w:val="24"/>
          <w:szCs w:val="24"/>
        </w:rPr>
        <w:t xml:space="preserve"> </w:t>
      </w:r>
    </w:p>
    <w:p w:rsid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Rada pro obchod, vesmír, průmysl atd. (CO</w:t>
      </w:r>
      <w:r>
        <w:rPr>
          <w:rFonts w:ascii="Cy" w:hAnsi="Cy" w:cs="Calibri"/>
          <w:sz w:val="24"/>
          <w:szCs w:val="24"/>
        </w:rPr>
        <w:t>MPET) – MD se týká pouze vesmír.</w:t>
      </w:r>
    </w:p>
    <w:p w:rsidR="000C1CDB" w:rsidRPr="003945F7" w:rsidRDefault="000C1CDB" w:rsidP="000C1CDB">
      <w:pPr>
        <w:pStyle w:val="Odstavecseseznamem"/>
        <w:spacing w:after="160" w:line="259" w:lineRule="auto"/>
        <w:ind w:left="1440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rPr>
          <w:rFonts w:ascii="Cy" w:hAnsi="Cy" w:cs="Calibri"/>
          <w:b/>
          <w:sz w:val="36"/>
          <w:szCs w:val="24"/>
        </w:rPr>
      </w:pPr>
      <w:r w:rsidRPr="003945F7">
        <w:rPr>
          <w:rFonts w:ascii="Cy" w:hAnsi="Cy" w:cs="Calibri"/>
          <w:b/>
          <w:sz w:val="36"/>
          <w:szCs w:val="24"/>
        </w:rPr>
        <w:t>Dopravní priority</w:t>
      </w:r>
    </w:p>
    <w:p w:rsidR="003945F7" w:rsidRPr="003945F7" w:rsidRDefault="003945F7" w:rsidP="003945F7">
      <w:pPr>
        <w:rPr>
          <w:rFonts w:ascii="Cy" w:hAnsi="Cy" w:cs="Calibri"/>
          <w:b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9" w:lineRule="auto"/>
        <w:ind w:left="0"/>
        <w:jc w:val="left"/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>1. Dopravní konektivita</w:t>
      </w:r>
    </w:p>
    <w:p w:rsidR="003945F7" w:rsidRPr="003945F7" w:rsidRDefault="003945F7" w:rsidP="003945F7">
      <w:pPr>
        <w:pStyle w:val="Odstavecseseznamem"/>
        <w:spacing w:after="160" w:line="259" w:lineRule="auto"/>
        <w:jc w:val="left"/>
        <w:rPr>
          <w:rFonts w:ascii="Cy" w:hAnsi="Cy" w:cs="Calibri"/>
          <w:b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Revize politiky TEN-T (zajištění lepší propojenosti dopravy, rozšíření technických parametrů dopravní sítě do sousedství EU)</w:t>
      </w:r>
      <w:r>
        <w:rPr>
          <w:rFonts w:ascii="Cy" w:hAnsi="Cy" w:cs="Calibri"/>
          <w:sz w:val="24"/>
          <w:szCs w:val="24"/>
        </w:rPr>
        <w:t>.</w:t>
      </w: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Rozvoj vysokorychlostních železnic v rámci naplňování cíle dokončení evropského dopravního prostoru</w:t>
      </w:r>
      <w:r>
        <w:rPr>
          <w:rFonts w:ascii="Cy" w:hAnsi="Cy" w:cs="Calibri"/>
          <w:sz w:val="24"/>
          <w:szCs w:val="24"/>
        </w:rPr>
        <w:t>.</w:t>
      </w: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Otevření diskuse u balíčku Jednotné evropské nebe (SES2+) (snížení roztříštěnosti vzdušného prostoru EU a zlepšení uspořádání letového provozu z hlediska bezpečnosti, kapacity, nákladové efektivity a životního prostředí)</w:t>
      </w:r>
      <w:r>
        <w:rPr>
          <w:rFonts w:ascii="Cy" w:hAnsi="Cy" w:cs="Calibri"/>
          <w:sz w:val="24"/>
          <w:szCs w:val="24"/>
        </w:rPr>
        <w:t>.</w:t>
      </w:r>
    </w:p>
    <w:p w:rsidR="003945F7" w:rsidRPr="003945F7" w:rsidRDefault="003945F7" w:rsidP="003945F7">
      <w:pPr>
        <w:pStyle w:val="Odstavecseseznamem"/>
        <w:spacing w:after="160" w:line="259" w:lineRule="auto"/>
        <w:jc w:val="left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ind w:left="1440"/>
        <w:rPr>
          <w:rFonts w:ascii="Cy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9" w:lineRule="auto"/>
        <w:ind w:left="0"/>
        <w:jc w:val="left"/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>2. Efektivní fungování vnitřního trhu v</w:t>
      </w:r>
      <w:r>
        <w:rPr>
          <w:rFonts w:ascii="Cy" w:hAnsi="Cy" w:cs="Calibri"/>
          <w:b/>
          <w:sz w:val="24"/>
          <w:szCs w:val="24"/>
        </w:rPr>
        <w:t> </w:t>
      </w:r>
      <w:r w:rsidRPr="003945F7">
        <w:rPr>
          <w:rFonts w:ascii="Cy" w:hAnsi="Cy" w:cs="Calibri"/>
          <w:b/>
          <w:sz w:val="24"/>
          <w:szCs w:val="24"/>
        </w:rPr>
        <w:t>dopravě</w:t>
      </w:r>
    </w:p>
    <w:p w:rsidR="003945F7" w:rsidRPr="003945F7" w:rsidRDefault="003945F7" w:rsidP="003945F7">
      <w:pPr>
        <w:pStyle w:val="Odstavecseseznamem"/>
        <w:spacing w:after="160" w:line="259" w:lineRule="auto"/>
        <w:jc w:val="left"/>
        <w:rPr>
          <w:rFonts w:ascii="Cy" w:hAnsi="Cy" w:cs="Calibri"/>
          <w:b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 xml:space="preserve">Dopravní jednotlivé legislativní návrhy z balíčku Fit </w:t>
      </w:r>
      <w:proofErr w:type="spellStart"/>
      <w:r w:rsidRPr="003945F7">
        <w:rPr>
          <w:rFonts w:ascii="Cy" w:hAnsi="Cy" w:cs="Calibri"/>
          <w:sz w:val="24"/>
          <w:szCs w:val="24"/>
        </w:rPr>
        <w:t>for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55</w:t>
      </w:r>
      <w:r>
        <w:rPr>
          <w:rFonts w:ascii="Cy" w:hAnsi="Cy" w:cs="Calibri"/>
          <w:sz w:val="24"/>
          <w:szCs w:val="24"/>
        </w:rPr>
        <w:t>.</w:t>
      </w:r>
    </w:p>
    <w:p w:rsidR="003945F7" w:rsidRPr="003945F7" w:rsidRDefault="003945F7" w:rsidP="003945F7">
      <w:pPr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br/>
      </w:r>
    </w:p>
    <w:p w:rsidR="003945F7" w:rsidRDefault="003945F7" w:rsidP="003945F7">
      <w:pPr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>3. Udržitelná, inteligentní a bezpečná mobilita</w:t>
      </w:r>
    </w:p>
    <w:p w:rsidR="003945F7" w:rsidRPr="003945F7" w:rsidRDefault="003945F7" w:rsidP="003945F7">
      <w:pPr>
        <w:rPr>
          <w:rFonts w:ascii="Cy" w:hAnsi="Cy" w:cs="Calibri"/>
          <w:b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Podpora chytré a čisté mobility v Evropě</w:t>
      </w: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Autonomní mobilita (příprava doporučení pro posílení koordinačních aktivit na evropské úrovni)</w:t>
      </w:r>
    </w:p>
    <w:p w:rsidR="003945F7" w:rsidRDefault="003945F7" w:rsidP="003945F7">
      <w:pPr>
        <w:pStyle w:val="Odstavecseseznamem"/>
        <w:numPr>
          <w:ilvl w:val="1"/>
          <w:numId w:val="7"/>
        </w:numPr>
        <w:spacing w:after="160" w:line="259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Bezpečnost silničního provozu (významné téma pro ČR)</w:t>
      </w:r>
    </w:p>
    <w:p w:rsidR="003945F7" w:rsidRDefault="003945F7" w:rsidP="003945F7">
      <w:pPr>
        <w:pStyle w:val="Odstavecseseznamem"/>
        <w:spacing w:after="160" w:line="259" w:lineRule="auto"/>
        <w:jc w:val="left"/>
        <w:rPr>
          <w:rFonts w:ascii="Cy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9" w:lineRule="auto"/>
        <w:jc w:val="left"/>
        <w:rPr>
          <w:rFonts w:ascii="Cy" w:hAnsi="Cy" w:cs="Calibri"/>
          <w:sz w:val="24"/>
          <w:szCs w:val="24"/>
        </w:rPr>
      </w:pPr>
    </w:p>
    <w:p w:rsidR="003945F7" w:rsidRDefault="003945F7" w:rsidP="003945F7">
      <w:pPr>
        <w:rPr>
          <w:rFonts w:ascii="Cy" w:eastAsia="Calibri" w:hAnsi="Cy" w:cs="Calibri"/>
          <w:sz w:val="24"/>
          <w:szCs w:val="24"/>
          <w:lang w:eastAsia="en-US"/>
        </w:rPr>
      </w:pPr>
    </w:p>
    <w:p w:rsidR="003945F7" w:rsidRDefault="003945F7" w:rsidP="003945F7">
      <w:pPr>
        <w:rPr>
          <w:rFonts w:ascii="Cy" w:hAnsi="Cy" w:cs="Calibri"/>
          <w:b/>
          <w:sz w:val="36"/>
          <w:szCs w:val="24"/>
        </w:rPr>
      </w:pPr>
    </w:p>
    <w:p w:rsidR="003945F7" w:rsidRDefault="003945F7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0C1CDB" w:rsidRDefault="000C1CDB" w:rsidP="003945F7">
      <w:pPr>
        <w:rPr>
          <w:rFonts w:ascii="Cy" w:hAnsi="Cy" w:cs="Calibri"/>
          <w:b/>
          <w:sz w:val="36"/>
          <w:szCs w:val="24"/>
        </w:rPr>
      </w:pPr>
    </w:p>
    <w:p w:rsidR="003945F7" w:rsidRPr="003945F7" w:rsidRDefault="003945F7" w:rsidP="003945F7">
      <w:pPr>
        <w:rPr>
          <w:rFonts w:ascii="Cy" w:hAnsi="Cy" w:cs="Calibri"/>
          <w:b/>
          <w:sz w:val="36"/>
          <w:szCs w:val="24"/>
        </w:rPr>
      </w:pPr>
      <w:r w:rsidRPr="003945F7">
        <w:rPr>
          <w:rFonts w:ascii="Cy" w:hAnsi="Cy" w:cs="Calibri"/>
          <w:b/>
          <w:sz w:val="36"/>
          <w:szCs w:val="24"/>
        </w:rPr>
        <w:lastRenderedPageBreak/>
        <w:t>Kosmické priority</w:t>
      </w:r>
    </w:p>
    <w:p w:rsidR="003945F7" w:rsidRPr="003945F7" w:rsidRDefault="003945F7" w:rsidP="003945F7">
      <w:pPr>
        <w:rPr>
          <w:rFonts w:ascii="Cy" w:hAnsi="Cy" w:cs="Calibri"/>
          <w:b/>
          <w:bCs/>
          <w:sz w:val="24"/>
          <w:szCs w:val="24"/>
        </w:rPr>
      </w:pPr>
    </w:p>
    <w:p w:rsidR="003945F7" w:rsidRPr="003945F7" w:rsidRDefault="003945F7" w:rsidP="003945F7">
      <w:pPr>
        <w:numPr>
          <w:ilvl w:val="0"/>
          <w:numId w:val="9"/>
        </w:numPr>
        <w:spacing w:line="252" w:lineRule="auto"/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>Bezpečná konektivita</w:t>
      </w:r>
      <w:r w:rsidRPr="003945F7">
        <w:rPr>
          <w:rFonts w:ascii="Cy" w:hAnsi="Cy" w:cs="Calibri"/>
          <w:b/>
          <w:sz w:val="24"/>
          <w:szCs w:val="24"/>
        </w:rPr>
        <w:br/>
      </w:r>
    </w:p>
    <w:p w:rsidR="003945F7" w:rsidRPr="003945F7" w:rsidRDefault="003945F7" w:rsidP="003945F7">
      <w:pPr>
        <w:pStyle w:val="Odstavecseseznamem"/>
        <w:numPr>
          <w:ilvl w:val="0"/>
          <w:numId w:val="11"/>
        </w:numPr>
        <w:spacing w:after="160" w:line="252" w:lineRule="auto"/>
        <w:rPr>
          <w:rFonts w:ascii="Cy" w:eastAsia="Times New Roman" w:hAnsi="Cy" w:cs="Calibri"/>
          <w:sz w:val="24"/>
          <w:szCs w:val="24"/>
        </w:rPr>
      </w:pPr>
      <w:r w:rsidRPr="003945F7">
        <w:rPr>
          <w:rFonts w:ascii="Cy" w:eastAsia="Times New Roman" w:hAnsi="Cy" w:cs="Calibri"/>
          <w:sz w:val="24"/>
          <w:szCs w:val="24"/>
        </w:rPr>
        <w:t>Pokračování v projednávání návrhu nařízení k družicovému telekomunikačnímu systému Bezpečného spojení (bezpečné konektivitě)</w:t>
      </w:r>
      <w:r>
        <w:rPr>
          <w:rFonts w:ascii="Cy" w:eastAsia="Times New Roman" w:hAnsi="Cy" w:cs="Calibri"/>
          <w:sz w:val="24"/>
          <w:szCs w:val="24"/>
        </w:rPr>
        <w:t>.</w:t>
      </w:r>
      <w:r w:rsidRPr="003945F7">
        <w:rPr>
          <w:rFonts w:ascii="Cy" w:eastAsia="Times New Roman" w:hAnsi="Cy" w:cs="Calibri"/>
          <w:sz w:val="24"/>
          <w:szCs w:val="24"/>
        </w:rPr>
        <w:br/>
      </w:r>
    </w:p>
    <w:p w:rsidR="003945F7" w:rsidRPr="003945F7" w:rsidRDefault="003945F7" w:rsidP="003945F7">
      <w:pPr>
        <w:numPr>
          <w:ilvl w:val="0"/>
          <w:numId w:val="9"/>
        </w:numPr>
        <w:spacing w:line="252" w:lineRule="auto"/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 xml:space="preserve">Využívání dat z Unijních družicových systémů (EU </w:t>
      </w:r>
      <w:proofErr w:type="spellStart"/>
      <w:r w:rsidRPr="003945F7">
        <w:rPr>
          <w:rFonts w:ascii="Cy" w:hAnsi="Cy" w:cs="Calibri"/>
          <w:b/>
          <w:sz w:val="24"/>
          <w:szCs w:val="24"/>
        </w:rPr>
        <w:t>Space</w:t>
      </w:r>
      <w:proofErr w:type="spellEnd"/>
      <w:r w:rsidRPr="003945F7">
        <w:rPr>
          <w:rFonts w:ascii="Cy" w:hAnsi="Cy" w:cs="Calibri"/>
          <w:b/>
          <w:sz w:val="24"/>
          <w:szCs w:val="24"/>
        </w:rPr>
        <w:t xml:space="preserve"> Data </w:t>
      </w:r>
      <w:proofErr w:type="spellStart"/>
      <w:r w:rsidRPr="003945F7">
        <w:rPr>
          <w:rFonts w:ascii="Cy" w:hAnsi="Cy" w:cs="Calibri"/>
          <w:b/>
          <w:sz w:val="24"/>
          <w:szCs w:val="24"/>
        </w:rPr>
        <w:t>Exploitation</w:t>
      </w:r>
      <w:proofErr w:type="spellEnd"/>
      <w:r w:rsidRPr="003945F7">
        <w:rPr>
          <w:rFonts w:ascii="Cy" w:hAnsi="Cy" w:cs="Calibri"/>
          <w:b/>
          <w:sz w:val="24"/>
          <w:szCs w:val="24"/>
        </w:rPr>
        <w:t>)</w:t>
      </w:r>
      <w:r w:rsidRPr="003945F7">
        <w:rPr>
          <w:rFonts w:ascii="Cy" w:hAnsi="Cy" w:cs="Calibri"/>
          <w:b/>
          <w:sz w:val="24"/>
          <w:szCs w:val="24"/>
        </w:rPr>
        <w:br/>
      </w:r>
    </w:p>
    <w:p w:rsidR="003945F7" w:rsidRPr="003945F7" w:rsidRDefault="003945F7" w:rsidP="003945F7">
      <w:pPr>
        <w:pStyle w:val="Odstavecseseznamem"/>
        <w:numPr>
          <w:ilvl w:val="0"/>
          <w:numId w:val="10"/>
        </w:numPr>
        <w:spacing w:after="0" w:line="252" w:lineRule="auto"/>
        <w:rPr>
          <w:rFonts w:ascii="Cy" w:eastAsia="Times New Roman" w:hAnsi="Cy" w:cs="Calibri"/>
          <w:sz w:val="24"/>
          <w:szCs w:val="24"/>
        </w:rPr>
      </w:pPr>
      <w:r w:rsidRPr="003945F7">
        <w:rPr>
          <w:rFonts w:ascii="Cy" w:eastAsia="Times New Roman" w:hAnsi="Cy" w:cs="Calibri"/>
          <w:sz w:val="24"/>
          <w:szCs w:val="24"/>
        </w:rPr>
        <w:t>Zřejmě formou Návrh závěrů Rady</w:t>
      </w:r>
      <w:r w:rsidRPr="003945F7">
        <w:rPr>
          <w:rFonts w:ascii="Cy" w:eastAsia="Times New Roman" w:hAnsi="Cy" w:cs="Calibri"/>
          <w:color w:val="1F497D"/>
          <w:sz w:val="24"/>
          <w:szCs w:val="24"/>
        </w:rPr>
        <w:t xml:space="preserve"> </w:t>
      </w:r>
      <w:r w:rsidRPr="003945F7">
        <w:rPr>
          <w:rFonts w:ascii="Cy" w:eastAsia="Times New Roman" w:hAnsi="Cy" w:cs="Calibri"/>
          <w:sz w:val="24"/>
          <w:szCs w:val="24"/>
        </w:rPr>
        <w:t>nebo politické diskuse</w:t>
      </w:r>
      <w:r>
        <w:rPr>
          <w:rFonts w:ascii="Cy" w:eastAsia="Times New Roman" w:hAnsi="Cy" w:cs="Calibri"/>
          <w:sz w:val="24"/>
          <w:szCs w:val="24"/>
        </w:rPr>
        <w:t>.</w:t>
      </w:r>
      <w:r w:rsidRPr="003945F7">
        <w:rPr>
          <w:rFonts w:ascii="Cy" w:eastAsia="Times New Roman" w:hAnsi="Cy" w:cs="Calibri"/>
          <w:sz w:val="24"/>
          <w:szCs w:val="24"/>
        </w:rPr>
        <w:br/>
      </w:r>
    </w:p>
    <w:p w:rsidR="003945F7" w:rsidRPr="003945F7" w:rsidRDefault="003945F7" w:rsidP="003945F7">
      <w:pPr>
        <w:numPr>
          <w:ilvl w:val="0"/>
          <w:numId w:val="9"/>
        </w:numPr>
        <w:spacing w:line="252" w:lineRule="auto"/>
        <w:rPr>
          <w:rFonts w:ascii="Cy" w:hAnsi="Cy" w:cs="Calibri"/>
          <w:b/>
          <w:sz w:val="24"/>
          <w:szCs w:val="24"/>
        </w:rPr>
      </w:pPr>
      <w:r w:rsidRPr="003945F7">
        <w:rPr>
          <w:rFonts w:ascii="Cy" w:hAnsi="Cy" w:cs="Calibri"/>
          <w:b/>
          <w:sz w:val="24"/>
          <w:szCs w:val="24"/>
        </w:rPr>
        <w:t>Posílení evropské spolupráce v kosmických aktivitách</w:t>
      </w:r>
      <w:r w:rsidRPr="003945F7">
        <w:rPr>
          <w:rFonts w:ascii="Cy" w:hAnsi="Cy" w:cs="Calibri"/>
          <w:b/>
          <w:sz w:val="24"/>
          <w:szCs w:val="24"/>
        </w:rPr>
        <w:br/>
      </w:r>
    </w:p>
    <w:p w:rsidR="003945F7" w:rsidRDefault="003945F7" w:rsidP="003945F7">
      <w:pPr>
        <w:pStyle w:val="Odstavecseseznamem"/>
        <w:numPr>
          <w:ilvl w:val="0"/>
          <w:numId w:val="10"/>
        </w:numPr>
        <w:spacing w:after="160" w:line="252" w:lineRule="auto"/>
        <w:rPr>
          <w:rStyle w:val="normaltextrun"/>
          <w:rFonts w:ascii="Cy" w:eastAsia="Times New Roman" w:hAnsi="Cy" w:cs="Calibri"/>
          <w:sz w:val="24"/>
          <w:szCs w:val="24"/>
        </w:rPr>
      </w:pPr>
      <w:r w:rsidRPr="003945F7">
        <w:rPr>
          <w:rFonts w:ascii="Cy" w:eastAsia="Times New Roman" w:hAnsi="Cy" w:cs="Calibri"/>
          <w:sz w:val="24"/>
          <w:szCs w:val="24"/>
        </w:rPr>
        <w:t xml:space="preserve">Politická diskuse za účelem </w:t>
      </w:r>
      <w:r w:rsidRPr="003945F7">
        <w:rPr>
          <w:rStyle w:val="normaltextrun"/>
          <w:rFonts w:ascii="Cy" w:eastAsia="Times New Roman" w:hAnsi="Cy" w:cs="Calibri"/>
          <w:color w:val="000000"/>
          <w:sz w:val="24"/>
          <w:szCs w:val="24"/>
          <w:bdr w:val="none" w:sz="0" w:space="0" w:color="auto" w:frame="1"/>
        </w:rPr>
        <w:t>zlepšení informovanosti, porozumění a snazší dosažení společného směřování či postupu v tématech společného zájmu nejvýznamnějších evropských hráčů v oblasti kosmických aktivit</w:t>
      </w:r>
      <w:r w:rsidRPr="003945F7">
        <w:rPr>
          <w:rStyle w:val="normaltextrun"/>
          <w:rFonts w:ascii="Cy" w:eastAsia="Times New Roman" w:hAnsi="Cy" w:cs="Calibri"/>
          <w:sz w:val="24"/>
          <w:szCs w:val="24"/>
        </w:rPr>
        <w:t xml:space="preserve"> a také provazování kosmických aktivit s ostatními doménami (zejména v politikách EU)</w:t>
      </w:r>
      <w:r>
        <w:rPr>
          <w:rStyle w:val="normaltextrun"/>
          <w:rFonts w:ascii="Cy" w:eastAsia="Times New Roman" w:hAnsi="Cy" w:cs="Calibri"/>
          <w:sz w:val="24"/>
          <w:szCs w:val="24"/>
        </w:rPr>
        <w:t>.</w:t>
      </w: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Style w:val="normaltextrun"/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0C1CDB" w:rsidRDefault="000C1CDB" w:rsidP="003945F7">
      <w:pPr>
        <w:pStyle w:val="Odstavecseseznamem"/>
        <w:spacing w:after="160" w:line="252" w:lineRule="auto"/>
        <w:jc w:val="left"/>
        <w:rPr>
          <w:rFonts w:ascii="Cy" w:eastAsia="Times New Roman" w:hAnsi="Cy" w:cs="Calibri"/>
          <w:sz w:val="24"/>
          <w:szCs w:val="24"/>
        </w:rPr>
      </w:pPr>
    </w:p>
    <w:p w:rsidR="003945F7" w:rsidRDefault="003945F7" w:rsidP="003945F7">
      <w:pPr>
        <w:spacing w:line="252" w:lineRule="auto"/>
        <w:rPr>
          <w:rFonts w:ascii="Cy" w:hAnsi="Cy" w:cs="Calibri"/>
          <w:b/>
          <w:sz w:val="36"/>
          <w:szCs w:val="24"/>
        </w:rPr>
      </w:pPr>
      <w:bookmarkStart w:id="0" w:name="_GoBack"/>
      <w:bookmarkEnd w:id="0"/>
    </w:p>
    <w:p w:rsidR="003945F7" w:rsidRDefault="003945F7" w:rsidP="003945F7">
      <w:pPr>
        <w:spacing w:line="252" w:lineRule="auto"/>
        <w:rPr>
          <w:rFonts w:ascii="Cy" w:hAnsi="Cy" w:cs="Calibri"/>
          <w:b/>
          <w:sz w:val="36"/>
          <w:szCs w:val="24"/>
        </w:rPr>
      </w:pPr>
      <w:r w:rsidRPr="003945F7">
        <w:rPr>
          <w:rFonts w:ascii="Cy" w:hAnsi="Cy" w:cs="Calibri"/>
          <w:b/>
          <w:sz w:val="36"/>
          <w:szCs w:val="24"/>
        </w:rPr>
        <w:t>Na nejvyšší úrovni se chystá k Předsednictví několik akcí:</w:t>
      </w:r>
    </w:p>
    <w:p w:rsidR="003945F7" w:rsidRPr="003945F7" w:rsidRDefault="003945F7" w:rsidP="003945F7">
      <w:pPr>
        <w:spacing w:line="252" w:lineRule="auto"/>
        <w:rPr>
          <w:rFonts w:ascii="Cy" w:hAnsi="Cy" w:cs="Calibri"/>
          <w:b/>
          <w:sz w:val="36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06. 10. 2022 – zasedání Rady TTE ve formátu ministrů dopravy v Lucemburku</w:t>
      </w:r>
    </w:p>
    <w:p w:rsidR="003945F7" w:rsidRPr="003945F7" w:rsidRDefault="003945F7" w:rsidP="003945F7">
      <w:pPr>
        <w:pStyle w:val="Odstavecseseznamem"/>
        <w:spacing w:line="276" w:lineRule="auto"/>
        <w:ind w:left="1440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20. – 21. 10. 2022 – neformální zasedání Rady ministrů dopravy v Praze</w:t>
      </w:r>
    </w:p>
    <w:p w:rsidR="003945F7" w:rsidRPr="003945F7" w:rsidRDefault="003945F7" w:rsidP="003945F7">
      <w:pPr>
        <w:pStyle w:val="Odstavecseseznamem"/>
        <w:spacing w:line="276" w:lineRule="auto"/>
        <w:ind w:left="1440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7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2. 12. 2022 – zasedání Rady pro konkurenceschopnost, část vesmír („Rada EU pro vesmír“) v Bruselu</w:t>
      </w:r>
    </w:p>
    <w:p w:rsidR="003945F7" w:rsidRPr="003945F7" w:rsidRDefault="003945F7" w:rsidP="003945F7">
      <w:pPr>
        <w:pStyle w:val="Odstavecseseznamem"/>
        <w:spacing w:line="276" w:lineRule="auto"/>
        <w:ind w:left="1440"/>
        <w:rPr>
          <w:rFonts w:ascii="Cy" w:hAnsi="Cy" w:cs="Calibri"/>
          <w:sz w:val="24"/>
          <w:szCs w:val="24"/>
        </w:rPr>
      </w:pPr>
    </w:p>
    <w:p w:rsidR="003945F7" w:rsidRDefault="003945F7" w:rsidP="003945F7">
      <w:pPr>
        <w:pStyle w:val="Odstavecseseznamem"/>
        <w:numPr>
          <w:ilvl w:val="1"/>
          <w:numId w:val="7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>05. 12. 2022 – zasedání Rady TTE ve formátu ministrů dopravy v</w:t>
      </w:r>
      <w:r>
        <w:rPr>
          <w:rFonts w:ascii="Cy" w:hAnsi="Cy" w:cs="Calibri"/>
          <w:sz w:val="24"/>
          <w:szCs w:val="24"/>
        </w:rPr>
        <w:t> </w:t>
      </w:r>
      <w:r w:rsidRPr="003945F7">
        <w:rPr>
          <w:rFonts w:ascii="Cy" w:hAnsi="Cy" w:cs="Calibri"/>
          <w:sz w:val="24"/>
          <w:szCs w:val="24"/>
        </w:rPr>
        <w:t>Bruselu</w:t>
      </w:r>
    </w:p>
    <w:p w:rsidR="003945F7" w:rsidRPr="003945F7" w:rsidRDefault="003945F7" w:rsidP="003945F7">
      <w:pPr>
        <w:pStyle w:val="Odstavecseseznamem"/>
        <w:spacing w:after="160" w:line="276" w:lineRule="auto"/>
        <w:ind w:left="1440"/>
        <w:jc w:val="left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rPr>
          <w:rFonts w:cs="Calibri"/>
          <w:b/>
          <w:i/>
        </w:rPr>
      </w:pPr>
    </w:p>
    <w:p w:rsidR="003945F7" w:rsidRPr="003945F7" w:rsidRDefault="003945F7" w:rsidP="003945F7">
      <w:pPr>
        <w:spacing w:line="252" w:lineRule="auto"/>
        <w:rPr>
          <w:rFonts w:ascii="Cy" w:hAnsi="Cy" w:cs="Calibri"/>
          <w:b/>
          <w:sz w:val="36"/>
          <w:szCs w:val="24"/>
        </w:rPr>
      </w:pPr>
      <w:r w:rsidRPr="003945F7">
        <w:rPr>
          <w:rFonts w:ascii="Cy" w:hAnsi="Cy" w:cs="Calibri"/>
          <w:b/>
          <w:sz w:val="36"/>
          <w:szCs w:val="24"/>
        </w:rPr>
        <w:t>Pro veřejnost se v rámci Předsednictví na podzim chystá:</w:t>
      </w:r>
    </w:p>
    <w:p w:rsidR="003945F7" w:rsidRPr="003945F7" w:rsidRDefault="003945F7" w:rsidP="003945F7">
      <w:pPr>
        <w:pStyle w:val="Odstavecseseznamem"/>
        <w:spacing w:line="276" w:lineRule="auto"/>
        <w:ind w:left="1440"/>
        <w:rPr>
          <w:rFonts w:cs="Calibri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8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 xml:space="preserve">20. – 22. 09. 2022 – Městské dny mobility (Urban Mobility </w:t>
      </w:r>
      <w:proofErr w:type="spellStart"/>
      <w:r w:rsidRPr="003945F7">
        <w:rPr>
          <w:rFonts w:ascii="Cy" w:hAnsi="Cy" w:cs="Calibri"/>
          <w:sz w:val="24"/>
          <w:szCs w:val="24"/>
        </w:rPr>
        <w:t>Days</w:t>
      </w:r>
      <w:proofErr w:type="spellEnd"/>
      <w:r w:rsidRPr="003945F7">
        <w:rPr>
          <w:rFonts w:ascii="Cy" w:hAnsi="Cy" w:cs="Calibri"/>
          <w:sz w:val="24"/>
          <w:szCs w:val="24"/>
        </w:rPr>
        <w:t>) v Brně (důležité pro ČR hlavně z pohledu bezpečnosti silničního provozu)</w:t>
      </w:r>
    </w:p>
    <w:p w:rsidR="003945F7" w:rsidRPr="003945F7" w:rsidRDefault="003945F7" w:rsidP="003945F7">
      <w:pPr>
        <w:pStyle w:val="Odstavecseseznamem"/>
        <w:spacing w:line="276" w:lineRule="auto"/>
        <w:ind w:left="1440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8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 xml:space="preserve">02. – 06. 10. 2022 – </w:t>
      </w:r>
      <w:proofErr w:type="spellStart"/>
      <w:r w:rsidRPr="003945F7">
        <w:rPr>
          <w:rFonts w:ascii="Cy" w:hAnsi="Cy" w:cs="Calibri"/>
          <w:sz w:val="24"/>
          <w:szCs w:val="24"/>
        </w:rPr>
        <w:t>European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</w:t>
      </w:r>
      <w:proofErr w:type="spellStart"/>
      <w:r w:rsidRPr="003945F7">
        <w:rPr>
          <w:rFonts w:ascii="Cy" w:hAnsi="Cy" w:cs="Calibri"/>
          <w:sz w:val="24"/>
          <w:szCs w:val="24"/>
        </w:rPr>
        <w:t>Space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</w:t>
      </w:r>
      <w:proofErr w:type="spellStart"/>
      <w:r w:rsidRPr="003945F7">
        <w:rPr>
          <w:rFonts w:ascii="Cy" w:hAnsi="Cy" w:cs="Calibri"/>
          <w:sz w:val="24"/>
          <w:szCs w:val="24"/>
        </w:rPr>
        <w:t>Week</w:t>
      </w:r>
      <w:proofErr w:type="spellEnd"/>
    </w:p>
    <w:p w:rsidR="003945F7" w:rsidRPr="003945F7" w:rsidRDefault="003945F7" w:rsidP="003945F7">
      <w:pPr>
        <w:pStyle w:val="Odstavecseseznamem"/>
        <w:rPr>
          <w:rFonts w:ascii="Cy" w:hAnsi="Cy" w:cs="Calibri"/>
          <w:sz w:val="24"/>
          <w:szCs w:val="24"/>
        </w:rPr>
      </w:pPr>
    </w:p>
    <w:p w:rsidR="003945F7" w:rsidRPr="003945F7" w:rsidRDefault="003945F7" w:rsidP="003945F7">
      <w:pPr>
        <w:pStyle w:val="Odstavecseseznamem"/>
        <w:numPr>
          <w:ilvl w:val="1"/>
          <w:numId w:val="8"/>
        </w:numPr>
        <w:spacing w:after="160" w:line="276" w:lineRule="auto"/>
        <w:rPr>
          <w:rFonts w:ascii="Cy" w:hAnsi="Cy" w:cs="Calibri"/>
          <w:sz w:val="24"/>
          <w:szCs w:val="24"/>
        </w:rPr>
      </w:pPr>
      <w:r w:rsidRPr="003945F7">
        <w:rPr>
          <w:rFonts w:ascii="Cy" w:hAnsi="Cy" w:cs="Calibri"/>
          <w:sz w:val="24"/>
          <w:szCs w:val="24"/>
        </w:rPr>
        <w:t xml:space="preserve">28. 11. – 29. 11. EU </w:t>
      </w:r>
      <w:proofErr w:type="spellStart"/>
      <w:r w:rsidRPr="003945F7">
        <w:rPr>
          <w:rFonts w:ascii="Cy" w:hAnsi="Cy" w:cs="Calibri"/>
          <w:sz w:val="24"/>
          <w:szCs w:val="24"/>
        </w:rPr>
        <w:t>Space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Start-up </w:t>
      </w:r>
      <w:proofErr w:type="spellStart"/>
      <w:r w:rsidRPr="003945F7">
        <w:rPr>
          <w:rFonts w:ascii="Cy" w:hAnsi="Cy" w:cs="Calibri"/>
          <w:sz w:val="24"/>
          <w:szCs w:val="24"/>
        </w:rPr>
        <w:t>Conference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(podpora přenosu nových nápadů na využití družicových dat a služeb do praxe) a </w:t>
      </w:r>
      <w:proofErr w:type="spellStart"/>
      <w:r w:rsidRPr="003945F7">
        <w:rPr>
          <w:rFonts w:ascii="Cy" w:hAnsi="Cy" w:cs="Calibri"/>
          <w:sz w:val="24"/>
          <w:szCs w:val="24"/>
        </w:rPr>
        <w:t>Copernicus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User </w:t>
      </w:r>
      <w:proofErr w:type="spellStart"/>
      <w:r w:rsidRPr="003945F7">
        <w:rPr>
          <w:rFonts w:ascii="Cy" w:hAnsi="Cy" w:cs="Calibri"/>
          <w:sz w:val="24"/>
          <w:szCs w:val="24"/>
        </w:rPr>
        <w:t>Forum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(uživatelské fórum </w:t>
      </w:r>
      <w:proofErr w:type="spellStart"/>
      <w:r w:rsidRPr="003945F7">
        <w:rPr>
          <w:rFonts w:ascii="Cy" w:hAnsi="Cy" w:cs="Calibri"/>
          <w:sz w:val="24"/>
          <w:szCs w:val="24"/>
        </w:rPr>
        <w:t>Copernicus</w:t>
      </w:r>
      <w:proofErr w:type="spellEnd"/>
      <w:r w:rsidRPr="003945F7">
        <w:rPr>
          <w:rFonts w:ascii="Cy" w:hAnsi="Cy" w:cs="Calibri"/>
          <w:sz w:val="24"/>
          <w:szCs w:val="24"/>
        </w:rPr>
        <w:t xml:space="preserve"> – jak a k čemu lze využívat družicové snímky).</w:t>
      </w:r>
    </w:p>
    <w:p w:rsidR="00E437A4" w:rsidRPr="00D404C6" w:rsidRDefault="00E437A4" w:rsidP="003945F7">
      <w:pPr>
        <w:spacing w:after="120" w:line="276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sectPr w:rsidR="00E437A4" w:rsidRPr="00D404C6" w:rsidSect="00F308A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25" w:rsidRDefault="00850425">
      <w:r>
        <w:separator/>
      </w:r>
    </w:p>
  </w:endnote>
  <w:endnote w:type="continuationSeparator" w:id="0">
    <w:p w:rsidR="00850425" w:rsidRDefault="0085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y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7B" w:rsidRPr="00F308A4" w:rsidRDefault="00F6697B" w:rsidP="00F308A4">
    <w:pPr>
      <w:pStyle w:val="Zpat"/>
      <w:numPr>
        <w:ilvl w:val="0"/>
        <w:numId w:val="0"/>
      </w:numPr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F7" w:rsidRDefault="003945F7" w:rsidP="003945F7">
    <w:pPr>
      <w:pStyle w:val="Zpat"/>
      <w:numPr>
        <w:ilvl w:val="0"/>
        <w:numId w:val="0"/>
      </w:numPr>
    </w:pPr>
  </w:p>
  <w:p w:rsidR="003945F7" w:rsidRDefault="003945F7" w:rsidP="003945F7"/>
  <w:p w:rsidR="00F308A4" w:rsidRDefault="00F308A4" w:rsidP="000F1E37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25" w:rsidRDefault="00850425">
      <w:r>
        <w:separator/>
      </w:r>
    </w:p>
  </w:footnote>
  <w:footnote w:type="continuationSeparator" w:id="0">
    <w:p w:rsidR="00850425" w:rsidRDefault="0085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3945F7" w:rsidTr="00850425">
      <w:tc>
        <w:tcPr>
          <w:tcW w:w="6345" w:type="dxa"/>
          <w:shd w:val="clear" w:color="auto" w:fill="auto"/>
        </w:tcPr>
        <w:p w:rsidR="003945F7" w:rsidRPr="008A53C7" w:rsidRDefault="003945F7" w:rsidP="003945F7">
          <w:pPr>
            <w:tabs>
              <w:tab w:val="left" w:pos="1206"/>
            </w:tabs>
            <w:rPr>
              <w:rFonts w:ascii="Cy" w:hAnsi="Cy" w:cs="Arial"/>
              <w:sz w:val="44"/>
              <w:szCs w:val="40"/>
            </w:rPr>
          </w:pPr>
          <w:r>
            <w:rPr>
              <w:rFonts w:ascii="Cy" w:hAnsi="Cy" w:cs="Arial"/>
              <w:b/>
              <w:color w:val="1F497D"/>
              <w:sz w:val="44"/>
              <w:szCs w:val="40"/>
            </w:rPr>
            <w:t>Ministerstvo dopravy</w:t>
          </w:r>
          <w:r w:rsidRPr="008A53C7">
            <w:rPr>
              <w:rFonts w:ascii="Cy" w:hAnsi="Cy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:rsidR="003945F7" w:rsidRDefault="006D18B6" w:rsidP="003945F7">
          <w:pPr>
            <w:pStyle w:val="Zhlav"/>
            <w:jc w:val="right"/>
          </w:pPr>
          <w:r>
            <w:rPr>
              <w:rFonts w:cs="Arial"/>
              <w:bCs/>
              <w:iCs/>
              <w:noProof/>
              <w:color w:val="000000"/>
            </w:rPr>
            <w:drawing>
              <wp:inline distT="0" distB="0" distL="0" distR="0">
                <wp:extent cx="695325" cy="885825"/>
                <wp:effectExtent l="0" t="0" r="0" b="0"/>
                <wp:docPr id="2" name="obrázek 2" descr="Logo vertikální primár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kální primární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45F7" w:rsidRDefault="003945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Look w:val="04A0" w:firstRow="1" w:lastRow="0" w:firstColumn="1" w:lastColumn="0" w:noHBand="0" w:noVBand="1"/>
    </w:tblPr>
    <w:tblGrid>
      <w:gridCol w:w="3544"/>
    </w:tblGrid>
    <w:tr w:rsidR="003945F7" w:rsidTr="003945F7">
      <w:tc>
        <w:tcPr>
          <w:tcW w:w="3544" w:type="dxa"/>
          <w:shd w:val="clear" w:color="auto" w:fill="auto"/>
        </w:tcPr>
        <w:p w:rsidR="003945F7" w:rsidRDefault="003945F7" w:rsidP="00FC55C0">
          <w:pPr>
            <w:pStyle w:val="Zhlav"/>
            <w:jc w:val="right"/>
          </w:pPr>
        </w:p>
      </w:tc>
    </w:tr>
  </w:tbl>
  <w:p w:rsidR="00F308A4" w:rsidRPr="00626F3F" w:rsidRDefault="00F308A4" w:rsidP="00F308A4">
    <w:pPr>
      <w:pStyle w:val="Zhlav"/>
      <w:rPr>
        <w:rFonts w:ascii="Arial" w:hAnsi="Arial" w:cs="Arial"/>
        <w:sz w:val="22"/>
      </w:rPr>
    </w:pPr>
  </w:p>
  <w:p w:rsidR="00F308A4" w:rsidRDefault="00F308A4" w:rsidP="00F308A4">
    <w:pPr>
      <w:pStyle w:val="Zhlav"/>
      <w:rPr>
        <w:rFonts w:ascii="Arial" w:hAnsi="Arial" w:cs="Arial"/>
        <w:sz w:val="22"/>
      </w:rPr>
    </w:pPr>
  </w:p>
  <w:p w:rsidR="000F1E37" w:rsidRPr="00626F3F" w:rsidRDefault="000F1E37" w:rsidP="00F308A4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F728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F6872"/>
    <w:multiLevelType w:val="hybridMultilevel"/>
    <w:tmpl w:val="26223C62"/>
    <w:lvl w:ilvl="0" w:tplc="0405000F">
      <w:start w:val="1"/>
      <w:numFmt w:val="decimal"/>
      <w:pStyle w:val="Zpat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DC58A0"/>
    <w:multiLevelType w:val="hybridMultilevel"/>
    <w:tmpl w:val="7DB04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C2EC9"/>
    <w:multiLevelType w:val="hybridMultilevel"/>
    <w:tmpl w:val="0320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77EE"/>
    <w:multiLevelType w:val="hybridMultilevel"/>
    <w:tmpl w:val="A67A45B4"/>
    <w:lvl w:ilvl="0" w:tplc="9B6E67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D77DF"/>
    <w:multiLevelType w:val="hybridMultilevel"/>
    <w:tmpl w:val="D4985F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702A4D"/>
    <w:multiLevelType w:val="hybridMultilevel"/>
    <w:tmpl w:val="2B220064"/>
    <w:lvl w:ilvl="0" w:tplc="8B2A3B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C14"/>
    <w:multiLevelType w:val="hybridMultilevel"/>
    <w:tmpl w:val="C116F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B3370"/>
    <w:multiLevelType w:val="hybridMultilevel"/>
    <w:tmpl w:val="230E3D6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D6A1A37"/>
    <w:multiLevelType w:val="hybridMultilevel"/>
    <w:tmpl w:val="B3FC3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45DFB"/>
    <w:multiLevelType w:val="hybridMultilevel"/>
    <w:tmpl w:val="466862E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D"/>
    <w:rsid w:val="00041F19"/>
    <w:rsid w:val="000646A2"/>
    <w:rsid w:val="00085447"/>
    <w:rsid w:val="000A2702"/>
    <w:rsid w:val="000A2EE4"/>
    <w:rsid w:val="000A5407"/>
    <w:rsid w:val="000A57C1"/>
    <w:rsid w:val="000A6DFC"/>
    <w:rsid w:val="000B5C7B"/>
    <w:rsid w:val="000C1CDB"/>
    <w:rsid w:val="000C4CE0"/>
    <w:rsid w:val="000E4F5D"/>
    <w:rsid w:val="000F1E37"/>
    <w:rsid w:val="000F2CDD"/>
    <w:rsid w:val="000F67DE"/>
    <w:rsid w:val="001261F9"/>
    <w:rsid w:val="00136DAD"/>
    <w:rsid w:val="00147AE5"/>
    <w:rsid w:val="00150307"/>
    <w:rsid w:val="00182298"/>
    <w:rsid w:val="001964A4"/>
    <w:rsid w:val="001A15B4"/>
    <w:rsid w:val="001B01B8"/>
    <w:rsid w:val="001D0F16"/>
    <w:rsid w:val="00282E4D"/>
    <w:rsid w:val="002D32CE"/>
    <w:rsid w:val="00305F85"/>
    <w:rsid w:val="00316102"/>
    <w:rsid w:val="00324A39"/>
    <w:rsid w:val="0033696B"/>
    <w:rsid w:val="00382233"/>
    <w:rsid w:val="00384022"/>
    <w:rsid w:val="003945F7"/>
    <w:rsid w:val="003D0F18"/>
    <w:rsid w:val="003D3B71"/>
    <w:rsid w:val="00426EFE"/>
    <w:rsid w:val="00462D27"/>
    <w:rsid w:val="004837A0"/>
    <w:rsid w:val="00492FD5"/>
    <w:rsid w:val="004A39BB"/>
    <w:rsid w:val="004C0FA5"/>
    <w:rsid w:val="004C63ED"/>
    <w:rsid w:val="004D2CA1"/>
    <w:rsid w:val="004D2D5F"/>
    <w:rsid w:val="004D3BC8"/>
    <w:rsid w:val="004D7E51"/>
    <w:rsid w:val="004F4133"/>
    <w:rsid w:val="004F67E0"/>
    <w:rsid w:val="00513F96"/>
    <w:rsid w:val="005235F2"/>
    <w:rsid w:val="0055246E"/>
    <w:rsid w:val="0057073E"/>
    <w:rsid w:val="005716DB"/>
    <w:rsid w:val="005B3C7D"/>
    <w:rsid w:val="005E4608"/>
    <w:rsid w:val="006060B9"/>
    <w:rsid w:val="00612B4C"/>
    <w:rsid w:val="006175C5"/>
    <w:rsid w:val="00626F3F"/>
    <w:rsid w:val="006316C2"/>
    <w:rsid w:val="0066109C"/>
    <w:rsid w:val="00667924"/>
    <w:rsid w:val="00672DF7"/>
    <w:rsid w:val="006D18B6"/>
    <w:rsid w:val="006F311F"/>
    <w:rsid w:val="007237EF"/>
    <w:rsid w:val="007754D1"/>
    <w:rsid w:val="007A0367"/>
    <w:rsid w:val="007B67AE"/>
    <w:rsid w:val="007E4F85"/>
    <w:rsid w:val="0083026D"/>
    <w:rsid w:val="0083159E"/>
    <w:rsid w:val="00831BFA"/>
    <w:rsid w:val="00834983"/>
    <w:rsid w:val="0084009E"/>
    <w:rsid w:val="008408AA"/>
    <w:rsid w:val="00850425"/>
    <w:rsid w:val="00855010"/>
    <w:rsid w:val="0086431F"/>
    <w:rsid w:val="0087181F"/>
    <w:rsid w:val="00873E3F"/>
    <w:rsid w:val="008901C7"/>
    <w:rsid w:val="00892780"/>
    <w:rsid w:val="008A53C7"/>
    <w:rsid w:val="008B181D"/>
    <w:rsid w:val="008B37E6"/>
    <w:rsid w:val="008D0A62"/>
    <w:rsid w:val="008E1C8E"/>
    <w:rsid w:val="008E29B1"/>
    <w:rsid w:val="00901A7B"/>
    <w:rsid w:val="009037D9"/>
    <w:rsid w:val="009327C1"/>
    <w:rsid w:val="009437A0"/>
    <w:rsid w:val="00957881"/>
    <w:rsid w:val="009A5D07"/>
    <w:rsid w:val="009F64FF"/>
    <w:rsid w:val="009F7BB4"/>
    <w:rsid w:val="00A06995"/>
    <w:rsid w:val="00A35FE1"/>
    <w:rsid w:val="00A565DE"/>
    <w:rsid w:val="00AA155D"/>
    <w:rsid w:val="00AA5047"/>
    <w:rsid w:val="00AB4FDF"/>
    <w:rsid w:val="00AC2B73"/>
    <w:rsid w:val="00AE45D7"/>
    <w:rsid w:val="00B02483"/>
    <w:rsid w:val="00B33C6A"/>
    <w:rsid w:val="00B33DD6"/>
    <w:rsid w:val="00B378A5"/>
    <w:rsid w:val="00B43B2C"/>
    <w:rsid w:val="00B67B4C"/>
    <w:rsid w:val="00B73084"/>
    <w:rsid w:val="00B800F1"/>
    <w:rsid w:val="00B81E37"/>
    <w:rsid w:val="00B91B1C"/>
    <w:rsid w:val="00B965D2"/>
    <w:rsid w:val="00BA1D6E"/>
    <w:rsid w:val="00BA6CA5"/>
    <w:rsid w:val="00C110B8"/>
    <w:rsid w:val="00C1214C"/>
    <w:rsid w:val="00C37889"/>
    <w:rsid w:val="00C45C77"/>
    <w:rsid w:val="00C762FE"/>
    <w:rsid w:val="00CF18FA"/>
    <w:rsid w:val="00D3249D"/>
    <w:rsid w:val="00D404C6"/>
    <w:rsid w:val="00D40A34"/>
    <w:rsid w:val="00D550B7"/>
    <w:rsid w:val="00D64538"/>
    <w:rsid w:val="00D738C1"/>
    <w:rsid w:val="00D93F7C"/>
    <w:rsid w:val="00DB4424"/>
    <w:rsid w:val="00DE50C8"/>
    <w:rsid w:val="00DE5496"/>
    <w:rsid w:val="00E0159A"/>
    <w:rsid w:val="00E100F7"/>
    <w:rsid w:val="00E12C48"/>
    <w:rsid w:val="00E160FD"/>
    <w:rsid w:val="00E17D1B"/>
    <w:rsid w:val="00E437A4"/>
    <w:rsid w:val="00E6178F"/>
    <w:rsid w:val="00E77564"/>
    <w:rsid w:val="00EA0739"/>
    <w:rsid w:val="00EA3F0D"/>
    <w:rsid w:val="00EC02AF"/>
    <w:rsid w:val="00EC6EED"/>
    <w:rsid w:val="00EE47E1"/>
    <w:rsid w:val="00EF6182"/>
    <w:rsid w:val="00F03154"/>
    <w:rsid w:val="00F0656B"/>
    <w:rsid w:val="00F1405A"/>
    <w:rsid w:val="00F308A4"/>
    <w:rsid w:val="00F32D5D"/>
    <w:rsid w:val="00F6697B"/>
    <w:rsid w:val="00F67B22"/>
    <w:rsid w:val="00FA571A"/>
    <w:rsid w:val="00FC55C0"/>
    <w:rsid w:val="00FC7A4E"/>
    <w:rsid w:val="00FE1A7C"/>
    <w:rsid w:val="00FE319D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503D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5F7"/>
  </w:style>
  <w:style w:type="paragraph" w:styleId="Nadpis3">
    <w:name w:val="heading 3"/>
    <w:basedOn w:val="Normln"/>
    <w:next w:val="Normln"/>
    <w:qFormat/>
    <w:rsid w:val="00E12C48"/>
    <w:pPr>
      <w:keepNext/>
      <w:jc w:val="both"/>
      <w:outlineLvl w:val="2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C63ED"/>
    <w:pPr>
      <w:spacing w:before="120" w:line="360" w:lineRule="auto"/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rsid w:val="004C63ED"/>
    <w:pPr>
      <w:ind w:left="360"/>
      <w:jc w:val="both"/>
    </w:pPr>
    <w:rPr>
      <w:sz w:val="24"/>
    </w:rPr>
  </w:style>
  <w:style w:type="paragraph" w:customStyle="1" w:styleId="Popisky">
    <w:name w:val="Popisky"/>
    <w:rsid w:val="004C63ED"/>
    <w:rPr>
      <w:rFonts w:ascii="Arial" w:hAnsi="Arial"/>
    </w:rPr>
  </w:style>
  <w:style w:type="paragraph" w:styleId="Rozloendokumentu">
    <w:name w:val="Document Map"/>
    <w:basedOn w:val="Normln"/>
    <w:semiHidden/>
    <w:rsid w:val="00E12C48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rsid w:val="00D40A34"/>
    <w:pPr>
      <w:numPr>
        <w:numId w:val="1"/>
      </w:numPr>
      <w:tabs>
        <w:tab w:val="center" w:pos="4536"/>
        <w:tab w:val="right" w:pos="9072"/>
      </w:tabs>
      <w:ind w:left="0" w:firstLine="0"/>
    </w:pPr>
    <w:rPr>
      <w:sz w:val="24"/>
    </w:rPr>
  </w:style>
  <w:style w:type="character" w:styleId="slostrnky">
    <w:name w:val="page number"/>
    <w:basedOn w:val="Standardnpsmoodstavce"/>
    <w:rsid w:val="00D40A34"/>
  </w:style>
  <w:style w:type="paragraph" w:styleId="Zhlav">
    <w:name w:val="header"/>
    <w:basedOn w:val="Normln"/>
    <w:link w:val="ZhlavChar"/>
    <w:uiPriority w:val="99"/>
    <w:rsid w:val="00D40A3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40A3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26F3F"/>
  </w:style>
  <w:style w:type="character" w:styleId="Hypertextovodkaz">
    <w:name w:val="Hyperlink"/>
    <w:uiPriority w:val="99"/>
    <w:unhideWhenUsed/>
    <w:rsid w:val="00626F3F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01A7B"/>
    <w:rPr>
      <w:sz w:val="24"/>
    </w:rPr>
  </w:style>
  <w:style w:type="table" w:styleId="Mkatabulky">
    <w:name w:val="Table Grid"/>
    <w:basedOn w:val="Normlntabulka"/>
    <w:uiPriority w:val="39"/>
    <w:rsid w:val="00DB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571A"/>
    <w:pPr>
      <w:spacing w:after="120"/>
      <w:ind w:left="720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poznpodarouChar">
    <w:name w:val="Text pozn. pod čarou Char"/>
    <w:aliases w:val="Text pozn. pod čarou1 Char,Char Char Char1 Char,Schriftart: 9 pt Char Char,Schriftart: 10 pt Char Char,Schriftart: 8 pt Char Char,Schriftart: 9 pt Char1,Schriftart: 10 pt Char1,Schriftart: 8 pt Char1,Footnote Char Char,fn Char"/>
    <w:link w:val="Textpoznpodarou"/>
    <w:uiPriority w:val="99"/>
    <w:locked/>
    <w:rsid w:val="00B800F1"/>
    <w:rPr>
      <w:color w:val="000000"/>
      <w:lang w:val="en-GB" w:eastAsia="ar-SA"/>
    </w:rPr>
  </w:style>
  <w:style w:type="paragraph" w:styleId="Textpoznpodarou">
    <w:name w:val="footnote text"/>
    <w:aliases w:val="Text pozn. pod čarou1,Char Char Char1,Schriftart: 9 pt Char,Schriftart: 10 pt Char,Schriftart: 8 pt Char,Schriftart: 9 pt,Schriftart: 10 pt,Schriftart: 8 pt,Footnote Char,Fußnote Char,FSR footnote Char,lábléc Char,Plonk,Reference,fn"/>
    <w:basedOn w:val="Normln"/>
    <w:link w:val="TextpoznpodarouChar"/>
    <w:uiPriority w:val="99"/>
    <w:unhideWhenUsed/>
    <w:qFormat/>
    <w:rsid w:val="00B800F1"/>
    <w:pPr>
      <w:suppressLineNumbers/>
      <w:tabs>
        <w:tab w:val="left" w:pos="567"/>
      </w:tabs>
      <w:suppressAutoHyphens/>
      <w:spacing w:line="276" w:lineRule="auto"/>
      <w:ind w:left="720" w:hanging="720"/>
    </w:pPr>
    <w:rPr>
      <w:color w:val="000000"/>
      <w:lang w:val="en-GB" w:eastAsia="ar-SA"/>
    </w:rPr>
  </w:style>
  <w:style w:type="character" w:customStyle="1" w:styleId="TextpoznpodarouChar1">
    <w:name w:val="Text pozn. pod čarou Char1"/>
    <w:basedOn w:val="Standardnpsmoodstavce"/>
    <w:rsid w:val="00B800F1"/>
  </w:style>
  <w:style w:type="character" w:styleId="Znakapoznpodarou">
    <w:name w:val="footnote reference"/>
    <w:aliases w:val="BVI fnr,Footnote symbol,Footnote call,SUPERS,Footnote,Footnote Reference Superscript,(Footnote Reference),Footnote reference number,note TESI,EN Footnote Reference,Voetnootverwijzing,Times 10 Point,Exposant 3 Point,stylish,E FNZ,R"/>
    <w:link w:val="FootnotesymbolCarZchn"/>
    <w:uiPriority w:val="99"/>
    <w:unhideWhenUsed/>
    <w:qFormat/>
    <w:rsid w:val="00B800F1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B800F1"/>
    <w:pPr>
      <w:spacing w:after="160" w:line="240" w:lineRule="exact"/>
      <w:jc w:val="both"/>
    </w:pPr>
    <w:rPr>
      <w:vertAlign w:val="superscript"/>
    </w:rPr>
  </w:style>
  <w:style w:type="paragraph" w:styleId="Podnadpis">
    <w:name w:val="Subtitle"/>
    <w:aliases w:val="TEXT – TABULKA"/>
    <w:next w:val="Normln"/>
    <w:link w:val="PodnadpisChar"/>
    <w:uiPriority w:val="11"/>
    <w:qFormat/>
    <w:rsid w:val="008A53C7"/>
    <w:pPr>
      <w:numPr>
        <w:ilvl w:val="1"/>
      </w:numPr>
      <w:spacing w:after="160"/>
    </w:pPr>
    <w:rPr>
      <w:rFonts w:ascii="Open Sans" w:hAnsi="Open Sans"/>
      <w:spacing w:val="15"/>
      <w:sz w:val="22"/>
      <w:szCs w:val="22"/>
      <w:lang w:eastAsia="en-US"/>
    </w:rPr>
  </w:style>
  <w:style w:type="character" w:customStyle="1" w:styleId="PodnadpisChar">
    <w:name w:val="Podnadpis Char"/>
    <w:aliases w:val="TEXT – TABULKA Char"/>
    <w:link w:val="Podnadpis"/>
    <w:uiPriority w:val="11"/>
    <w:rsid w:val="008A53C7"/>
    <w:rPr>
      <w:rFonts w:ascii="Open Sans" w:hAnsi="Open Sans"/>
      <w:spacing w:val="15"/>
      <w:sz w:val="22"/>
      <w:szCs w:val="22"/>
      <w:lang w:eastAsia="en-US"/>
    </w:rPr>
  </w:style>
  <w:style w:type="character" w:customStyle="1" w:styleId="normaltextrun">
    <w:name w:val="normaltextrun"/>
    <w:rsid w:val="0039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97D0E443AE5743ACB6C5DD2A182C1A" ma:contentTypeVersion="10" ma:contentTypeDescription="Vytvoří nový dokument" ma:contentTypeScope="" ma:versionID="9cc6c51cc67d3e3a3f18617404b7b5bd">
  <xsd:schema xmlns:xsd="http://www.w3.org/2001/XMLSchema" xmlns:xs="http://www.w3.org/2001/XMLSchema" xmlns:p="http://schemas.microsoft.com/office/2006/metadata/properties" xmlns:ns2="e28afefe-e8ea-42a7-97a6-9b0a9cec71a5" xmlns:ns3="febbf18c-0139-47d6-b102-97191c658564" targetNamespace="http://schemas.microsoft.com/office/2006/metadata/properties" ma:root="true" ma:fieldsID="6b932462cdd061a2725b6e116d853f16" ns2:_="" ns3:_="">
    <xsd:import namespace="e28afefe-e8ea-42a7-97a6-9b0a9cec71a5"/>
    <xsd:import namespace="febbf18c-0139-47d6-b102-97191c658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fefe-e8ea-42a7-97a6-9b0a9cec7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78b1145-2734-4df0-b252-269a63a62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f18c-0139-47d6-b102-97191c6585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2b303-16ad-4b0b-afaf-e3bc42fc28bc}" ma:internalName="TaxCatchAll" ma:showField="CatchAllData" ma:web="febbf18c-0139-47d6-b102-97191c658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afefe-e8ea-42a7-97a6-9b0a9cec71a5">
      <Terms xmlns="http://schemas.microsoft.com/office/infopath/2007/PartnerControls"/>
    </lcf76f155ced4ddcb4097134ff3c332f>
    <TaxCatchAll xmlns="febbf18c-0139-47d6-b102-97191c65856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552E-BA01-4154-AD45-5CAC2D7E1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0AB18-591F-49B6-8344-41A1D798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fefe-e8ea-42a7-97a6-9b0a9cec71a5"/>
    <ds:schemaRef ds:uri="febbf18c-0139-47d6-b102-97191c658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BAF8B-DDF5-4436-87FF-494C40CD774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febbf18c-0139-47d6-b102-97191c658564"/>
    <ds:schemaRef ds:uri="e28afefe-e8ea-42a7-97a6-9b0a9cec71a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74A260-F3E3-4947-A53D-E669B0E3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2022-06-23T14:20:00Z</dcterms:created>
  <dcterms:modified xsi:type="dcterms:W3CDTF">2022-06-23T14:23:00Z</dcterms:modified>
</cp:coreProperties>
</file>