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23827" w14:textId="21EC218B" w:rsidR="00CD68C2" w:rsidRPr="00B2656D" w:rsidRDefault="00B2656D" w:rsidP="00CD68C2">
      <w:pPr>
        <w:pStyle w:val="Nadpis2"/>
        <w:rPr>
          <w:sz w:val="36"/>
          <w:szCs w:val="36"/>
          <w:lang w:val="en-GB"/>
        </w:rPr>
      </w:pPr>
      <w:r w:rsidRPr="00B2656D">
        <w:rPr>
          <w:rFonts w:eastAsia="Times New Roman"/>
          <w:sz w:val="36"/>
          <w:szCs w:val="36"/>
        </w:rPr>
        <w:t xml:space="preserve">Measures reacting to energy crisis in railway sector  </w:t>
      </w:r>
    </w:p>
    <w:p w14:paraId="15E0D868" w14:textId="77777777" w:rsidR="00CD68C2" w:rsidRPr="00B2656D" w:rsidRDefault="00CD68C2" w:rsidP="007814D1">
      <w:pPr>
        <w:rPr>
          <w:rFonts w:cs="Open Sans"/>
          <w:sz w:val="20"/>
          <w:szCs w:val="20"/>
          <w:lang w:val="en-GB"/>
        </w:rPr>
      </w:pPr>
      <w:r w:rsidRPr="00B2656D">
        <w:rPr>
          <w:rFonts w:cs="Open Sans"/>
          <w:sz w:val="20"/>
          <w:szCs w:val="20"/>
          <w:lang w:val="en-GB"/>
        </w:rPr>
        <w:t xml:space="preserve">As the rising prices of energy are challenging the outcome of the revision of the TEN-T, the Member States and the European Commission have discussed measures leading to saving electricity in the field of railway transport. </w:t>
      </w:r>
      <w:r w:rsidR="007814D1" w:rsidRPr="00B2656D">
        <w:rPr>
          <w:rFonts w:cs="Open Sans"/>
          <w:sz w:val="20"/>
          <w:szCs w:val="20"/>
          <w:lang w:val="en-GB"/>
        </w:rPr>
        <w:t xml:space="preserve">Despite the rising energy prices there is a general consensus to continue further the electrification of European railway network and continue in further development of sustainable and resilient railway network, including big cross-border projects of High-Speed Lines. </w:t>
      </w:r>
    </w:p>
    <w:p w14:paraId="6DDAD603" w14:textId="4D043682" w:rsidR="00CD68C2" w:rsidRPr="00B2656D" w:rsidRDefault="00CD68C2" w:rsidP="00B2656D">
      <w:pPr>
        <w:spacing w:after="0"/>
        <w:rPr>
          <w:rFonts w:cs="Open Sans"/>
          <w:sz w:val="20"/>
          <w:szCs w:val="20"/>
          <w:lang w:val="en-GB"/>
        </w:rPr>
      </w:pPr>
      <w:r w:rsidRPr="00B2656D">
        <w:rPr>
          <w:rFonts w:cs="Open Sans"/>
          <w:sz w:val="20"/>
          <w:szCs w:val="20"/>
          <w:lang w:val="en-GB"/>
        </w:rPr>
        <w:t>The list of possible measures includes:</w:t>
      </w:r>
    </w:p>
    <w:p w14:paraId="73F02938" w14:textId="77777777" w:rsidR="00E26E1C" w:rsidRDefault="00CD68C2" w:rsidP="00B2656D">
      <w:pPr>
        <w:pStyle w:val="Odstavecseseznamem"/>
        <w:numPr>
          <w:ilvl w:val="0"/>
          <w:numId w:val="7"/>
        </w:numPr>
        <w:spacing w:after="0"/>
        <w:rPr>
          <w:rFonts w:cs="Open Sans"/>
          <w:sz w:val="20"/>
          <w:szCs w:val="20"/>
          <w:lang w:val="en-GB"/>
        </w:rPr>
      </w:pPr>
      <w:r w:rsidRPr="00B2656D">
        <w:rPr>
          <w:rFonts w:cs="Open Sans"/>
          <w:sz w:val="20"/>
          <w:szCs w:val="20"/>
          <w:lang w:val="en-GB"/>
        </w:rPr>
        <w:t xml:space="preserve">modern locomotives with recuperation </w:t>
      </w:r>
    </w:p>
    <w:p w14:paraId="7F511A53" w14:textId="00163311" w:rsidR="00CD68C2" w:rsidRPr="00B2656D" w:rsidRDefault="0025657D" w:rsidP="00B2656D">
      <w:pPr>
        <w:pStyle w:val="Odstavecseseznamem"/>
        <w:numPr>
          <w:ilvl w:val="0"/>
          <w:numId w:val="7"/>
        </w:numPr>
        <w:spacing w:after="0"/>
        <w:rPr>
          <w:rFonts w:cs="Open Sans"/>
          <w:sz w:val="20"/>
          <w:szCs w:val="20"/>
          <w:lang w:val="en-GB"/>
        </w:rPr>
      </w:pPr>
      <w:r>
        <w:rPr>
          <w:rFonts w:cs="Open Sans"/>
          <w:sz w:val="20"/>
          <w:szCs w:val="20"/>
          <w:lang w:val="en-GB"/>
        </w:rPr>
        <w:t xml:space="preserve">mandatory </w:t>
      </w:r>
      <w:r w:rsidR="00CD68C2" w:rsidRPr="00B2656D">
        <w:rPr>
          <w:rFonts w:cs="Open Sans"/>
          <w:sz w:val="20"/>
          <w:szCs w:val="20"/>
          <w:lang w:val="en-GB"/>
        </w:rPr>
        <w:t xml:space="preserve">measurement </w:t>
      </w:r>
      <w:r w:rsidR="00A26E30">
        <w:rPr>
          <w:rFonts w:cs="Open Sans"/>
          <w:sz w:val="20"/>
          <w:szCs w:val="20"/>
          <w:lang w:val="en-GB"/>
        </w:rPr>
        <w:t>systems</w:t>
      </w:r>
      <w:r w:rsidR="00CD68C2" w:rsidRPr="00B2656D">
        <w:rPr>
          <w:rFonts w:cs="Open Sans"/>
          <w:sz w:val="20"/>
          <w:szCs w:val="20"/>
          <w:lang w:val="en-GB"/>
        </w:rPr>
        <w:t xml:space="preserve"> of energy consumption </w:t>
      </w:r>
    </w:p>
    <w:p w14:paraId="656BD3AB" w14:textId="77777777" w:rsidR="00CD68C2" w:rsidRPr="00B2656D" w:rsidRDefault="00CD68C2" w:rsidP="00B2656D">
      <w:pPr>
        <w:pStyle w:val="Odstavecseseznamem"/>
        <w:numPr>
          <w:ilvl w:val="0"/>
          <w:numId w:val="7"/>
        </w:numPr>
        <w:spacing w:after="0"/>
        <w:rPr>
          <w:rFonts w:cs="Open Sans"/>
          <w:sz w:val="20"/>
          <w:szCs w:val="20"/>
          <w:lang w:val="en-GB"/>
        </w:rPr>
      </w:pPr>
      <w:r w:rsidRPr="00B2656D">
        <w:rPr>
          <w:rFonts w:cs="Open Sans"/>
          <w:sz w:val="20"/>
          <w:szCs w:val="20"/>
          <w:lang w:val="en-GB"/>
        </w:rPr>
        <w:t>ensuring more smooth running of trains – capacity management, passing through restrictions, regenerative braking systems</w:t>
      </w:r>
    </w:p>
    <w:p w14:paraId="74A42826" w14:textId="77777777" w:rsidR="00CD68C2" w:rsidRPr="00B2656D" w:rsidRDefault="00CD68C2" w:rsidP="00B2656D">
      <w:pPr>
        <w:pStyle w:val="Odstavecseseznamem"/>
        <w:numPr>
          <w:ilvl w:val="0"/>
          <w:numId w:val="7"/>
        </w:numPr>
        <w:spacing w:after="0"/>
        <w:jc w:val="left"/>
        <w:rPr>
          <w:rFonts w:cs="Open Sans"/>
          <w:sz w:val="20"/>
          <w:szCs w:val="20"/>
          <w:lang w:val="en-GB"/>
        </w:rPr>
      </w:pPr>
      <w:r w:rsidRPr="00B2656D">
        <w:rPr>
          <w:rFonts w:cs="Open Sans"/>
          <w:sz w:val="20"/>
          <w:szCs w:val="20"/>
          <w:lang w:val="en-GB"/>
        </w:rPr>
        <w:t xml:space="preserve">energy reduction programmes </w:t>
      </w:r>
    </w:p>
    <w:p w14:paraId="58A5429F" w14:textId="77777777" w:rsidR="00CD68C2" w:rsidRPr="00B2656D" w:rsidRDefault="00CD68C2" w:rsidP="00B2656D">
      <w:pPr>
        <w:pStyle w:val="Odstavecseseznamem"/>
        <w:numPr>
          <w:ilvl w:val="0"/>
          <w:numId w:val="7"/>
        </w:numPr>
        <w:spacing w:after="0"/>
        <w:rPr>
          <w:rFonts w:cs="Open Sans"/>
          <w:sz w:val="20"/>
          <w:szCs w:val="20"/>
          <w:lang w:val="en-GB"/>
        </w:rPr>
      </w:pPr>
      <w:r w:rsidRPr="00B2656D">
        <w:rPr>
          <w:rFonts w:cs="Open Sans"/>
          <w:sz w:val="20"/>
          <w:szCs w:val="20"/>
          <w:lang w:val="en-GB"/>
        </w:rPr>
        <w:t xml:space="preserve">replacement of lighting (to use LEDs) at railway stations, in lighting for station tracks or shunting areas </w:t>
      </w:r>
    </w:p>
    <w:p w14:paraId="56F9C1AD" w14:textId="77777777" w:rsidR="00CD68C2" w:rsidRPr="00B2656D" w:rsidRDefault="00CD68C2" w:rsidP="00B2656D">
      <w:pPr>
        <w:pStyle w:val="Odstavecseseznamem"/>
        <w:numPr>
          <w:ilvl w:val="0"/>
          <w:numId w:val="7"/>
        </w:numPr>
        <w:spacing w:after="0"/>
        <w:rPr>
          <w:rFonts w:cs="Open Sans"/>
          <w:sz w:val="20"/>
          <w:szCs w:val="20"/>
          <w:lang w:val="en-GB"/>
        </w:rPr>
      </w:pPr>
      <w:r w:rsidRPr="00B2656D">
        <w:rPr>
          <w:rFonts w:cs="Open Sans"/>
          <w:sz w:val="20"/>
          <w:szCs w:val="20"/>
          <w:lang w:val="en-GB"/>
        </w:rPr>
        <w:t>effective management of electric heating of switches</w:t>
      </w:r>
    </w:p>
    <w:p w14:paraId="4687E39D" w14:textId="77777777" w:rsidR="00CD68C2" w:rsidRPr="00B2656D" w:rsidRDefault="00CD68C2" w:rsidP="00B2656D">
      <w:pPr>
        <w:pStyle w:val="Odstavecseseznamem"/>
        <w:numPr>
          <w:ilvl w:val="0"/>
          <w:numId w:val="7"/>
        </w:numPr>
        <w:spacing w:after="0"/>
        <w:rPr>
          <w:rFonts w:cs="Open Sans"/>
          <w:sz w:val="20"/>
          <w:szCs w:val="20"/>
          <w:lang w:val="en-GB"/>
        </w:rPr>
      </w:pPr>
      <w:r w:rsidRPr="00B2656D">
        <w:rPr>
          <w:rFonts w:cs="Open Sans"/>
          <w:sz w:val="20"/>
          <w:szCs w:val="20"/>
          <w:lang w:val="en-GB"/>
        </w:rPr>
        <w:t>use of local sources of energy saving</w:t>
      </w:r>
    </w:p>
    <w:p w14:paraId="6633C8BD" w14:textId="77777777" w:rsidR="00CD68C2" w:rsidRPr="00B2656D" w:rsidRDefault="00CD68C2" w:rsidP="00B2656D">
      <w:pPr>
        <w:pStyle w:val="Odstavecseseznamem"/>
        <w:numPr>
          <w:ilvl w:val="0"/>
          <w:numId w:val="7"/>
        </w:numPr>
        <w:spacing w:after="0"/>
        <w:rPr>
          <w:rFonts w:cs="Open Sans"/>
          <w:sz w:val="20"/>
          <w:szCs w:val="20"/>
          <w:lang w:val="en-GB"/>
        </w:rPr>
      </w:pPr>
      <w:r w:rsidRPr="00B2656D">
        <w:rPr>
          <w:rFonts w:cs="Open Sans"/>
          <w:sz w:val="20"/>
          <w:szCs w:val="20"/>
          <w:lang w:val="en-GB"/>
        </w:rPr>
        <w:t>clean energy projects investments</w:t>
      </w:r>
    </w:p>
    <w:p w14:paraId="6BA8D82B" w14:textId="77777777" w:rsidR="00CD68C2" w:rsidRPr="00B2656D" w:rsidRDefault="00CD68C2" w:rsidP="00B2656D">
      <w:pPr>
        <w:pStyle w:val="Odstavecseseznamem"/>
        <w:numPr>
          <w:ilvl w:val="0"/>
          <w:numId w:val="7"/>
        </w:numPr>
        <w:spacing w:after="0"/>
        <w:jc w:val="left"/>
        <w:rPr>
          <w:rFonts w:cs="Open Sans"/>
          <w:sz w:val="20"/>
          <w:szCs w:val="20"/>
          <w:lang w:val="en-GB"/>
        </w:rPr>
      </w:pPr>
      <w:r w:rsidRPr="00B2656D">
        <w:rPr>
          <w:rFonts w:cs="Open Sans"/>
          <w:sz w:val="20"/>
          <w:szCs w:val="20"/>
          <w:lang w:val="en-GB"/>
        </w:rPr>
        <w:t>new permanent sources as a helper to face an energy crisis (covering use of nuclear power sources)</w:t>
      </w:r>
    </w:p>
    <w:p w14:paraId="4779DDD6" w14:textId="77777777" w:rsidR="00CD68C2" w:rsidRPr="00B2656D" w:rsidRDefault="00CD68C2" w:rsidP="00B2656D">
      <w:pPr>
        <w:pStyle w:val="Odstavecseseznamem"/>
        <w:numPr>
          <w:ilvl w:val="0"/>
          <w:numId w:val="7"/>
        </w:numPr>
        <w:spacing w:after="0"/>
        <w:jc w:val="left"/>
        <w:rPr>
          <w:rFonts w:cs="Open Sans"/>
          <w:sz w:val="20"/>
          <w:szCs w:val="20"/>
          <w:lang w:val="en-GB"/>
        </w:rPr>
      </w:pPr>
      <w:r w:rsidRPr="00B2656D">
        <w:rPr>
          <w:rFonts w:cs="Open Sans"/>
          <w:sz w:val="20"/>
          <w:szCs w:val="20"/>
          <w:lang w:val="en-GB"/>
        </w:rPr>
        <w:t>unification of power supply systems (to AC)</w:t>
      </w:r>
    </w:p>
    <w:p w14:paraId="29402A18" w14:textId="77777777" w:rsidR="00CD68C2" w:rsidRPr="00B2656D" w:rsidRDefault="00CD68C2" w:rsidP="00B2656D">
      <w:pPr>
        <w:pStyle w:val="Odstavecseseznamem"/>
        <w:numPr>
          <w:ilvl w:val="0"/>
          <w:numId w:val="7"/>
        </w:numPr>
        <w:spacing w:after="0"/>
        <w:jc w:val="left"/>
        <w:rPr>
          <w:rFonts w:cs="Open Sans"/>
          <w:sz w:val="20"/>
          <w:szCs w:val="20"/>
          <w:lang w:val="en-GB"/>
        </w:rPr>
      </w:pPr>
      <w:r w:rsidRPr="00B2656D">
        <w:rPr>
          <w:rFonts w:cs="Open Sans"/>
          <w:sz w:val="20"/>
          <w:szCs w:val="20"/>
          <w:lang w:val="en-GB"/>
        </w:rPr>
        <w:t>compensations and other support for rail operators</w:t>
      </w:r>
    </w:p>
    <w:p w14:paraId="1D9B9BE9" w14:textId="77777777" w:rsidR="00CD68C2" w:rsidRPr="00B2656D" w:rsidRDefault="00CD68C2" w:rsidP="00B2656D">
      <w:pPr>
        <w:pStyle w:val="Odstavecseseznamem"/>
        <w:numPr>
          <w:ilvl w:val="0"/>
          <w:numId w:val="7"/>
        </w:numPr>
        <w:spacing w:after="0"/>
        <w:jc w:val="left"/>
        <w:rPr>
          <w:rFonts w:cs="Open Sans"/>
          <w:sz w:val="20"/>
          <w:szCs w:val="20"/>
          <w:lang w:val="en-GB"/>
        </w:rPr>
      </w:pPr>
      <w:r w:rsidRPr="00B2656D">
        <w:rPr>
          <w:rFonts w:cs="Open Sans"/>
          <w:sz w:val="20"/>
          <w:szCs w:val="20"/>
          <w:lang w:val="en-GB"/>
        </w:rPr>
        <w:t>support towards public transport within the PSO</w:t>
      </w:r>
    </w:p>
    <w:p w14:paraId="75B8EE2B" w14:textId="77777777" w:rsidR="00CD68C2" w:rsidRDefault="00CD68C2" w:rsidP="00CD68C2">
      <w:pPr>
        <w:spacing w:before="120" w:after="0" w:line="276" w:lineRule="auto"/>
        <w:ind w:left="360"/>
        <w:rPr>
          <w:rFonts w:ascii="Garamond" w:hAnsi="Garamond"/>
          <w:sz w:val="24"/>
          <w:szCs w:val="24"/>
          <w:lang w:val="en-GB"/>
        </w:rPr>
      </w:pPr>
    </w:p>
    <w:p w14:paraId="5295CE1F" w14:textId="77777777" w:rsidR="00CD68C2" w:rsidRDefault="00CD68C2" w:rsidP="00CD68C2">
      <w:pPr>
        <w:spacing w:before="120" w:after="0" w:line="276" w:lineRule="auto"/>
        <w:ind w:left="360"/>
        <w:rPr>
          <w:rFonts w:ascii="Garamond" w:hAnsi="Garamond"/>
          <w:sz w:val="24"/>
          <w:szCs w:val="24"/>
          <w:lang w:val="en-GB"/>
        </w:rPr>
      </w:pPr>
    </w:p>
    <w:p w14:paraId="581167AF" w14:textId="77777777" w:rsidR="00CD68C2" w:rsidRPr="00BD2D1E" w:rsidRDefault="00CD68C2" w:rsidP="00CD68C2">
      <w:pPr>
        <w:spacing w:before="120" w:after="0" w:line="276" w:lineRule="auto"/>
        <w:ind w:left="360"/>
        <w:rPr>
          <w:rFonts w:ascii="Garamond" w:hAnsi="Garamond"/>
          <w:sz w:val="24"/>
          <w:szCs w:val="24"/>
          <w:lang w:val="en-GB"/>
        </w:rPr>
      </w:pPr>
    </w:p>
    <w:p w14:paraId="2EC3780C" w14:textId="77777777" w:rsidR="00F80ACE" w:rsidRPr="00D63662" w:rsidRDefault="00F80ACE" w:rsidP="00D63662">
      <w:pPr>
        <w:rPr>
          <w:sz w:val="20"/>
        </w:rPr>
      </w:pPr>
    </w:p>
    <w:sectPr w:rsidR="00F80ACE" w:rsidRPr="00D63662" w:rsidSect="00047446">
      <w:headerReference w:type="default" r:id="rId10"/>
      <w:footerReference w:type="default" r:id="rId11"/>
      <w:pgSz w:w="11906" w:h="16838"/>
      <w:pgMar w:top="226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41481" w14:textId="77777777" w:rsidR="00EF6A3F" w:rsidRDefault="00EF6A3F" w:rsidP="00412F4E">
      <w:pPr>
        <w:spacing w:after="0" w:line="240" w:lineRule="auto"/>
      </w:pPr>
      <w:r>
        <w:separator/>
      </w:r>
    </w:p>
  </w:endnote>
  <w:endnote w:type="continuationSeparator" w:id="0">
    <w:p w14:paraId="2DC2438C" w14:textId="77777777" w:rsidR="00EF6A3F" w:rsidRDefault="00EF6A3F" w:rsidP="00412F4E">
      <w:pPr>
        <w:spacing w:after="0" w:line="240" w:lineRule="auto"/>
      </w:pPr>
      <w:r>
        <w:continuationSeparator/>
      </w:r>
    </w:p>
  </w:endnote>
  <w:endnote w:type="continuationNotice" w:id="1">
    <w:p w14:paraId="5209C226" w14:textId="77777777" w:rsidR="00EF6A3F" w:rsidRDefault="00EF6A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y">
    <w:altName w:val="Calibri"/>
    <w:panose1 w:val="00000000000000000000"/>
    <w:charset w:val="00"/>
    <w:family w:val="modern"/>
    <w:notTrueType/>
    <w:pitch w:val="variable"/>
    <w:sig w:usb0="A000003F" w:usb1="5000204B" w:usb2="00000000" w:usb3="00000000" w:csb0="00000093" w:csb1="00000000"/>
  </w:font>
  <w:font w:name="Minion Pro">
    <w:altName w:val="Cambria Math"/>
    <w:charset w:val="00"/>
    <w:family w:val="roman"/>
    <w:pitch w:val="variable"/>
    <w:sig w:usb0="00000001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ABE5910" w14:paraId="09F96B59" w14:textId="77777777" w:rsidTr="1ABE5910">
      <w:tc>
        <w:tcPr>
          <w:tcW w:w="3020" w:type="dxa"/>
        </w:tcPr>
        <w:p w14:paraId="7176BCC0" w14:textId="77777777" w:rsidR="1ABE5910" w:rsidRDefault="1ABE5910" w:rsidP="1ABE5910">
          <w:pPr>
            <w:pStyle w:val="Zhlav"/>
            <w:ind w:left="-115"/>
            <w:jc w:val="left"/>
            <w:rPr>
              <w:rFonts w:eastAsia="Calibri"/>
            </w:rPr>
          </w:pPr>
        </w:p>
      </w:tc>
      <w:tc>
        <w:tcPr>
          <w:tcW w:w="3020" w:type="dxa"/>
        </w:tcPr>
        <w:p w14:paraId="7333FC25" w14:textId="77777777" w:rsidR="1ABE5910" w:rsidRDefault="1ABE5910" w:rsidP="1ABE5910">
          <w:pPr>
            <w:pStyle w:val="Zhlav"/>
            <w:jc w:val="center"/>
            <w:rPr>
              <w:rFonts w:eastAsia="Calibri"/>
            </w:rPr>
          </w:pPr>
        </w:p>
      </w:tc>
      <w:tc>
        <w:tcPr>
          <w:tcW w:w="3020" w:type="dxa"/>
        </w:tcPr>
        <w:p w14:paraId="2C5D14F3" w14:textId="77777777" w:rsidR="1ABE5910" w:rsidRDefault="1ABE5910" w:rsidP="1ABE5910">
          <w:pPr>
            <w:pStyle w:val="Zhlav"/>
            <w:ind w:right="-115"/>
            <w:jc w:val="right"/>
            <w:rPr>
              <w:rFonts w:eastAsia="Calibri"/>
            </w:rPr>
          </w:pPr>
        </w:p>
      </w:tc>
    </w:tr>
  </w:tbl>
  <w:p w14:paraId="4097EA3B" w14:textId="77777777" w:rsidR="1ABE5910" w:rsidRDefault="1ABE5910" w:rsidP="1ABE5910">
    <w:pPr>
      <w:pStyle w:val="Zpat"/>
      <w:rPr>
        <w:rFonts w:eastAsia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9A492" w14:textId="77777777" w:rsidR="00EF6A3F" w:rsidRDefault="00EF6A3F" w:rsidP="00412F4E">
      <w:pPr>
        <w:spacing w:after="0" w:line="240" w:lineRule="auto"/>
      </w:pPr>
      <w:r>
        <w:separator/>
      </w:r>
    </w:p>
  </w:footnote>
  <w:footnote w:type="continuationSeparator" w:id="0">
    <w:p w14:paraId="233B60F7" w14:textId="77777777" w:rsidR="00EF6A3F" w:rsidRDefault="00EF6A3F" w:rsidP="00412F4E">
      <w:pPr>
        <w:spacing w:after="0" w:line="240" w:lineRule="auto"/>
      </w:pPr>
      <w:r>
        <w:continuationSeparator/>
      </w:r>
    </w:p>
  </w:footnote>
  <w:footnote w:type="continuationNotice" w:id="1">
    <w:p w14:paraId="7E64CB8F" w14:textId="77777777" w:rsidR="00EF6A3F" w:rsidRDefault="00EF6A3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90567" w14:textId="77777777" w:rsidR="00412F4E" w:rsidRDefault="00412F4E">
    <w:pPr>
      <w:pStyle w:val="Zhlav"/>
      <w:rPr>
        <w:noProof/>
        <w:lang w:eastAsia="cs-CZ"/>
      </w:rPr>
    </w:pPr>
  </w:p>
  <w:p w14:paraId="16911FCE" w14:textId="77777777" w:rsidR="00412F4E" w:rsidRDefault="00412F4E">
    <w:pPr>
      <w:pStyle w:val="Zhlav"/>
    </w:pPr>
    <w:r>
      <w:rPr>
        <w:noProof/>
        <w:lang w:eastAsia="ko-KR"/>
      </w:rPr>
      <w:drawing>
        <wp:anchor distT="0" distB="0" distL="114300" distR="114300" simplePos="0" relativeHeight="251658240" behindDoc="0" locked="0" layoutInCell="1" allowOverlap="1" wp14:anchorId="1C4D7380" wp14:editId="6254A4B4">
          <wp:simplePos x="0" y="0"/>
          <wp:positionH relativeFrom="page">
            <wp:align>right</wp:align>
          </wp:positionH>
          <wp:positionV relativeFrom="page">
            <wp:posOffset>84407</wp:posOffset>
          </wp:positionV>
          <wp:extent cx="2322830" cy="1305560"/>
          <wp:effectExtent l="0" t="0" r="1270" b="8890"/>
          <wp:wrapSquare wrapText="bothSides"/>
          <wp:docPr id="15" name="Obrázek 15" descr="C:\Users\sklenaro\AppData\Local\Microsoft\Windows\INetCache\Content.Word\EU2022CZ logo primarni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klenaro\AppData\Local\Microsoft\Windows\INetCache\Content.Word\EU2022CZ logo primarni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305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24.5pt;height:23.5pt" o:bullet="t">
        <v:imagedata r:id="rId1" o:title="imagem bullet"/>
      </v:shape>
    </w:pict>
  </w:numPicBullet>
  <w:abstractNum w:abstractNumId="0" w15:restartNumberingAfterBreak="0">
    <w:nsid w:val="0F3D56D7"/>
    <w:multiLevelType w:val="hybridMultilevel"/>
    <w:tmpl w:val="0F860368"/>
    <w:lvl w:ilvl="0" w:tplc="AA7CC5F8">
      <w:start w:val="1"/>
      <w:numFmt w:val="bullet"/>
      <w:lvlText w:val=""/>
      <w:lvlPicBulletId w:val="0"/>
      <w:lvlJc w:val="left"/>
      <w:pPr>
        <w:ind w:left="1182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1" w15:restartNumberingAfterBreak="0">
    <w:nsid w:val="108E5DDF"/>
    <w:multiLevelType w:val="hybridMultilevel"/>
    <w:tmpl w:val="2878DBD8"/>
    <w:lvl w:ilvl="0" w:tplc="CEE47DC4">
      <w:start w:val="2"/>
      <w:numFmt w:val="decimal"/>
      <w:lvlText w:val="%1."/>
      <w:lvlJc w:val="left"/>
      <w:pPr>
        <w:ind w:left="1182" w:hanging="360"/>
      </w:pPr>
      <w:rPr>
        <w:rFonts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2" w15:restartNumberingAfterBreak="0">
    <w:nsid w:val="13253828"/>
    <w:multiLevelType w:val="hybridMultilevel"/>
    <w:tmpl w:val="7D6617A4"/>
    <w:lvl w:ilvl="0" w:tplc="39422C3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E3CF2"/>
    <w:multiLevelType w:val="hybridMultilevel"/>
    <w:tmpl w:val="838286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3F6D7E"/>
    <w:multiLevelType w:val="hybridMultilevel"/>
    <w:tmpl w:val="AAF4D0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8E77EE"/>
    <w:multiLevelType w:val="hybridMultilevel"/>
    <w:tmpl w:val="A67A45B4"/>
    <w:lvl w:ilvl="0" w:tplc="9B6E67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1F342E"/>
    <w:multiLevelType w:val="hybridMultilevel"/>
    <w:tmpl w:val="CDEEC750"/>
    <w:lvl w:ilvl="0" w:tplc="7A466ED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4116609">
    <w:abstractNumId w:val="5"/>
  </w:num>
  <w:num w:numId="2" w16cid:durableId="1031489932">
    <w:abstractNumId w:val="2"/>
  </w:num>
  <w:num w:numId="3" w16cid:durableId="1788044637">
    <w:abstractNumId w:val="1"/>
  </w:num>
  <w:num w:numId="4" w16cid:durableId="724184018">
    <w:abstractNumId w:val="0"/>
  </w:num>
  <w:num w:numId="5" w16cid:durableId="991448746">
    <w:abstractNumId w:val="4"/>
  </w:num>
  <w:num w:numId="6" w16cid:durableId="1075124580">
    <w:abstractNumId w:val="3"/>
  </w:num>
  <w:num w:numId="7" w16cid:durableId="2697495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615"/>
    <w:rsid w:val="00027008"/>
    <w:rsid w:val="00047446"/>
    <w:rsid w:val="001E47D6"/>
    <w:rsid w:val="0025657D"/>
    <w:rsid w:val="002A2D48"/>
    <w:rsid w:val="002C4C62"/>
    <w:rsid w:val="00384EEC"/>
    <w:rsid w:val="003F35A7"/>
    <w:rsid w:val="00412F4E"/>
    <w:rsid w:val="00594E91"/>
    <w:rsid w:val="007814D1"/>
    <w:rsid w:val="009D241B"/>
    <w:rsid w:val="009F10BC"/>
    <w:rsid w:val="009F6615"/>
    <w:rsid w:val="00A26E30"/>
    <w:rsid w:val="00A33D89"/>
    <w:rsid w:val="00B153AB"/>
    <w:rsid w:val="00B24813"/>
    <w:rsid w:val="00B2656D"/>
    <w:rsid w:val="00B52896"/>
    <w:rsid w:val="00C30056"/>
    <w:rsid w:val="00CD68C2"/>
    <w:rsid w:val="00D63662"/>
    <w:rsid w:val="00D72F4F"/>
    <w:rsid w:val="00DB780C"/>
    <w:rsid w:val="00E26E1C"/>
    <w:rsid w:val="00EF6A3F"/>
    <w:rsid w:val="00F80ACE"/>
    <w:rsid w:val="00F960AB"/>
    <w:rsid w:val="00FF5CE8"/>
    <w:rsid w:val="1ABE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63764"/>
  <w15:chartTrackingRefBased/>
  <w15:docId w15:val="{7EFBE3E4-A67F-4D3D-B094-0E9496365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ZÁKLADNÍ"/>
    <w:qFormat/>
    <w:rsid w:val="00412F4E"/>
    <w:pPr>
      <w:spacing w:line="360" w:lineRule="auto"/>
      <w:jc w:val="both"/>
    </w:pPr>
    <w:rPr>
      <w:rFonts w:ascii="Open Sans" w:hAnsi="Open Sans"/>
    </w:rPr>
  </w:style>
  <w:style w:type="paragraph" w:styleId="Nadpis1">
    <w:name w:val="heading 1"/>
    <w:aliases w:val="NADPIS 2"/>
    <w:basedOn w:val="Normln"/>
    <w:next w:val="Normln"/>
    <w:link w:val="Nadpis1Char"/>
    <w:uiPriority w:val="9"/>
    <w:qFormat/>
    <w:rsid w:val="00F80ACE"/>
    <w:pPr>
      <w:keepNext/>
      <w:keepLines/>
      <w:spacing w:after="0" w:line="240" w:lineRule="auto"/>
      <w:jc w:val="left"/>
      <w:outlineLvl w:val="0"/>
    </w:pPr>
    <w:rPr>
      <w:rFonts w:ascii="Cy" w:eastAsiaTheme="majorEastAsia" w:hAnsi="Cy" w:cstheme="majorBidi"/>
      <w:color w:val="0054A6"/>
      <w:sz w:val="40"/>
      <w:szCs w:val="32"/>
    </w:rPr>
  </w:style>
  <w:style w:type="paragraph" w:styleId="Nadpis2">
    <w:name w:val="heading 2"/>
    <w:aliases w:val="NADPIS 1"/>
    <w:basedOn w:val="Normln"/>
    <w:next w:val="Normln"/>
    <w:link w:val="Nadpis2Char"/>
    <w:uiPriority w:val="9"/>
    <w:unhideWhenUsed/>
    <w:qFormat/>
    <w:rsid w:val="00F80ACE"/>
    <w:pPr>
      <w:keepNext/>
      <w:keepLines/>
      <w:spacing w:before="40" w:after="0"/>
      <w:outlineLvl w:val="1"/>
    </w:pPr>
    <w:rPr>
      <w:rFonts w:ascii="Cy" w:eastAsiaTheme="majorEastAsia" w:hAnsi="Cy" w:cstheme="majorBidi"/>
      <w:b/>
      <w:color w:val="2E74B5" w:themeColor="accent1" w:themeShade="BF"/>
      <w:sz w:val="5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12F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12F4E"/>
  </w:style>
  <w:style w:type="paragraph" w:styleId="Zpat">
    <w:name w:val="footer"/>
    <w:basedOn w:val="Normln"/>
    <w:link w:val="ZpatChar"/>
    <w:uiPriority w:val="99"/>
    <w:unhideWhenUsed/>
    <w:rsid w:val="00412F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12F4E"/>
  </w:style>
  <w:style w:type="table" w:styleId="Mkatabulky">
    <w:name w:val="Table Grid"/>
    <w:basedOn w:val="Normlntabulka"/>
    <w:uiPriority w:val="39"/>
    <w:rsid w:val="00412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dpis">
    <w:name w:val="Subtitle"/>
    <w:aliases w:val="TEXT – TABULKA"/>
    <w:next w:val="Normln"/>
    <w:link w:val="PodnadpisChar"/>
    <w:uiPriority w:val="11"/>
    <w:qFormat/>
    <w:rsid w:val="00412F4E"/>
    <w:pPr>
      <w:numPr>
        <w:ilvl w:val="1"/>
      </w:numPr>
      <w:spacing w:line="240" w:lineRule="auto"/>
    </w:pPr>
    <w:rPr>
      <w:rFonts w:ascii="Open Sans" w:eastAsiaTheme="minorEastAsia" w:hAnsi="Open Sans"/>
      <w:spacing w:val="15"/>
    </w:rPr>
  </w:style>
  <w:style w:type="character" w:customStyle="1" w:styleId="PodnadpisChar">
    <w:name w:val="Podnadpis Char"/>
    <w:aliases w:val="TEXT – TABULKA Char"/>
    <w:basedOn w:val="Standardnpsmoodstavce"/>
    <w:link w:val="Podnadpis"/>
    <w:uiPriority w:val="11"/>
    <w:rsid w:val="00412F4E"/>
    <w:rPr>
      <w:rFonts w:ascii="Open Sans" w:eastAsiaTheme="minorEastAsia" w:hAnsi="Open Sans"/>
      <w:spacing w:val="15"/>
    </w:rPr>
  </w:style>
  <w:style w:type="character" w:customStyle="1" w:styleId="Nadpis1Char">
    <w:name w:val="Nadpis 1 Char"/>
    <w:aliases w:val="NADPIS 2 Char"/>
    <w:basedOn w:val="Standardnpsmoodstavce"/>
    <w:link w:val="Nadpis1"/>
    <w:uiPriority w:val="9"/>
    <w:rsid w:val="00F80ACE"/>
    <w:rPr>
      <w:rFonts w:ascii="Cy" w:eastAsiaTheme="majorEastAsia" w:hAnsi="Cy" w:cstheme="majorBidi"/>
      <w:color w:val="0054A6"/>
      <w:sz w:val="40"/>
      <w:szCs w:val="32"/>
    </w:rPr>
  </w:style>
  <w:style w:type="paragraph" w:styleId="Odstavecseseznamem">
    <w:name w:val="List Paragraph"/>
    <w:basedOn w:val="Normln"/>
    <w:uiPriority w:val="34"/>
    <w:qFormat/>
    <w:rsid w:val="00D72F4F"/>
    <w:pPr>
      <w:ind w:left="720"/>
      <w:contextualSpacing/>
    </w:pPr>
  </w:style>
  <w:style w:type="paragraph" w:customStyle="1" w:styleId="BasicParagraph">
    <w:name w:val="[Basic Paragraph]"/>
    <w:basedOn w:val="Normln"/>
    <w:uiPriority w:val="99"/>
    <w:rsid w:val="00C30056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ja-JP"/>
    </w:rPr>
  </w:style>
  <w:style w:type="table" w:customStyle="1" w:styleId="Tabelacomgrelha4">
    <w:name w:val="Tabela com grelha4"/>
    <w:basedOn w:val="Normlntabulka"/>
    <w:next w:val="Mkatabulky"/>
    <w:uiPriority w:val="39"/>
    <w:rsid w:val="009F10BC"/>
    <w:pPr>
      <w:spacing w:after="0" w:line="240" w:lineRule="auto"/>
    </w:pPr>
    <w:rPr>
      <w:lang w:val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aliases w:val="NADPIS 3"/>
    <w:basedOn w:val="Normln"/>
    <w:next w:val="Normln"/>
    <w:link w:val="NzevChar"/>
    <w:uiPriority w:val="10"/>
    <w:qFormat/>
    <w:rsid w:val="00F80ACE"/>
    <w:pPr>
      <w:spacing w:after="0"/>
      <w:contextualSpacing/>
    </w:pPr>
    <w:rPr>
      <w:rFonts w:ascii="Cy" w:eastAsiaTheme="majorEastAsia" w:hAnsi="Cy" w:cstheme="majorBidi"/>
      <w:color w:val="0089CF"/>
      <w:spacing w:val="-10"/>
      <w:kern w:val="28"/>
      <w:sz w:val="32"/>
      <w:szCs w:val="56"/>
    </w:rPr>
  </w:style>
  <w:style w:type="character" w:customStyle="1" w:styleId="NzevChar">
    <w:name w:val="Název Char"/>
    <w:aliases w:val="NADPIS 3 Char"/>
    <w:basedOn w:val="Standardnpsmoodstavce"/>
    <w:link w:val="Nzev"/>
    <w:uiPriority w:val="10"/>
    <w:rsid w:val="00F80ACE"/>
    <w:rPr>
      <w:rFonts w:ascii="Cy" w:eastAsiaTheme="majorEastAsia" w:hAnsi="Cy" w:cstheme="majorBidi"/>
      <w:color w:val="0089CF"/>
      <w:spacing w:val="-10"/>
      <w:kern w:val="28"/>
      <w:sz w:val="32"/>
      <w:szCs w:val="56"/>
    </w:rPr>
  </w:style>
  <w:style w:type="character" w:customStyle="1" w:styleId="Nadpis2Char">
    <w:name w:val="Nadpis 2 Char"/>
    <w:aliases w:val="NADPIS 1 Char"/>
    <w:basedOn w:val="Standardnpsmoodstavce"/>
    <w:link w:val="Nadpis2"/>
    <w:uiPriority w:val="9"/>
    <w:rsid w:val="00F80ACE"/>
    <w:rPr>
      <w:rFonts w:ascii="Cy" w:eastAsiaTheme="majorEastAsia" w:hAnsi="Cy" w:cstheme="majorBidi"/>
      <w:b/>
      <w:color w:val="2E74B5" w:themeColor="accent1" w:themeShade="BF"/>
      <w:sz w:val="50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3F35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F35A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F35A7"/>
    <w:rPr>
      <w:rFonts w:ascii="Open Sans" w:hAnsi="Open Sans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F35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F35A7"/>
    <w:rPr>
      <w:rFonts w:ascii="Open Sans" w:hAnsi="Open Sans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F35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35A7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2A2D4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2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97D0E443AE5743ACB6C5DD2A182C1A" ma:contentTypeVersion="14" ma:contentTypeDescription="Vytvoří nový dokument" ma:contentTypeScope="" ma:versionID="a0fbc8338666b398ccf211a89aa2700d">
  <xsd:schema xmlns:xsd="http://www.w3.org/2001/XMLSchema" xmlns:xs="http://www.w3.org/2001/XMLSchema" xmlns:p="http://schemas.microsoft.com/office/2006/metadata/properties" xmlns:ns2="e28afefe-e8ea-42a7-97a6-9b0a9cec71a5" xmlns:ns3="febbf18c-0139-47d6-b102-97191c658564" targetNamespace="http://schemas.microsoft.com/office/2006/metadata/properties" ma:root="true" ma:fieldsID="b751d47047829a1226f73adb7641ad58" ns2:_="" ns3:_="">
    <xsd:import namespace="e28afefe-e8ea-42a7-97a6-9b0a9cec71a5"/>
    <xsd:import namespace="febbf18c-0139-47d6-b102-97191c658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8afefe-e8ea-42a7-97a6-9b0a9cec7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878b1145-2734-4df0-b252-269a63a620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bf18c-0139-47d6-b102-97191c65856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bc2b303-16ad-4b0b-afaf-e3bc42fc28bc}" ma:internalName="TaxCatchAll" ma:showField="CatchAllData" ma:web="febbf18c-0139-47d6-b102-97191c658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8afefe-e8ea-42a7-97a6-9b0a9cec71a5">
      <Terms xmlns="http://schemas.microsoft.com/office/infopath/2007/PartnerControls"/>
    </lcf76f155ced4ddcb4097134ff3c332f>
    <TaxCatchAll xmlns="febbf18c-0139-47d6-b102-97191c658564" xsi:nil="true"/>
  </documentManagement>
</p:properties>
</file>

<file path=customXml/itemProps1.xml><?xml version="1.0" encoding="utf-8"?>
<ds:datastoreItem xmlns:ds="http://schemas.openxmlformats.org/officeDocument/2006/customXml" ds:itemID="{EDA635C5-EB78-4916-92BB-720D05E04E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EDF8F2-B30B-459D-9C4D-BA147095DA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8afefe-e8ea-42a7-97a6-9b0a9cec71a5"/>
    <ds:schemaRef ds:uri="febbf18c-0139-47d6-b102-97191c658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A82139-C5DA-4607-85FF-D653AD7D7FD6}">
  <ds:schemaRefs>
    <ds:schemaRef ds:uri="http://schemas.microsoft.com/office/2006/metadata/properties"/>
    <ds:schemaRef ds:uri="http://schemas.microsoft.com/office/infopath/2007/PartnerControls"/>
    <ds:schemaRef ds:uri="e28afefe-e8ea-42a7-97a6-9b0a9cec71a5"/>
    <ds:schemaRef ds:uri="febbf18c-0139-47d6-b102-97191c6585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189</Words>
  <Characters>1121</Characters>
  <Application>Microsoft Office Word</Application>
  <DocSecurity>0</DocSecurity>
  <Lines>9</Lines>
  <Paragraphs>2</Paragraphs>
  <ScaleCrop>false</ScaleCrop>
  <Company>Úřad vlády ČR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Sklenářová Barbora</dc:creator>
  <cp:keywords/>
  <dc:description/>
  <cp:lastModifiedBy>Vayhelová Lucie Ing.</cp:lastModifiedBy>
  <cp:revision>6</cp:revision>
  <dcterms:created xsi:type="dcterms:W3CDTF">2022-10-21T12:40:00Z</dcterms:created>
  <dcterms:modified xsi:type="dcterms:W3CDTF">2022-10-21T13:39:00Z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0x010100BB97D0E443AE5743ACB6C5DD2A182C1A</vt:lpwstr>
  </property>
  <property fmtid="{D5CDD505-2E9C-101B-9397-08002B2CF9AE}" pid="3" name="MediaServiceImageTags">
    <vt:lpwstr/>
  </property>
</Properties>
</file>