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13FD" w14:textId="77777777" w:rsidR="00760833" w:rsidRPr="00760833" w:rsidRDefault="00632E84" w:rsidP="005E17B7">
      <w:pPr>
        <w:pStyle w:val="Nadpis2"/>
        <w:jc w:val="both"/>
      </w:pPr>
      <w:bookmarkStart w:id="0" w:name="_GoBack"/>
      <w:bookmarkEnd w:id="0"/>
      <w:r w:rsidRPr="00040342">
        <w:t>Struktura</w:t>
      </w:r>
      <w:r w:rsidR="00040342">
        <w:t xml:space="preserve"> OPD3</w:t>
      </w:r>
    </w:p>
    <w:p w14:paraId="045CBAB6" w14:textId="77777777" w:rsidR="00B26CCB" w:rsidRPr="008646D5" w:rsidRDefault="00B26CCB" w:rsidP="005E17B7">
      <w:pPr>
        <w:jc w:val="both"/>
      </w:pPr>
      <w:r>
        <w:t>Východiska: dl</w:t>
      </w:r>
      <w:r w:rsidR="008646D5">
        <w:t>e návrhu</w:t>
      </w:r>
      <w:r>
        <w:t xml:space="preserve"> o</w:t>
      </w:r>
      <w:r w:rsidR="008646D5">
        <w:t>becného nařízení:</w:t>
      </w:r>
    </w:p>
    <w:p w14:paraId="74739DDF" w14:textId="77777777" w:rsidR="00B26CCB" w:rsidRDefault="00040342" w:rsidP="005E17B7">
      <w:pPr>
        <w:pStyle w:val="Odstavecseseznamem"/>
        <w:numPr>
          <w:ilvl w:val="0"/>
          <w:numId w:val="9"/>
        </w:numPr>
        <w:jc w:val="both"/>
      </w:pPr>
      <w:r w:rsidRPr="008646D5">
        <w:t>Každý program se skládá z jedné nebo více priorit</w:t>
      </w:r>
    </w:p>
    <w:p w14:paraId="127C7857" w14:textId="77777777" w:rsidR="00B26CCB" w:rsidRDefault="00040342" w:rsidP="005E17B7">
      <w:pPr>
        <w:pStyle w:val="Odstavecseseznamem"/>
        <w:numPr>
          <w:ilvl w:val="0"/>
          <w:numId w:val="9"/>
        </w:numPr>
        <w:jc w:val="both"/>
      </w:pPr>
      <w:r w:rsidRPr="008646D5">
        <w:t>Každá priorita spadá pod jeden cíl politiky (CP), pod jeden politický cíl může spadat více priorit.</w:t>
      </w:r>
    </w:p>
    <w:p w14:paraId="4C214CB0" w14:textId="77777777" w:rsidR="00B26CCB" w:rsidRDefault="008646D5" w:rsidP="005E17B7">
      <w:pPr>
        <w:pStyle w:val="Odstavecseseznamem"/>
        <w:numPr>
          <w:ilvl w:val="0"/>
          <w:numId w:val="9"/>
        </w:numPr>
        <w:jc w:val="both"/>
      </w:pPr>
      <w:r w:rsidRPr="008646D5">
        <w:t>Každá priorita se skládá z jednoho ne</w:t>
      </w:r>
      <w:r>
        <w:t>bo více specifických cílů (SC).</w:t>
      </w:r>
      <w:r w:rsidR="00034B2D">
        <w:t xml:space="preserve"> </w:t>
      </w:r>
    </w:p>
    <w:p w14:paraId="3487E6C9" w14:textId="77777777" w:rsidR="00034B2D" w:rsidRPr="00034B2D" w:rsidRDefault="00034B2D" w:rsidP="005E17B7">
      <w:pPr>
        <w:pStyle w:val="Odstavecseseznamem"/>
        <w:jc w:val="both"/>
      </w:pPr>
      <w:r>
        <w:t>Pro každou prioritu musí být stanoveny specifické cíle, typy intervencí a předpokládané rozdělení financí.</w:t>
      </w:r>
      <w:r w:rsidR="006068AB" w:rsidRPr="006068AB">
        <w:t xml:space="preserve"> </w:t>
      </w:r>
    </w:p>
    <w:tbl>
      <w:tblPr>
        <w:tblW w:w="10633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260"/>
        <w:gridCol w:w="4111"/>
        <w:gridCol w:w="851"/>
        <w:gridCol w:w="709"/>
      </w:tblGrid>
      <w:tr w:rsidR="00040342" w14:paraId="7297BB7B" w14:textId="77777777" w:rsidTr="00D31783">
        <w:trPr>
          <w:trHeight w:val="558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CAD879B" w14:textId="77777777" w:rsidR="00040342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color w:val="000000"/>
                <w:szCs w:val="24"/>
                <w:lang w:eastAsia="cs-CZ"/>
              </w:rPr>
              <w:t>Priorita</w:t>
            </w:r>
          </w:p>
        </w:tc>
        <w:tc>
          <w:tcPr>
            <w:tcW w:w="32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838364E" w14:textId="77777777" w:rsidR="00040342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color w:val="000000"/>
                <w:szCs w:val="24"/>
                <w:lang w:eastAsia="cs-CZ"/>
              </w:rPr>
              <w:t>Specifický cíl</w:t>
            </w:r>
          </w:p>
        </w:tc>
        <w:tc>
          <w:tcPr>
            <w:tcW w:w="411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6F87FE83" w14:textId="77777777" w:rsidR="00040342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color w:val="000000"/>
                <w:szCs w:val="24"/>
                <w:lang w:eastAsia="cs-CZ"/>
              </w:rPr>
              <w:t>Aktivity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4F3BDFED" w14:textId="77777777" w:rsidR="00040342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color w:val="000000"/>
                <w:szCs w:val="24"/>
                <w:lang w:eastAsia="cs-CZ"/>
              </w:rPr>
              <w:t>Cíl politiky</w:t>
            </w:r>
          </w:p>
        </w:tc>
        <w:tc>
          <w:tcPr>
            <w:tcW w:w="70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470A5626" w14:textId="77777777" w:rsidR="00040342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color w:val="000000"/>
                <w:szCs w:val="24"/>
                <w:lang w:eastAsia="cs-CZ"/>
              </w:rPr>
              <w:t>Fond</w:t>
            </w:r>
          </w:p>
        </w:tc>
      </w:tr>
      <w:tr w:rsidR="00040342" w14:paraId="24DCE335" w14:textId="77777777" w:rsidTr="00D31783">
        <w:trPr>
          <w:trHeight w:val="553"/>
        </w:trPr>
        <w:tc>
          <w:tcPr>
            <w:tcW w:w="17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4200490E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1</w:t>
            </w:r>
          </w:p>
          <w:p w14:paraId="1FFF832B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Infrastruktura TEN-T (železnice a silnice)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2857BD5F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Rozvoj udržitelné, inteligentní, bezpečné a intermodální sítě TEN-T odolné vůči změnám klimatu (c ii)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4908BA8E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Železniční infrastruktura TEN-T (včetně ERTMS)</w:t>
            </w:r>
          </w:p>
          <w:p w14:paraId="6EE9B9A4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i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Silniční infrastruktura TEN-T</w:t>
            </w:r>
          </w:p>
          <w:p w14:paraId="1783C38A" w14:textId="77777777" w:rsidR="00040342" w:rsidRPr="00D733D4" w:rsidRDefault="00040342" w:rsidP="005E17B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Inteligentní dopravní systémy TEN-T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34F13B75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CP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2582C56E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FS</w:t>
            </w:r>
          </w:p>
        </w:tc>
      </w:tr>
      <w:tr w:rsidR="00040342" w14:paraId="7E8ECD0D" w14:textId="77777777" w:rsidTr="00D31783">
        <w:trPr>
          <w:trHeight w:val="1343"/>
        </w:trPr>
        <w:tc>
          <w:tcPr>
            <w:tcW w:w="17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49051E5A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2</w:t>
            </w:r>
          </w:p>
          <w:p w14:paraId="646A4214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 xml:space="preserve">Železniční infrastruktura a ITS mimo TEN-T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5B75DBDF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Rozvoj udržitelné, inteligentní a intermodální celostátní, regionální a místní mobility odolné vůči změnám klimatu, včetně lepšího přístupu k síti TEN-T a přeshraniční mobility (c iii)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5380D559" w14:textId="77777777" w:rsidR="00040342" w:rsidRPr="00D733D4" w:rsidRDefault="00040342" w:rsidP="005E17B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Železniční infrastruktura mimo TEN-T (včetně ERTMS)</w:t>
            </w:r>
          </w:p>
          <w:p w14:paraId="1085A149" w14:textId="77777777" w:rsidR="00040342" w:rsidRPr="00D733D4" w:rsidRDefault="00040342" w:rsidP="005E17B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Inteligentní dopravní systémy mimo TEN-T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71891AD9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CP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  <w:vAlign w:val="center"/>
          </w:tcPr>
          <w:p w14:paraId="33D7F2EA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FS/</w:t>
            </w:r>
            <w:r w:rsidRPr="00D733D4">
              <w:rPr>
                <w:szCs w:val="24"/>
              </w:rPr>
              <w:t>EFRR</w:t>
            </w:r>
            <w:r>
              <w:rPr>
                <w:szCs w:val="24"/>
              </w:rPr>
              <w:t>?</w:t>
            </w:r>
          </w:p>
        </w:tc>
      </w:tr>
      <w:tr w:rsidR="00040342" w14:paraId="7934B1AA" w14:textId="77777777" w:rsidTr="00D31783">
        <w:trPr>
          <w:trHeight w:val="1343"/>
        </w:trPr>
        <w:tc>
          <w:tcPr>
            <w:tcW w:w="17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0" w:type="dxa"/>
              <w:right w:w="70" w:type="dxa"/>
            </w:tcMar>
            <w:vAlign w:val="center"/>
          </w:tcPr>
          <w:p w14:paraId="475D67F4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3</w:t>
            </w:r>
          </w:p>
          <w:p w14:paraId="6569DBC6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Udržitelná městská mobilita (a alternativní paliva)</w:t>
            </w:r>
          </w:p>
          <w:p w14:paraId="2921167E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0" w:type="dxa"/>
              <w:right w:w="70" w:type="dxa"/>
            </w:tcMar>
            <w:vAlign w:val="center"/>
          </w:tcPr>
          <w:p w14:paraId="7568B843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Podpora udržitelné multimodální městské mobility (b viii)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0" w:type="dxa"/>
              <w:right w:w="70" w:type="dxa"/>
            </w:tcMar>
            <w:vAlign w:val="center"/>
          </w:tcPr>
          <w:p w14:paraId="4D71D009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Infrastruktura pro městskou drážní dopravu</w:t>
            </w:r>
          </w:p>
          <w:p w14:paraId="2246C01D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Městská a příměstská železniční doprava mimo TEN-T</w:t>
            </w:r>
          </w:p>
          <w:p w14:paraId="0F44E005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Inteligentní dopravní systémy – města</w:t>
            </w:r>
          </w:p>
          <w:p w14:paraId="6052DE3B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Opatření pro rozvoj alternativních paliv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0" w:type="dxa"/>
              <w:right w:w="70" w:type="dxa"/>
            </w:tcMar>
            <w:vAlign w:val="center"/>
          </w:tcPr>
          <w:p w14:paraId="66246309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CP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0" w:type="dxa"/>
              <w:right w:w="70" w:type="dxa"/>
            </w:tcMar>
            <w:vAlign w:val="center"/>
          </w:tcPr>
          <w:p w14:paraId="1CF835CD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FS</w:t>
            </w:r>
          </w:p>
        </w:tc>
      </w:tr>
      <w:tr w:rsidR="00040342" w14:paraId="390402C5" w14:textId="77777777" w:rsidTr="00D31783">
        <w:trPr>
          <w:trHeight w:val="1343"/>
        </w:trPr>
        <w:tc>
          <w:tcPr>
            <w:tcW w:w="17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0" w:type="dxa"/>
              <w:right w:w="70" w:type="dxa"/>
            </w:tcMar>
            <w:vAlign w:val="center"/>
          </w:tcPr>
          <w:p w14:paraId="7590CFCC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4</w:t>
            </w:r>
          </w:p>
          <w:p w14:paraId="4F80CDDA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Silniční infrastruktura mimo TEN-T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0" w:type="dxa"/>
              <w:right w:w="70" w:type="dxa"/>
            </w:tcMar>
            <w:vAlign w:val="center"/>
          </w:tcPr>
          <w:p w14:paraId="1B661112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Rozvoj udržitelné, inteligentní a intermodální celostátní, regionální a místní mobility odolné vůči změnám klimatu, včetně lepšího přístupu k síti TEN-T a přeshraniční mobility (c iii)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0" w:type="dxa"/>
              <w:right w:w="70" w:type="dxa"/>
            </w:tcMar>
            <w:vAlign w:val="center"/>
          </w:tcPr>
          <w:p w14:paraId="35A99018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Silniční infrastruktura mimo TEN-T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0" w:type="dxa"/>
              <w:right w:w="70" w:type="dxa"/>
            </w:tcMar>
            <w:vAlign w:val="center"/>
          </w:tcPr>
          <w:p w14:paraId="4509B72B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CP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0" w:type="dxa"/>
              <w:right w:w="70" w:type="dxa"/>
            </w:tcMar>
            <w:vAlign w:val="center"/>
          </w:tcPr>
          <w:p w14:paraId="20C4CD48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EFRR</w:t>
            </w:r>
          </w:p>
        </w:tc>
      </w:tr>
      <w:tr w:rsidR="00040342" w14:paraId="0D55ECF2" w14:textId="77777777" w:rsidTr="00D31783">
        <w:trPr>
          <w:trHeight w:val="621"/>
        </w:trPr>
        <w:tc>
          <w:tcPr>
            <w:tcW w:w="17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EB2192" w14:textId="77777777" w:rsidR="00040342" w:rsidRPr="00D733D4" w:rsidRDefault="00040342" w:rsidP="005E17B7">
            <w:pPr>
              <w:spacing w:after="0" w:line="240" w:lineRule="auto"/>
              <w:jc w:val="both"/>
              <w:rPr>
                <w:color w:val="000000"/>
                <w:szCs w:val="24"/>
                <w:lang w:eastAsia="cs-CZ"/>
              </w:rPr>
            </w:pPr>
            <w:r w:rsidRPr="00D733D4">
              <w:rPr>
                <w:color w:val="000000"/>
                <w:szCs w:val="24"/>
                <w:lang w:eastAsia="cs-CZ"/>
              </w:rPr>
              <w:t>5</w:t>
            </w:r>
          </w:p>
          <w:p w14:paraId="7C73CE5A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Technická pomoc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C05D9E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 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BD420E2" w14:textId="77777777" w:rsidR="00040342" w:rsidRPr="00D733D4" w:rsidRDefault="00040342" w:rsidP="005E17B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71"/>
              <w:jc w:val="both"/>
              <w:rPr>
                <w:rFonts w:eastAsia="Times New Roman"/>
                <w:color w:val="000000"/>
              </w:rPr>
            </w:pPr>
            <w:r w:rsidRPr="00D733D4">
              <w:rPr>
                <w:rFonts w:eastAsia="Times New Roman"/>
                <w:color w:val="000000"/>
              </w:rPr>
              <w:t>Technická pomoc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FE5792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7241DF" w14:textId="77777777" w:rsidR="00040342" w:rsidRPr="00D733D4" w:rsidRDefault="00040342" w:rsidP="005E17B7">
            <w:pPr>
              <w:spacing w:after="0" w:line="240" w:lineRule="auto"/>
              <w:jc w:val="both"/>
              <w:rPr>
                <w:szCs w:val="24"/>
              </w:rPr>
            </w:pPr>
            <w:r w:rsidRPr="00D733D4">
              <w:rPr>
                <w:color w:val="000000"/>
                <w:szCs w:val="24"/>
                <w:lang w:eastAsia="cs-CZ"/>
              </w:rPr>
              <w:t>FS</w:t>
            </w:r>
          </w:p>
        </w:tc>
      </w:tr>
    </w:tbl>
    <w:p w14:paraId="346FA6CE" w14:textId="77777777" w:rsidR="00632E84" w:rsidRDefault="00632E84" w:rsidP="005E17B7">
      <w:pPr>
        <w:jc w:val="both"/>
      </w:pPr>
    </w:p>
    <w:p w14:paraId="3A5EEABA" w14:textId="561A5A1D" w:rsidR="008646D5" w:rsidRPr="00034B2D" w:rsidRDefault="008646D5" w:rsidP="005E17B7">
      <w:pPr>
        <w:jc w:val="both"/>
        <w:rPr>
          <w:b/>
        </w:rPr>
      </w:pPr>
      <w:r w:rsidRPr="00034B2D">
        <w:rPr>
          <w:b/>
        </w:rPr>
        <w:t>Otazníky:</w:t>
      </w:r>
    </w:p>
    <w:p w14:paraId="665FBCC2" w14:textId="77777777" w:rsidR="008646D5" w:rsidRDefault="008646D5" w:rsidP="005E17B7">
      <w:pPr>
        <w:jc w:val="both"/>
      </w:pPr>
      <w:r>
        <w:t>Zařazení železniční dopravy mimo TEN-T – není jisté, zda může být podporována z</w:t>
      </w:r>
      <w:r w:rsidR="009D096F">
        <w:t> </w:t>
      </w:r>
      <w:r>
        <w:t>FS</w:t>
      </w:r>
    </w:p>
    <w:p w14:paraId="01D93A7E" w14:textId="77777777" w:rsidR="0032056B" w:rsidRPr="00AC19ED" w:rsidRDefault="009D096F" w:rsidP="005E17B7">
      <w:pPr>
        <w:spacing w:line="288" w:lineRule="auto"/>
        <w:jc w:val="both"/>
        <w:rPr>
          <w:rFonts w:cstheme="minorHAnsi"/>
          <w:b/>
          <w:bCs/>
        </w:rPr>
      </w:pPr>
      <w:r w:rsidRPr="008708B6">
        <w:rPr>
          <w:rFonts w:cstheme="minorHAnsi"/>
          <w:bCs/>
        </w:rPr>
        <w:t xml:space="preserve">V článku 2, odst. 2 nařízení FS/EFRR se uvádí, že z FS se podporuje mj. specifický cíl stanovený v článku 2, odst. 1 (c) (iii), který zahrnuje mj. podporu mobility mimo TEN-T. </w:t>
      </w:r>
      <w:r w:rsidR="0032056B" w:rsidRPr="008708B6">
        <w:rPr>
          <w:rFonts w:cstheme="minorHAnsi"/>
          <w:bCs/>
        </w:rPr>
        <w:t>Naproti tomu čl. 5 v rozsahu podpory z FS uvádí jen investice do TEN-T</w:t>
      </w:r>
    </w:p>
    <w:p w14:paraId="69224DF4" w14:textId="77777777" w:rsidR="008646D5" w:rsidRDefault="008646D5" w:rsidP="005E17B7">
      <w:pPr>
        <w:jc w:val="both"/>
      </w:pPr>
      <w:r w:rsidRPr="008646D5">
        <w:t>Městská a příměstská železniční doprava mimo TEN-T</w:t>
      </w:r>
      <w:r>
        <w:t xml:space="preserve"> – není jasné, do jaké míry bude nakloněna EK zahrnutí této dopravy do CP2; v nařízení není výslovně uvedeno</w:t>
      </w:r>
    </w:p>
    <w:p w14:paraId="641584D2" w14:textId="77777777" w:rsidR="008646D5" w:rsidRDefault="008646D5" w:rsidP="005E17B7">
      <w:pPr>
        <w:jc w:val="both"/>
      </w:pPr>
      <w:r>
        <w:lastRenderedPageBreak/>
        <w:t xml:space="preserve">Alternativní paliva – infrastruktura pro podporu alternativních paliv </w:t>
      </w:r>
      <w:r w:rsidR="00034B2D">
        <w:t>je zařazena pod CP2, kde je pouze SC zaměřený na městskou mobilitu. Je přitom zřejmé, že je nutné podporovat alternativní paliva i mimo města.</w:t>
      </w:r>
    </w:p>
    <w:sectPr w:rsidR="008646D5" w:rsidSect="008C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A79E" w14:textId="77777777" w:rsidR="006305E4" w:rsidRDefault="006305E4" w:rsidP="00034B2D">
      <w:pPr>
        <w:spacing w:after="0" w:line="240" w:lineRule="auto"/>
      </w:pPr>
      <w:r>
        <w:separator/>
      </w:r>
    </w:p>
  </w:endnote>
  <w:endnote w:type="continuationSeparator" w:id="0">
    <w:p w14:paraId="12672A2E" w14:textId="77777777" w:rsidR="006305E4" w:rsidRDefault="006305E4" w:rsidP="0003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00AB" w14:textId="77777777" w:rsidR="006305E4" w:rsidRDefault="006305E4" w:rsidP="00034B2D">
      <w:pPr>
        <w:spacing w:after="0" w:line="240" w:lineRule="auto"/>
      </w:pPr>
      <w:r>
        <w:separator/>
      </w:r>
    </w:p>
  </w:footnote>
  <w:footnote w:type="continuationSeparator" w:id="0">
    <w:p w14:paraId="0FF03D72" w14:textId="77777777" w:rsidR="006305E4" w:rsidRDefault="006305E4" w:rsidP="00034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3CF3"/>
    <w:multiLevelType w:val="hybridMultilevel"/>
    <w:tmpl w:val="092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8B8"/>
    <w:multiLevelType w:val="multilevel"/>
    <w:tmpl w:val="ADB23302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strike w:val="0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" w15:restartNumberingAfterBreak="0">
    <w:nsid w:val="1DF321F3"/>
    <w:multiLevelType w:val="hybridMultilevel"/>
    <w:tmpl w:val="217E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76C57"/>
    <w:multiLevelType w:val="hybridMultilevel"/>
    <w:tmpl w:val="5AC80094"/>
    <w:lvl w:ilvl="0" w:tplc="221C070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373071CB"/>
    <w:multiLevelType w:val="hybridMultilevel"/>
    <w:tmpl w:val="B894B53E"/>
    <w:lvl w:ilvl="0" w:tplc="33D60FE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E5"/>
    <w:multiLevelType w:val="hybridMultilevel"/>
    <w:tmpl w:val="80C0CC52"/>
    <w:lvl w:ilvl="0" w:tplc="0AC0EC9A">
      <w:start w:val="61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FA052D1"/>
    <w:multiLevelType w:val="hybridMultilevel"/>
    <w:tmpl w:val="A6488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E0F8C"/>
    <w:multiLevelType w:val="hybridMultilevel"/>
    <w:tmpl w:val="223A7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F3018"/>
    <w:multiLevelType w:val="hybridMultilevel"/>
    <w:tmpl w:val="9F88B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D4B47"/>
    <w:multiLevelType w:val="hybridMultilevel"/>
    <w:tmpl w:val="EB9451EC"/>
    <w:lvl w:ilvl="0" w:tplc="0AC0EC9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4"/>
    <w:rsid w:val="00020A7F"/>
    <w:rsid w:val="00026D33"/>
    <w:rsid w:val="000324B0"/>
    <w:rsid w:val="00032570"/>
    <w:rsid w:val="00032EED"/>
    <w:rsid w:val="000346CC"/>
    <w:rsid w:val="00034B2D"/>
    <w:rsid w:val="00040342"/>
    <w:rsid w:val="00046D98"/>
    <w:rsid w:val="00076707"/>
    <w:rsid w:val="000C5795"/>
    <w:rsid w:val="000F475A"/>
    <w:rsid w:val="00114D8A"/>
    <w:rsid w:val="00126DB8"/>
    <w:rsid w:val="00140E19"/>
    <w:rsid w:val="00161DC3"/>
    <w:rsid w:val="0018169F"/>
    <w:rsid w:val="0018591E"/>
    <w:rsid w:val="001A3D79"/>
    <w:rsid w:val="001F1D43"/>
    <w:rsid w:val="001F7632"/>
    <w:rsid w:val="00257BEB"/>
    <w:rsid w:val="00296173"/>
    <w:rsid w:val="0030646F"/>
    <w:rsid w:val="00306CE2"/>
    <w:rsid w:val="00310CF3"/>
    <w:rsid w:val="0032056B"/>
    <w:rsid w:val="00360CE7"/>
    <w:rsid w:val="0036712E"/>
    <w:rsid w:val="0038066C"/>
    <w:rsid w:val="003D351F"/>
    <w:rsid w:val="003E091C"/>
    <w:rsid w:val="0041329E"/>
    <w:rsid w:val="00423160"/>
    <w:rsid w:val="00435497"/>
    <w:rsid w:val="00463F23"/>
    <w:rsid w:val="00463F2D"/>
    <w:rsid w:val="00486242"/>
    <w:rsid w:val="00492EA0"/>
    <w:rsid w:val="004A3A76"/>
    <w:rsid w:val="004A681A"/>
    <w:rsid w:val="004D3FFA"/>
    <w:rsid w:val="00515C72"/>
    <w:rsid w:val="0052669B"/>
    <w:rsid w:val="00551B4E"/>
    <w:rsid w:val="005627CE"/>
    <w:rsid w:val="005B5438"/>
    <w:rsid w:val="005D70E2"/>
    <w:rsid w:val="005E17B7"/>
    <w:rsid w:val="006068AB"/>
    <w:rsid w:val="0062453C"/>
    <w:rsid w:val="006305E4"/>
    <w:rsid w:val="00632E84"/>
    <w:rsid w:val="00645150"/>
    <w:rsid w:val="00682322"/>
    <w:rsid w:val="006C3272"/>
    <w:rsid w:val="006D62C8"/>
    <w:rsid w:val="006D6C7A"/>
    <w:rsid w:val="00702FC0"/>
    <w:rsid w:val="00721FA9"/>
    <w:rsid w:val="00722F2A"/>
    <w:rsid w:val="00760833"/>
    <w:rsid w:val="0077302F"/>
    <w:rsid w:val="00780B2C"/>
    <w:rsid w:val="0083174E"/>
    <w:rsid w:val="00847629"/>
    <w:rsid w:val="008646D5"/>
    <w:rsid w:val="008708B6"/>
    <w:rsid w:val="00874A4F"/>
    <w:rsid w:val="008C77FF"/>
    <w:rsid w:val="0097612F"/>
    <w:rsid w:val="00994ED1"/>
    <w:rsid w:val="00996375"/>
    <w:rsid w:val="009B10B4"/>
    <w:rsid w:val="009D096F"/>
    <w:rsid w:val="00A32B82"/>
    <w:rsid w:val="00A36439"/>
    <w:rsid w:val="00A656BA"/>
    <w:rsid w:val="00A67EF9"/>
    <w:rsid w:val="00A70F55"/>
    <w:rsid w:val="00AC19ED"/>
    <w:rsid w:val="00AE50DC"/>
    <w:rsid w:val="00AF0256"/>
    <w:rsid w:val="00AF0414"/>
    <w:rsid w:val="00B26CCB"/>
    <w:rsid w:val="00B533D2"/>
    <w:rsid w:val="00B86676"/>
    <w:rsid w:val="00BA419E"/>
    <w:rsid w:val="00BC10F7"/>
    <w:rsid w:val="00C1624C"/>
    <w:rsid w:val="00C465B1"/>
    <w:rsid w:val="00C52717"/>
    <w:rsid w:val="00C550AE"/>
    <w:rsid w:val="00C71A67"/>
    <w:rsid w:val="00C81A05"/>
    <w:rsid w:val="00CA0E6F"/>
    <w:rsid w:val="00D009B6"/>
    <w:rsid w:val="00D217F9"/>
    <w:rsid w:val="00D45F60"/>
    <w:rsid w:val="00D5287B"/>
    <w:rsid w:val="00D81367"/>
    <w:rsid w:val="00D86DAC"/>
    <w:rsid w:val="00D944D1"/>
    <w:rsid w:val="00DD0A59"/>
    <w:rsid w:val="00DD2384"/>
    <w:rsid w:val="00DD603F"/>
    <w:rsid w:val="00DF046F"/>
    <w:rsid w:val="00E1115E"/>
    <w:rsid w:val="00E14DFB"/>
    <w:rsid w:val="00E21EF2"/>
    <w:rsid w:val="00E272C9"/>
    <w:rsid w:val="00E43F42"/>
    <w:rsid w:val="00E45370"/>
    <w:rsid w:val="00E76154"/>
    <w:rsid w:val="00E8334E"/>
    <w:rsid w:val="00E97913"/>
    <w:rsid w:val="00EB4ADB"/>
    <w:rsid w:val="00ED377D"/>
    <w:rsid w:val="00F27642"/>
    <w:rsid w:val="00F57B54"/>
    <w:rsid w:val="00F63A6E"/>
    <w:rsid w:val="00F961F1"/>
    <w:rsid w:val="00F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5AF5"/>
  <w15:chartTrackingRefBased/>
  <w15:docId w15:val="{D9667EE2-86A7-492C-986B-C11954D2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6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7BE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8C77F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34B2D"/>
    <w:pPr>
      <w:spacing w:after="0" w:line="240" w:lineRule="auto"/>
      <w:ind w:left="720" w:hanging="720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34B2D"/>
    <w:rPr>
      <w:rFonts w:ascii="Times New Roman" w:hAnsi="Times New Roman" w:cs="Times New Roman"/>
      <w:sz w:val="24"/>
      <w:szCs w:val="20"/>
      <w:lang w:val="en-GB"/>
    </w:rPr>
  </w:style>
  <w:style w:type="character" w:styleId="Znakapoznpodarou">
    <w:name w:val="footnote reference"/>
    <w:aliases w:val="Footnote call,BVI fnr,SUPERS,Footnote symbol, BVI fnr,(Footnote Reference),Footnote,Voetnootverwijzing,Times 10 Point,Exposant 3 Point,Footnote reference number,note TESI,stylish,Ref,de nota al pie,Footnote Reference1,16 Point,fr"/>
    <w:basedOn w:val="Standardnpsmoodstavce"/>
    <w:uiPriority w:val="99"/>
    <w:unhideWhenUsed/>
    <w:rsid w:val="00034B2D"/>
    <w:rPr>
      <w:b/>
      <w:shd w:val="clear" w:color="auto" w:fill="auto"/>
      <w:vertAlign w:val="superscript"/>
    </w:rPr>
  </w:style>
  <w:style w:type="paragraph" w:customStyle="1" w:styleId="Point0number">
    <w:name w:val="Point 0 (number)"/>
    <w:basedOn w:val="Normln"/>
    <w:rsid w:val="00034B2D"/>
    <w:pPr>
      <w:numPr>
        <w:numId w:val="4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1number">
    <w:name w:val="Point 1 (number)"/>
    <w:basedOn w:val="Normln"/>
    <w:rsid w:val="00034B2D"/>
    <w:pPr>
      <w:numPr>
        <w:ilvl w:val="2"/>
        <w:numId w:val="4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2number">
    <w:name w:val="Point 2 (number)"/>
    <w:basedOn w:val="Normln"/>
    <w:rsid w:val="00034B2D"/>
    <w:pPr>
      <w:numPr>
        <w:ilvl w:val="4"/>
        <w:numId w:val="4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3number">
    <w:name w:val="Point 3 (number)"/>
    <w:basedOn w:val="Normln"/>
    <w:rsid w:val="00034B2D"/>
    <w:pPr>
      <w:numPr>
        <w:ilvl w:val="6"/>
        <w:numId w:val="4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0letter">
    <w:name w:val="Point 0 (letter)"/>
    <w:basedOn w:val="Normln"/>
    <w:rsid w:val="00034B2D"/>
    <w:pPr>
      <w:numPr>
        <w:ilvl w:val="1"/>
        <w:numId w:val="4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2letter">
    <w:name w:val="Point 2 (letter)"/>
    <w:basedOn w:val="Normln"/>
    <w:rsid w:val="00034B2D"/>
    <w:pPr>
      <w:numPr>
        <w:ilvl w:val="5"/>
        <w:numId w:val="4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3letter">
    <w:name w:val="Point 3 (letter)"/>
    <w:basedOn w:val="Normln"/>
    <w:rsid w:val="00034B2D"/>
    <w:pPr>
      <w:numPr>
        <w:ilvl w:val="7"/>
        <w:numId w:val="4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4letter">
    <w:name w:val="Point 4 (letter)"/>
    <w:basedOn w:val="Normln"/>
    <w:rsid w:val="00034B2D"/>
    <w:pPr>
      <w:numPr>
        <w:ilvl w:val="8"/>
        <w:numId w:val="4"/>
      </w:numPr>
      <w:tabs>
        <w:tab w:val="clear" w:pos="3118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E21E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1E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E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EF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EF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9D096F"/>
  </w:style>
  <w:style w:type="table" w:styleId="Mkatabulky">
    <w:name w:val="Table Grid"/>
    <w:basedOn w:val="Normlntabulka"/>
    <w:uiPriority w:val="39"/>
    <w:rsid w:val="009D096F"/>
    <w:pPr>
      <w:spacing w:after="0" w:line="240" w:lineRule="auto"/>
    </w:pPr>
    <w:rPr>
      <w:rFonts w:eastAsiaTheme="minorEastAsia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26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7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 Petr Mgr.</dc:creator>
  <cp:keywords/>
  <dc:description/>
  <cp:lastModifiedBy>Jirovec Vojtěch Mgr.</cp:lastModifiedBy>
  <cp:revision>2</cp:revision>
  <dcterms:created xsi:type="dcterms:W3CDTF">2019-11-07T14:13:00Z</dcterms:created>
  <dcterms:modified xsi:type="dcterms:W3CDTF">2019-11-07T14:13:00Z</dcterms:modified>
</cp:coreProperties>
</file>