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06F8" w:rsidTr="00DC06F8">
        <w:tc>
          <w:tcPr>
            <w:tcW w:w="3020" w:type="dxa"/>
          </w:tcPr>
          <w:p w:rsidR="00DC06F8" w:rsidRPr="00DC06F8" w:rsidRDefault="00FC2B5F" w:rsidP="00FC2B5F">
            <w:pPr>
              <w:spacing w:before="120" w:line="276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Vedoucí o</w:t>
            </w:r>
            <w:r w:rsidR="00DC06F8" w:rsidRPr="00DC06F8">
              <w:rPr>
                <w:b/>
              </w:rPr>
              <w:t>ddělení</w:t>
            </w:r>
            <w:r>
              <w:rPr>
                <w:b/>
              </w:rPr>
              <w:t xml:space="preserve"> v rámci Odboru drážní a vodní dopravy</w:t>
            </w:r>
          </w:p>
        </w:tc>
        <w:tc>
          <w:tcPr>
            <w:tcW w:w="3021" w:type="dxa"/>
          </w:tcPr>
          <w:p w:rsidR="00DC06F8" w:rsidRPr="00DC06F8" w:rsidRDefault="00DC06F8" w:rsidP="00FC2B5F">
            <w:pPr>
              <w:spacing w:before="120" w:line="276" w:lineRule="auto"/>
              <w:jc w:val="center"/>
              <w:rPr>
                <w:b/>
              </w:rPr>
            </w:pPr>
            <w:r w:rsidRPr="00DC06F8">
              <w:rPr>
                <w:b/>
              </w:rPr>
              <w:t xml:space="preserve">Počet </w:t>
            </w:r>
            <w:r w:rsidR="00FC2B5F">
              <w:rPr>
                <w:b/>
              </w:rPr>
              <w:t>zahraničních pracovních cest v období 1. 1. – 30. 4. 2018</w:t>
            </w:r>
            <w:r w:rsidR="00FC2B5F" w:rsidRPr="00FC2B5F">
              <w:rPr>
                <w:rStyle w:val="Znakapoznpodarou"/>
              </w:rPr>
              <w:footnoteReference w:id="1"/>
            </w:r>
          </w:p>
        </w:tc>
        <w:tc>
          <w:tcPr>
            <w:tcW w:w="3021" w:type="dxa"/>
          </w:tcPr>
          <w:p w:rsidR="00DC06F8" w:rsidRPr="00DC06F8" w:rsidRDefault="00DC06F8" w:rsidP="00FC2B5F">
            <w:pPr>
              <w:spacing w:before="120" w:line="276" w:lineRule="auto"/>
              <w:jc w:val="center"/>
              <w:rPr>
                <w:b/>
              </w:rPr>
            </w:pPr>
            <w:r w:rsidRPr="00DC06F8">
              <w:rPr>
                <w:b/>
              </w:rPr>
              <w:t>Počet dnů</w:t>
            </w:r>
            <w:r w:rsidR="005734AC">
              <w:rPr>
                <w:b/>
              </w:rPr>
              <w:t xml:space="preserve"> celkem</w:t>
            </w:r>
          </w:p>
        </w:tc>
      </w:tr>
      <w:tr w:rsidR="00FC2B5F" w:rsidTr="00DC06F8">
        <w:tc>
          <w:tcPr>
            <w:tcW w:w="3020" w:type="dxa"/>
          </w:tcPr>
          <w:p w:rsidR="00FC2B5F" w:rsidRDefault="00FC2B5F" w:rsidP="00FC2B5F">
            <w:pPr>
              <w:spacing w:before="120" w:line="276" w:lineRule="auto"/>
            </w:pPr>
            <w:r>
              <w:t>Vedoucí oddělení koncepce a mezinárodní spolupráce na železnici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6</w:t>
            </w:r>
          </w:p>
        </w:tc>
      </w:tr>
      <w:tr w:rsidR="00FC2B5F" w:rsidTr="00DC06F8">
        <w:tc>
          <w:tcPr>
            <w:tcW w:w="3020" w:type="dxa"/>
          </w:tcPr>
          <w:p w:rsidR="00FC2B5F" w:rsidRDefault="00FC2B5F" w:rsidP="00FC2B5F">
            <w:pPr>
              <w:spacing w:before="120" w:line="276" w:lineRule="auto"/>
            </w:pPr>
            <w:r>
              <w:t>Vedoucí oddělení právních předpisů a státní správy ve věcech drah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FC2B5F" w:rsidTr="00DC06F8">
        <w:tc>
          <w:tcPr>
            <w:tcW w:w="3020" w:type="dxa"/>
          </w:tcPr>
          <w:p w:rsidR="00FC2B5F" w:rsidRDefault="00FC2B5F" w:rsidP="00FC2B5F">
            <w:pPr>
              <w:spacing w:before="120" w:line="276" w:lineRule="auto"/>
            </w:pPr>
            <w:r>
              <w:t>Vedoucí oddělení rozvoje železniční a kombinované dopravy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4</w:t>
            </w:r>
          </w:p>
        </w:tc>
      </w:tr>
      <w:tr w:rsidR="00FC2B5F" w:rsidTr="00DC06F8">
        <w:tc>
          <w:tcPr>
            <w:tcW w:w="3020" w:type="dxa"/>
          </w:tcPr>
          <w:p w:rsidR="00FC2B5F" w:rsidRDefault="00FC2B5F" w:rsidP="00FC2B5F">
            <w:pPr>
              <w:spacing w:before="120" w:line="276" w:lineRule="auto"/>
            </w:pPr>
            <w:r>
              <w:t>Vedoucí oddělení vnitrozemské plavby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12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32</w:t>
            </w:r>
          </w:p>
        </w:tc>
      </w:tr>
      <w:tr w:rsidR="00FC2B5F" w:rsidTr="00DC06F8">
        <w:tc>
          <w:tcPr>
            <w:tcW w:w="3020" w:type="dxa"/>
          </w:tcPr>
          <w:p w:rsidR="00FC2B5F" w:rsidRDefault="00FC2B5F" w:rsidP="00FC2B5F">
            <w:pPr>
              <w:spacing w:before="120" w:line="276" w:lineRule="auto"/>
            </w:pPr>
            <w:r>
              <w:t>Vedoucí oddělení námořní plavby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0</w:t>
            </w:r>
          </w:p>
        </w:tc>
        <w:tc>
          <w:tcPr>
            <w:tcW w:w="3021" w:type="dxa"/>
          </w:tcPr>
          <w:p w:rsidR="00FC2B5F" w:rsidRDefault="00FC2B5F" w:rsidP="00FC2B5F">
            <w:pPr>
              <w:spacing w:before="120" w:line="276" w:lineRule="auto"/>
              <w:jc w:val="center"/>
            </w:pPr>
            <w:r>
              <w:t>0</w:t>
            </w:r>
          </w:p>
        </w:tc>
      </w:tr>
    </w:tbl>
    <w:p w:rsidR="00610B66" w:rsidRDefault="00610B66" w:rsidP="00FC2B5F"/>
    <w:sectPr w:rsidR="00610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5F" w:rsidRDefault="00FC2B5F" w:rsidP="00FC2B5F">
      <w:pPr>
        <w:spacing w:after="0" w:line="240" w:lineRule="auto"/>
      </w:pPr>
      <w:r>
        <w:separator/>
      </w:r>
    </w:p>
  </w:endnote>
  <w:endnote w:type="continuationSeparator" w:id="0">
    <w:p w:rsidR="00FC2B5F" w:rsidRDefault="00FC2B5F" w:rsidP="00FC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5F" w:rsidRDefault="00FC2B5F" w:rsidP="00FC2B5F">
      <w:pPr>
        <w:spacing w:after="0" w:line="240" w:lineRule="auto"/>
      </w:pPr>
      <w:r>
        <w:separator/>
      </w:r>
    </w:p>
  </w:footnote>
  <w:footnote w:type="continuationSeparator" w:id="0">
    <w:p w:rsidR="00FC2B5F" w:rsidRDefault="00FC2B5F" w:rsidP="00FC2B5F">
      <w:pPr>
        <w:spacing w:after="0" w:line="240" w:lineRule="auto"/>
      </w:pPr>
      <w:r>
        <w:continuationSeparator/>
      </w:r>
    </w:p>
  </w:footnote>
  <w:footnote w:id="1">
    <w:p w:rsidR="00FC2B5F" w:rsidRDefault="00FC2B5F" w:rsidP="00FC2B5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Uvádí se celkový počet zahraničních pracovních cest, zahrnujíce i zahraniční pracovní cesty hrazeny z projektů.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7E51"/>
    <w:multiLevelType w:val="hybridMultilevel"/>
    <w:tmpl w:val="EF308A76"/>
    <w:lvl w:ilvl="0" w:tplc="007E3B3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07EDC"/>
    <w:multiLevelType w:val="hybridMultilevel"/>
    <w:tmpl w:val="77EAF14A"/>
    <w:lvl w:ilvl="0" w:tplc="A3D839B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8"/>
    <w:rsid w:val="00417BB1"/>
    <w:rsid w:val="00512511"/>
    <w:rsid w:val="005734AC"/>
    <w:rsid w:val="005A4639"/>
    <w:rsid w:val="00610B66"/>
    <w:rsid w:val="00697B89"/>
    <w:rsid w:val="00DC06F8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05BA7-23A1-4619-BC14-D476C46D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0B6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2B5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2B5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2B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3FF6-21C8-421E-A0CD-90A9B53E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Routová Kateřina</dc:creator>
  <cp:keywords/>
  <dc:description/>
  <cp:lastModifiedBy>Jirovec Vojtěch Mgr.</cp:lastModifiedBy>
  <cp:revision>2</cp:revision>
  <dcterms:created xsi:type="dcterms:W3CDTF">2018-06-20T08:41:00Z</dcterms:created>
  <dcterms:modified xsi:type="dcterms:W3CDTF">2018-06-20T08:41:00Z</dcterms:modified>
</cp:coreProperties>
</file>